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6AD" w:rsidRDefault="008016AD" w:rsidP="00AF1058">
      <w:pPr>
        <w:rPr>
          <w:sz w:val="24"/>
          <w:szCs w:val="24"/>
        </w:rPr>
      </w:pPr>
      <w:bookmarkStart w:id="0" w:name="Supplementary_Figure_S1"/>
      <w:r w:rsidRPr="001C61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Figures</w:t>
      </w:r>
    </w:p>
    <w:p w:rsidR="00AF1058" w:rsidRDefault="00AF1058" w:rsidP="009F1A34">
      <w:pPr>
        <w:autoSpaceDE w:val="0"/>
        <w:autoSpaceDN w:val="0"/>
        <w:adjustRightInd w:val="0"/>
        <w:spacing w:after="0"/>
        <w:jc w:val="both"/>
        <w:rPr>
          <w:rFonts w:cstheme="minorHAnsi"/>
          <w:b/>
          <w:color w:val="000000" w:themeColor="text1"/>
        </w:rPr>
      </w:pPr>
      <w:bookmarkStart w:id="1" w:name="Supplementary_Figure_S2"/>
      <w:bookmarkEnd w:id="0"/>
      <w:r w:rsidRPr="00D66993">
        <w:rPr>
          <w:rFonts w:ascii="Times New Roman" w:hAnsi="Times New Roman" w:cs="Times New Roman"/>
          <w:color w:val="000000" w:themeColor="text1"/>
          <w:sz w:val="24"/>
          <w:szCs w:val="24"/>
        </w:rPr>
        <w:t>Supplementary Figure S</w:t>
      </w:r>
      <w:r w:rsidR="00085DB5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D669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LY6G6D level in Human Immune Cell Subsets as Measured by Flow Cytometry. Human PBMCs from 12 healthy donors </w:t>
      </w:r>
      <w:proofErr w:type="gramStart"/>
      <w:r w:rsidRPr="00D66993">
        <w:rPr>
          <w:rFonts w:ascii="Times New Roman" w:hAnsi="Times New Roman" w:cs="Times New Roman"/>
          <w:color w:val="000000" w:themeColor="text1"/>
          <w:sz w:val="24"/>
          <w:szCs w:val="24"/>
        </w:rPr>
        <w:t>were stained</w:t>
      </w:r>
      <w:proofErr w:type="gramEnd"/>
      <w:r w:rsidRPr="00D669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CD3, CD8, CD4, CD14, CD56, and </w:t>
      </w:r>
      <w:proofErr w:type="spellStart"/>
      <w:r w:rsidRPr="00D66993">
        <w:rPr>
          <w:rFonts w:ascii="Times New Roman" w:hAnsi="Times New Roman" w:cs="Times New Roman"/>
          <w:color w:val="000000" w:themeColor="text1"/>
          <w:sz w:val="24"/>
          <w:szCs w:val="24"/>
        </w:rPr>
        <w:t>Dylight</w:t>
      </w:r>
      <w:proofErr w:type="spellEnd"/>
      <w:r w:rsidRPr="00D669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650-labeled rabbit anti-LY6G6D antibody or rabbit IgG isotype, followed by </w:t>
      </w:r>
      <w:r w:rsidR="005C1D97">
        <w:rPr>
          <w:rFonts w:ascii="Times New Roman" w:hAnsi="Times New Roman" w:cs="Times New Roman"/>
          <w:color w:val="000000" w:themeColor="text1"/>
          <w:sz w:val="24"/>
          <w:szCs w:val="24"/>
        </w:rPr>
        <w:t>Flow</w:t>
      </w:r>
      <w:r w:rsidRPr="00D669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937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="009371AD" w:rsidRPr="009371A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D669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LY6G6D level in human CD4+ T Cells. </w:t>
      </w:r>
      <w:r w:rsidRPr="00937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9371A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D669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LY6G6D level in human CD8+ T Cells. </w:t>
      </w:r>
      <w:r w:rsidRPr="00937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</w:t>
      </w:r>
      <w:r w:rsidR="009371A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D669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LY6G6D level in human Natural Killer Cells. </w:t>
      </w:r>
      <w:r w:rsidRPr="00937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</w:t>
      </w:r>
      <w:r w:rsidR="009371A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D669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LY6G6D expression in human Monocytes.</w:t>
      </w:r>
    </w:p>
    <w:bookmarkEnd w:id="1"/>
    <w:p w:rsidR="00AF1058" w:rsidRDefault="00AF1058">
      <w:r w:rsidRPr="00C50BB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zh-CN"/>
        </w:rPr>
        <w:lastRenderedPageBreak/>
        <w:drawing>
          <wp:inline distT="0" distB="0" distL="0" distR="0" wp14:anchorId="0E2D5518" wp14:editId="7C26234D">
            <wp:extent cx="6152816" cy="7581900"/>
            <wp:effectExtent l="0" t="0" r="0" b="0"/>
            <wp:docPr id="12" name="Picture 12" descr="C:\Users\wangp33\Documents\paper\LY6G6D manuscript Jan. 2020\all figures\S2 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gp33\Documents\paper\LY6G6D manuscript Jan. 2020\all figures\S2 all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589" cy="758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AF1058" w:rsidRDefault="00AF1058"/>
    <w:p w:rsidR="00AF1058" w:rsidRDefault="00AF1058"/>
    <w:p w:rsidR="00AF1058" w:rsidRPr="001C6183" w:rsidRDefault="00AF1058" w:rsidP="009F1A34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3" w:name="Supplementary_Figure_S4"/>
      <w:r w:rsidRPr="001C6183">
        <w:rPr>
          <w:rFonts w:ascii="Times New Roman" w:hAnsi="Times New Roman" w:cs="Times New Roman"/>
          <w:sz w:val="24"/>
          <w:szCs w:val="24"/>
        </w:rPr>
        <w:lastRenderedPageBreak/>
        <w:t>Supplementary Figure S</w:t>
      </w:r>
      <w:r w:rsidR="00085DB5">
        <w:rPr>
          <w:rFonts w:ascii="Times New Roman" w:hAnsi="Times New Roman" w:cs="Times New Roman"/>
          <w:sz w:val="24"/>
          <w:szCs w:val="24"/>
        </w:rPr>
        <w:t>2</w:t>
      </w:r>
      <w:r w:rsidRPr="001C6183">
        <w:rPr>
          <w:rFonts w:ascii="Times New Roman" w:hAnsi="Times New Roman" w:cs="Times New Roman"/>
          <w:sz w:val="24"/>
          <w:szCs w:val="24"/>
        </w:rPr>
        <w:t xml:space="preserve">: Distance mapping of LY6G6D peptide bound to 1G4 Fab complex with symmetry related complex. </w:t>
      </w:r>
      <w:r w:rsidRPr="001C6183">
        <w:rPr>
          <w:rFonts w:ascii="Times New Roman" w:hAnsi="Times New Roman" w:cs="Times New Roman"/>
          <w:bCs/>
          <w:sz w:val="24"/>
          <w:szCs w:val="24"/>
        </w:rPr>
        <w:t xml:space="preserve">View and coloring are similar to Figure 3C. The symmetry related complex </w:t>
      </w:r>
      <w:proofErr w:type="gramStart"/>
      <w:r w:rsidRPr="001C6183">
        <w:rPr>
          <w:rFonts w:ascii="Times New Roman" w:hAnsi="Times New Roman" w:cs="Times New Roman"/>
          <w:bCs/>
          <w:sz w:val="24"/>
          <w:szCs w:val="24"/>
        </w:rPr>
        <w:t>is represented</w:t>
      </w:r>
      <w:proofErr w:type="gramEnd"/>
      <w:r w:rsidRPr="001C6183">
        <w:rPr>
          <w:rFonts w:ascii="Times New Roman" w:hAnsi="Times New Roman" w:cs="Times New Roman"/>
          <w:bCs/>
          <w:sz w:val="24"/>
          <w:szCs w:val="24"/>
        </w:rPr>
        <w:t xml:space="preserve"> as surface (with backbone in ribbon); for clarity, only the CDR L1 of the symmetry Fab is shown. Color gradient represents distance of both symmetry objects to LY6G6D peptide (red = </w:t>
      </w:r>
      <w:proofErr w:type="gramStart"/>
      <w:r w:rsidRPr="001C6183">
        <w:rPr>
          <w:rFonts w:ascii="Times New Roman" w:hAnsi="Times New Roman" w:cs="Times New Roman"/>
          <w:bCs/>
          <w:sz w:val="24"/>
          <w:szCs w:val="24"/>
        </w:rPr>
        <w:t>4</w:t>
      </w:r>
      <w:proofErr w:type="gramEnd"/>
      <w:r w:rsidRPr="001C6183">
        <w:rPr>
          <w:rFonts w:ascii="Times New Roman" w:hAnsi="Times New Roman" w:cs="Times New Roman"/>
          <w:bCs/>
          <w:sz w:val="24"/>
          <w:szCs w:val="24"/>
        </w:rPr>
        <w:t xml:space="preserve"> Å and yellow 8 Å). No clear interactions </w:t>
      </w:r>
      <w:proofErr w:type="gramStart"/>
      <w:r w:rsidRPr="001C6183">
        <w:rPr>
          <w:rFonts w:ascii="Times New Roman" w:hAnsi="Times New Roman" w:cs="Times New Roman"/>
          <w:bCs/>
          <w:sz w:val="24"/>
          <w:szCs w:val="24"/>
        </w:rPr>
        <w:t>are observed</w:t>
      </w:r>
      <w:proofErr w:type="gramEnd"/>
      <w:r w:rsidRPr="001C6183">
        <w:rPr>
          <w:rFonts w:ascii="Times New Roman" w:hAnsi="Times New Roman" w:cs="Times New Roman"/>
          <w:bCs/>
          <w:sz w:val="24"/>
          <w:szCs w:val="24"/>
        </w:rPr>
        <w:t xml:space="preserve"> between the two peptides although they share an estimated 164 A</w:t>
      </w:r>
      <w:r w:rsidRPr="008A5550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1C6183">
        <w:rPr>
          <w:rFonts w:ascii="Times New Roman" w:hAnsi="Times New Roman" w:cs="Times New Roman"/>
          <w:bCs/>
          <w:sz w:val="24"/>
          <w:szCs w:val="24"/>
        </w:rPr>
        <w:t xml:space="preserve"> of buried surface area.</w:t>
      </w:r>
    </w:p>
    <w:bookmarkEnd w:id="3"/>
    <w:p w:rsidR="00AF1058" w:rsidRDefault="00AF1058">
      <w:r w:rsidRPr="000A5834">
        <w:rPr>
          <w:rFonts w:cstheme="minorHAnsi"/>
          <w:b/>
          <w:noProof/>
          <w:color w:val="000000" w:themeColor="text1"/>
          <w:lang w:eastAsia="zh-CN"/>
        </w:rPr>
        <w:drawing>
          <wp:inline distT="0" distB="0" distL="0" distR="0" wp14:anchorId="1CD85CCE" wp14:editId="336D1504">
            <wp:extent cx="4942768" cy="3444240"/>
            <wp:effectExtent l="0" t="0" r="0" b="0"/>
            <wp:docPr id="13" name="Picture 13" descr="C:\Users\wangp33\Documents\paper\LY6G6D manuscript Jan. 2020\all figures\supplemental 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gp33\Documents\paper\LY6G6D manuscript Jan. 2020\all figures\supplemental figure S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41" cy="34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58" w:rsidRPr="001C6183" w:rsidRDefault="00085DB5" w:rsidP="009F1A34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4" w:name="Supplementary_Figure_S5"/>
      <w:r>
        <w:rPr>
          <w:rFonts w:ascii="Times New Roman" w:hAnsi="Times New Roman" w:cs="Times New Roman"/>
          <w:sz w:val="24"/>
          <w:szCs w:val="24"/>
        </w:rPr>
        <w:t>Supplementary Figure S3</w:t>
      </w:r>
      <w:r w:rsidR="00AF1058" w:rsidRPr="001C6183">
        <w:rPr>
          <w:rFonts w:ascii="Times New Roman" w:hAnsi="Times New Roman" w:cs="Times New Roman"/>
          <w:sz w:val="24"/>
          <w:szCs w:val="24"/>
        </w:rPr>
        <w:t xml:space="preserve">: </w:t>
      </w:r>
      <w:r w:rsidR="00AF1058" w:rsidRPr="001C6183">
        <w:rPr>
          <w:rFonts w:ascii="Times New Roman" w:hAnsi="Times New Roman" w:cs="Times New Roman"/>
          <w:bCs/>
          <w:sz w:val="24"/>
          <w:szCs w:val="24"/>
        </w:rPr>
        <w:t xml:space="preserve">SEC-MALS analysis of recombinant LY6G6D alone or in complex with Fab 1G4. </w:t>
      </w:r>
      <w:r w:rsidR="00AF1058" w:rsidRPr="009371AD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AF1058">
        <w:rPr>
          <w:rFonts w:ascii="Times New Roman" w:hAnsi="Times New Roman" w:cs="Times New Roman"/>
          <w:bCs/>
          <w:sz w:val="24"/>
          <w:szCs w:val="24"/>
        </w:rPr>
        <w:t>,</w:t>
      </w:r>
      <w:r w:rsidR="00AF1058" w:rsidRPr="001C6183">
        <w:rPr>
          <w:rFonts w:ascii="Times New Roman" w:hAnsi="Times New Roman" w:cs="Times New Roman"/>
          <w:bCs/>
          <w:sz w:val="24"/>
          <w:szCs w:val="24"/>
        </w:rPr>
        <w:t xml:space="preserve"> Untagged LY6G6D behaves as a 9.6 </w:t>
      </w:r>
      <w:proofErr w:type="spellStart"/>
      <w:r w:rsidR="00AF1058" w:rsidRPr="001C6183">
        <w:rPr>
          <w:rFonts w:ascii="Times New Roman" w:hAnsi="Times New Roman" w:cs="Times New Roman"/>
          <w:bCs/>
          <w:sz w:val="24"/>
          <w:szCs w:val="24"/>
        </w:rPr>
        <w:t>kDa</w:t>
      </w:r>
      <w:proofErr w:type="spellEnd"/>
      <w:r w:rsidR="00AF1058" w:rsidRPr="001C6183">
        <w:rPr>
          <w:rFonts w:ascii="Times New Roman" w:hAnsi="Times New Roman" w:cs="Times New Roman"/>
          <w:bCs/>
          <w:sz w:val="24"/>
          <w:szCs w:val="24"/>
        </w:rPr>
        <w:t xml:space="preserve"> (+/- 0.7 </w:t>
      </w:r>
      <w:proofErr w:type="spellStart"/>
      <w:r w:rsidR="00AF1058" w:rsidRPr="001C6183">
        <w:rPr>
          <w:rFonts w:ascii="Times New Roman" w:hAnsi="Times New Roman" w:cs="Times New Roman"/>
          <w:bCs/>
          <w:sz w:val="24"/>
          <w:szCs w:val="24"/>
        </w:rPr>
        <w:t>kDa</w:t>
      </w:r>
      <w:proofErr w:type="spellEnd"/>
      <w:r w:rsidR="00AF1058" w:rsidRPr="001C6183">
        <w:rPr>
          <w:rFonts w:ascii="Times New Roman" w:hAnsi="Times New Roman" w:cs="Times New Roman"/>
          <w:bCs/>
          <w:sz w:val="24"/>
          <w:szCs w:val="24"/>
        </w:rPr>
        <w:t xml:space="preserve">) protein in solution (estimated molecular weight for monomeric protein with disulfides: 9952 Da). UV absorbance measured at 280nm (left axis) is in blue and calculated molar mass (right axis) in black. </w:t>
      </w:r>
      <w:r w:rsidR="00AF1058" w:rsidRPr="009371AD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AF1058">
        <w:rPr>
          <w:rFonts w:ascii="Times New Roman" w:hAnsi="Times New Roman" w:cs="Times New Roman"/>
          <w:bCs/>
          <w:sz w:val="24"/>
          <w:szCs w:val="24"/>
        </w:rPr>
        <w:t>,</w:t>
      </w:r>
      <w:r w:rsidR="00AF1058" w:rsidRPr="001C6183">
        <w:rPr>
          <w:rFonts w:ascii="Times New Roman" w:hAnsi="Times New Roman" w:cs="Times New Roman"/>
          <w:bCs/>
          <w:sz w:val="24"/>
          <w:szCs w:val="24"/>
        </w:rPr>
        <w:t xml:space="preserve"> Molecular weight of the complex of untagged Ly6G6D bound to 1G4 Fab is estimated at 56.2 </w:t>
      </w:r>
      <w:proofErr w:type="spellStart"/>
      <w:r w:rsidR="00AF1058" w:rsidRPr="001C6183">
        <w:rPr>
          <w:rFonts w:ascii="Times New Roman" w:hAnsi="Times New Roman" w:cs="Times New Roman"/>
          <w:bCs/>
          <w:sz w:val="24"/>
          <w:szCs w:val="24"/>
        </w:rPr>
        <w:t>kDa</w:t>
      </w:r>
      <w:proofErr w:type="spellEnd"/>
      <w:r w:rsidR="00AF1058" w:rsidRPr="001C6183">
        <w:rPr>
          <w:rFonts w:ascii="Times New Roman" w:hAnsi="Times New Roman" w:cs="Times New Roman"/>
          <w:bCs/>
          <w:sz w:val="24"/>
          <w:szCs w:val="24"/>
        </w:rPr>
        <w:t xml:space="preserve"> (+/- 2.7 </w:t>
      </w:r>
      <w:proofErr w:type="spellStart"/>
      <w:r w:rsidR="00AF1058" w:rsidRPr="001C6183">
        <w:rPr>
          <w:rFonts w:ascii="Times New Roman" w:hAnsi="Times New Roman" w:cs="Times New Roman"/>
          <w:bCs/>
          <w:sz w:val="24"/>
          <w:szCs w:val="24"/>
        </w:rPr>
        <w:t>kDa</w:t>
      </w:r>
      <w:proofErr w:type="spellEnd"/>
      <w:r w:rsidR="00AF1058" w:rsidRPr="001C6183">
        <w:rPr>
          <w:rFonts w:ascii="Times New Roman" w:hAnsi="Times New Roman" w:cs="Times New Roman"/>
          <w:bCs/>
          <w:sz w:val="24"/>
          <w:szCs w:val="24"/>
        </w:rPr>
        <w:t xml:space="preserve">); this data suggests that one Fab (47.9 </w:t>
      </w:r>
      <w:proofErr w:type="spellStart"/>
      <w:r w:rsidR="00AF1058" w:rsidRPr="001C6183">
        <w:rPr>
          <w:rFonts w:ascii="Times New Roman" w:hAnsi="Times New Roman" w:cs="Times New Roman"/>
          <w:bCs/>
          <w:sz w:val="24"/>
          <w:szCs w:val="24"/>
        </w:rPr>
        <w:t>kDa</w:t>
      </w:r>
      <w:proofErr w:type="spellEnd"/>
      <w:r w:rsidR="00AF1058" w:rsidRPr="001C6183">
        <w:rPr>
          <w:rFonts w:ascii="Times New Roman" w:hAnsi="Times New Roman" w:cs="Times New Roman"/>
          <w:bCs/>
          <w:sz w:val="24"/>
          <w:szCs w:val="24"/>
        </w:rPr>
        <w:t>) binds one LY6G6D molecule.</w:t>
      </w:r>
    </w:p>
    <w:bookmarkEnd w:id="4"/>
    <w:p w:rsidR="00AF1058" w:rsidRDefault="00AF1058">
      <w:r w:rsidRPr="000A5834">
        <w:rPr>
          <w:rFonts w:cstheme="minorHAnsi"/>
          <w:b/>
          <w:noProof/>
          <w:color w:val="000000" w:themeColor="text1"/>
          <w:lang w:eastAsia="zh-CN"/>
        </w:rPr>
        <w:drawing>
          <wp:inline distT="0" distB="0" distL="0" distR="0" wp14:anchorId="410106D1" wp14:editId="5F6F612E">
            <wp:extent cx="5943600" cy="1929130"/>
            <wp:effectExtent l="0" t="0" r="0" b="0"/>
            <wp:docPr id="14" name="Picture 14" descr="C:\Users\wangp33\Documents\paper\LY6G6D manuscript Jan. 2020\all figures\Supplementary 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ngp33\Documents\paper\LY6G6D manuscript Jan. 2020\all figures\Supplementary figure S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E15" w:rsidRDefault="00AA1E15" w:rsidP="009F1A3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Supplementary_Figure_S6"/>
      <w:r w:rsidRPr="001C6183">
        <w:rPr>
          <w:rFonts w:ascii="Times New Roman" w:hAnsi="Times New Roman" w:cs="Times New Roman"/>
          <w:sz w:val="24"/>
          <w:szCs w:val="24"/>
        </w:rPr>
        <w:lastRenderedPageBreak/>
        <w:t>Supplementary Figure S</w:t>
      </w:r>
      <w:r w:rsidR="00085DB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B</w:t>
      </w:r>
      <w:r w:rsidRPr="00852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inding of LY6G6D-TDB to </w:t>
      </w:r>
      <w:r w:rsidR="004D00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852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engineered LY6G6D-expressing </w:t>
      </w:r>
      <w:proofErr w:type="gramStart"/>
      <w:r w:rsidRPr="008526F1">
        <w:rPr>
          <w:rFonts w:ascii="Times New Roman" w:hAnsi="Times New Roman" w:cs="Times New Roman"/>
          <w:color w:val="000000" w:themeColor="text1"/>
          <w:sz w:val="24"/>
          <w:szCs w:val="24"/>
        </w:rPr>
        <w:t>293</w:t>
      </w:r>
      <w:r w:rsidR="009F1A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526F1">
        <w:rPr>
          <w:rFonts w:ascii="Times New Roman" w:hAnsi="Times New Roman" w:cs="Times New Roman"/>
          <w:color w:val="000000" w:themeColor="text1"/>
          <w:sz w:val="24"/>
          <w:szCs w:val="24"/>
        </w:rPr>
        <w:t>cell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line</w:t>
      </w:r>
      <w:r w:rsidRPr="00852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C669C" w:rsidRPr="009C66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="009C66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LY6G6D-TDB binds to </w:t>
      </w:r>
      <w:r w:rsidR="004D00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engineered 293-LY6G6D cells, but not to LY6G6D-negative parental 293 cells</w:t>
      </w:r>
      <w:r w:rsidR="00937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flow cytometry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C66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Pr="00852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LY6G6D level in </w:t>
      </w:r>
      <w:r w:rsidR="004D00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8526F1">
        <w:rPr>
          <w:rFonts w:ascii="Times New Roman" w:hAnsi="Times New Roman" w:cs="Times New Roman"/>
          <w:color w:val="000000" w:themeColor="text1"/>
          <w:sz w:val="24"/>
          <w:szCs w:val="24"/>
        </w:rPr>
        <w:t>engineered 293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-LY6G6D</w:t>
      </w:r>
      <w:r w:rsidRPr="00852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 line</w:t>
      </w:r>
      <w:r w:rsidR="00937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IHC and flow cytometry</w:t>
      </w:r>
      <w:r w:rsidRPr="008526F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F4E56" w:rsidRDefault="005F4E56" w:rsidP="00AA1E1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1E15" w:rsidRDefault="00395413" w:rsidP="00AF105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541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zh-CN"/>
        </w:rPr>
        <w:drawing>
          <wp:inline distT="0" distB="0" distL="0" distR="0">
            <wp:extent cx="5943600" cy="2136866"/>
            <wp:effectExtent l="0" t="0" r="0" b="0"/>
            <wp:docPr id="2" name="Picture 2" descr="C:\Users\wangp33\Documents\paper\LY6G6D manuscript Jan. 2020\submitted to MCT oct. 4_2021\Figures_JPG\supplemental 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p33\Documents\paper\LY6G6D manuscript Jan. 2020\submitted to MCT oct. 4_2021\Figures_JPG\supplemental figure S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58" w:rsidRPr="000F1D86" w:rsidRDefault="00AA1E15" w:rsidP="00AF105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Supplementary Figure S</w:t>
      </w:r>
      <w:r w:rsidR="00085DB5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AF1058" w:rsidRPr="00FD16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LY6G6D expression in </w:t>
      </w:r>
      <w:r w:rsidR="004D00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AF1058" w:rsidRPr="00FD16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xenograft tumors by IHC. </w:t>
      </w:r>
      <w:r w:rsidR="00AF1058" w:rsidRPr="00937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="00AF1058" w:rsidRPr="00FD16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LS1034 xenograft tumor, IHC score of 3+. </w:t>
      </w:r>
      <w:r w:rsidR="00AF1058" w:rsidRPr="00937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AF1058" w:rsidRPr="00FD16DB">
        <w:rPr>
          <w:rFonts w:ascii="Times New Roman" w:hAnsi="Times New Roman" w:cs="Times New Roman"/>
          <w:color w:val="000000" w:themeColor="text1"/>
          <w:sz w:val="24"/>
          <w:szCs w:val="24"/>
        </w:rPr>
        <w:t>, HT55 xenograft tumor, IHC score of 2+.</w:t>
      </w:r>
    </w:p>
    <w:bookmarkEnd w:id="5"/>
    <w:p w:rsidR="00AF1058" w:rsidRDefault="00AF1058">
      <w:r w:rsidRPr="004E7BAB">
        <w:rPr>
          <w:rFonts w:cstheme="minorHAnsi"/>
          <w:b/>
          <w:noProof/>
          <w:color w:val="000000" w:themeColor="text1"/>
          <w:lang w:eastAsia="zh-CN"/>
        </w:rPr>
        <w:drawing>
          <wp:inline distT="0" distB="0" distL="0" distR="0" wp14:anchorId="50C2C591" wp14:editId="5B223613">
            <wp:extent cx="3924300" cy="1929387"/>
            <wp:effectExtent l="0" t="0" r="0" b="0"/>
            <wp:docPr id="20" name="Picture 20" descr="C:\Users\wangp33\Documents\paper\LY6G6D manuscript Jan. 2020\all figures\xenograft tum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ngp33\Documents\paper\LY6G6D manuscript Jan. 2020\all figures\xenograft tumor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78" cy="1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58" w:rsidRPr="009F1BB0" w:rsidRDefault="00AF1058" w:rsidP="00AF105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6" w:name="Supplementary_Figure_S7"/>
      <w:r w:rsidRPr="000F1D86">
        <w:rPr>
          <w:rFonts w:ascii="Times New Roman" w:hAnsi="Times New Roman" w:cs="Times New Roman"/>
          <w:color w:val="000000" w:themeColor="text1"/>
          <w:sz w:val="24"/>
          <w:szCs w:val="24"/>
        </w:rPr>
        <w:t>Supplementary Figure S</w:t>
      </w:r>
      <w:bookmarkEnd w:id="6"/>
      <w:r w:rsidR="00085DB5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0F1D8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0F1D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F1BB0">
        <w:rPr>
          <w:rFonts w:ascii="Times New Roman" w:hAnsi="Times New Roman" w:cs="Times New Roman"/>
          <w:color w:val="000000" w:themeColor="text1"/>
          <w:sz w:val="24"/>
          <w:szCs w:val="24"/>
        </w:rPr>
        <w:t>Pharmacokinetics (PK)</w:t>
      </w:r>
      <w:r w:rsidRPr="000F1D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1G4-CD3H TDB in mice.</w:t>
      </w:r>
      <w:r w:rsidRPr="000F1D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1).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proofErr w:type="gramEnd"/>
      <w:r w:rsidRPr="00663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663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single dose PK study, 5 mg/kg of the antibody was administered as a single intravenous (IV) bolus dose in female C.B-17 SCID.bg mice (n=12) and PK were determined over a period of 28 days using sparse PK method.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63D13">
        <w:rPr>
          <w:rFonts w:ascii="Times New Roman" w:hAnsi="Times New Roman" w:cs="Times New Roman"/>
          <w:color w:val="000000" w:themeColor="text1"/>
          <w:sz w:val="24"/>
          <w:szCs w:val="24"/>
        </w:rPr>
        <w:t>Sparse PK samples (n=3 animals per time point) were collected and the sampling time points included were 15 minutes, 2 and 6 hours, 1, 3, 7, 10, 14, 21, and 28 days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(black solid line)</w:t>
      </w:r>
      <w:r w:rsidRPr="00663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52673A">
        <w:rPr>
          <w:rFonts w:ascii="Times New Roman" w:hAnsi="Times New Roman" w:cs="Times New Roman"/>
          <w:color w:val="000000" w:themeColor="text1"/>
          <w:sz w:val="24"/>
          <w:szCs w:val="24"/>
        </w:rPr>
        <w:t>The observed maximum serum concentration (</w:t>
      </w:r>
      <w:proofErr w:type="spellStart"/>
      <w:r w:rsidRPr="0052673A">
        <w:rPr>
          <w:rFonts w:ascii="Times New Roman" w:hAnsi="Times New Roman" w:cs="Times New Roman"/>
          <w:color w:val="000000" w:themeColor="text1"/>
          <w:sz w:val="24"/>
          <w:szCs w:val="24"/>
        </w:rPr>
        <w:t>Cmax</w:t>
      </w:r>
      <w:proofErr w:type="spellEnd"/>
      <w:r w:rsidRPr="005267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was 88.4 ± 2.15 µg/mL, area under concentration-time curve from time zero to 28 days (AUC0-28) was 408 ± 18.5 </w:t>
      </w:r>
      <w:proofErr w:type="spellStart"/>
      <w:r w:rsidRPr="0052673A">
        <w:rPr>
          <w:rFonts w:ascii="Times New Roman" w:hAnsi="Times New Roman" w:cs="Times New Roman"/>
          <w:color w:val="000000" w:themeColor="text1"/>
          <w:sz w:val="24"/>
          <w:szCs w:val="24"/>
        </w:rPr>
        <w:t>day.µg</w:t>
      </w:r>
      <w:proofErr w:type="spellEnd"/>
      <w:r w:rsidRPr="005267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/mL, estimated clearance (CL) was 9.85 mL/day/kg and terminal elimination half-life (t1/2) was 13.1 days. This estimated CL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1G4-CD3H</w:t>
      </w:r>
      <w:r w:rsidRPr="005267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TDB in SCID mice was approximately 2 times higher than the positive control antibody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(non-binding humanized </w:t>
      </w:r>
      <w:r w:rsidRPr="0052673A">
        <w:rPr>
          <w:rFonts w:ascii="Times New Roman" w:hAnsi="Times New Roman" w:cs="Times New Roman"/>
          <w:color w:val="000000" w:themeColor="text1"/>
          <w:sz w:val="24"/>
          <w:szCs w:val="24"/>
        </w:rPr>
        <w:t>anti-</w:t>
      </w:r>
      <w:proofErr w:type="spellStart"/>
      <w:r w:rsidRPr="0052673A">
        <w:rPr>
          <w:rFonts w:ascii="Times New Roman" w:hAnsi="Times New Roman" w:cs="Times New Roman"/>
          <w:color w:val="000000" w:themeColor="text1"/>
          <w:sz w:val="24"/>
          <w:szCs w:val="24"/>
        </w:rPr>
        <w:t>gD</w:t>
      </w:r>
      <w:proofErr w:type="spellEnd"/>
      <w:r w:rsidRPr="005267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5B6) </w:t>
      </w:r>
      <w:r w:rsidRPr="0052673A">
        <w:rPr>
          <w:rFonts w:ascii="Times New Roman" w:hAnsi="Times New Roman" w:cs="Times New Roman"/>
          <w:color w:val="000000" w:themeColor="text1"/>
          <w:sz w:val="24"/>
          <w:szCs w:val="24"/>
        </w:rPr>
        <w:t>whose CL estimate was 4.53 mL/day/kg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(black dashed line)</w:t>
      </w:r>
      <w:r w:rsidRPr="0052673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F1BB0">
        <w:rPr>
          <w:rFonts w:ascii="Times New Roman" w:hAnsi="Times New Roman" w:cs="Times New Roman"/>
          <w:sz w:val="24"/>
          <w:szCs w:val="24"/>
        </w:rPr>
        <w:t xml:space="preserve">2). PK in </w:t>
      </w:r>
      <w:r>
        <w:rPr>
          <w:rFonts w:ascii="Times New Roman" w:hAnsi="Times New Roman" w:cs="Times New Roman"/>
          <w:sz w:val="24"/>
          <w:szCs w:val="24"/>
        </w:rPr>
        <w:t xml:space="preserve">HT55 </w:t>
      </w:r>
      <w:r w:rsidRPr="009F1BB0">
        <w:rPr>
          <w:rFonts w:ascii="Times New Roman" w:hAnsi="Times New Roman" w:cs="Times New Roman"/>
          <w:sz w:val="24"/>
          <w:szCs w:val="24"/>
        </w:rPr>
        <w:t>tumor xenograft model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D13">
        <w:rPr>
          <w:rFonts w:ascii="Times New Roman" w:hAnsi="Times New Roman" w:cs="Times New Roman"/>
          <w:sz w:val="24"/>
          <w:szCs w:val="24"/>
        </w:rPr>
        <w:t xml:space="preserve">in NSG </w:t>
      </w:r>
      <w:r w:rsidRPr="00663D13">
        <w:rPr>
          <w:rFonts w:ascii="Times New Roman" w:hAnsi="Times New Roman" w:cs="Times New Roman"/>
          <w:sz w:val="24"/>
          <w:szCs w:val="24"/>
        </w:rPr>
        <w:lastRenderedPageBreak/>
        <w:t>mice</w:t>
      </w:r>
      <w:r w:rsidRPr="009F1B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D13">
        <w:rPr>
          <w:rFonts w:ascii="Times New Roman" w:hAnsi="Times New Roman" w:cs="Times New Roman"/>
          <w:sz w:val="24"/>
          <w:szCs w:val="24"/>
        </w:rPr>
        <w:t xml:space="preserve">Animals were divided into two groups and were received a single IV dose of </w:t>
      </w:r>
      <w:r>
        <w:rPr>
          <w:rFonts w:ascii="Times New Roman" w:hAnsi="Times New Roman" w:cs="Times New Roman"/>
          <w:sz w:val="24"/>
          <w:szCs w:val="24"/>
        </w:rPr>
        <w:t>1G4-CD3H</w:t>
      </w:r>
      <w:r w:rsidRPr="00663D13">
        <w:rPr>
          <w:rFonts w:ascii="Times New Roman" w:hAnsi="Times New Roman" w:cs="Times New Roman"/>
          <w:sz w:val="24"/>
          <w:szCs w:val="24"/>
        </w:rPr>
        <w:t xml:space="preserve"> TDB at 1 mg/kg</w:t>
      </w:r>
      <w:r>
        <w:rPr>
          <w:rFonts w:ascii="Times New Roman" w:hAnsi="Times New Roman" w:cs="Times New Roman"/>
          <w:sz w:val="24"/>
          <w:szCs w:val="24"/>
        </w:rPr>
        <w:t xml:space="preserve">, plus </w:t>
      </w:r>
      <w:r w:rsidRPr="00663D13">
        <w:rPr>
          <w:rFonts w:ascii="Times New Roman" w:hAnsi="Times New Roman" w:cs="Times New Roman"/>
          <w:sz w:val="24"/>
          <w:szCs w:val="24"/>
        </w:rPr>
        <w:t>10x10</w:t>
      </w:r>
      <w:r w:rsidRPr="009F1BB0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663D13">
        <w:rPr>
          <w:rFonts w:ascii="Times New Roman" w:hAnsi="Times New Roman" w:cs="Times New Roman"/>
          <w:sz w:val="24"/>
          <w:szCs w:val="24"/>
        </w:rPr>
        <w:t xml:space="preserve"> human PBMCs</w:t>
      </w:r>
      <w:r>
        <w:rPr>
          <w:rFonts w:ascii="Times New Roman" w:hAnsi="Times New Roman" w:cs="Times New Roman"/>
          <w:sz w:val="24"/>
          <w:szCs w:val="24"/>
        </w:rPr>
        <w:t xml:space="preserve"> (blue dashed line), or no PBMCs (red dashed line)</w:t>
      </w:r>
      <w:r w:rsidRPr="00663D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73A">
        <w:rPr>
          <w:rFonts w:ascii="Times New Roman" w:hAnsi="Times New Roman" w:cs="Times New Roman"/>
          <w:sz w:val="24"/>
          <w:szCs w:val="24"/>
        </w:rPr>
        <w:t xml:space="preserve">While PBMC </w:t>
      </w:r>
      <w:proofErr w:type="gramStart"/>
      <w:r w:rsidRPr="0052673A">
        <w:rPr>
          <w:rFonts w:ascii="Times New Roman" w:hAnsi="Times New Roman" w:cs="Times New Roman"/>
          <w:sz w:val="24"/>
          <w:szCs w:val="24"/>
        </w:rPr>
        <w:t>treated</w:t>
      </w:r>
      <w:proofErr w:type="gramEnd"/>
      <w:r w:rsidRPr="0052673A">
        <w:rPr>
          <w:rFonts w:ascii="Times New Roman" w:hAnsi="Times New Roman" w:cs="Times New Roman"/>
          <w:sz w:val="24"/>
          <w:szCs w:val="24"/>
        </w:rPr>
        <w:t xml:space="preserve"> group has Day1 serum exposure of 6.83 ± 0.31 µg/mL and AUC0-14 of 52.6 ± 1.94 </w:t>
      </w:r>
      <w:proofErr w:type="spellStart"/>
      <w:r w:rsidRPr="0052673A">
        <w:rPr>
          <w:rFonts w:ascii="Times New Roman" w:hAnsi="Times New Roman" w:cs="Times New Roman"/>
          <w:sz w:val="24"/>
          <w:szCs w:val="24"/>
        </w:rPr>
        <w:t>day.µg</w:t>
      </w:r>
      <w:proofErr w:type="spellEnd"/>
      <w:r w:rsidRPr="0052673A">
        <w:rPr>
          <w:rFonts w:ascii="Times New Roman" w:hAnsi="Times New Roman" w:cs="Times New Roman"/>
          <w:sz w:val="24"/>
          <w:szCs w:val="24"/>
        </w:rPr>
        <w:t xml:space="preserve">/mL, the group without PBMCs treatment had Day1 serum exposure of 6.13 ± 0.25 µg/mL and AUC0-14 of 52.0 ± 3.18 </w:t>
      </w:r>
      <w:proofErr w:type="spellStart"/>
      <w:r w:rsidRPr="0052673A">
        <w:rPr>
          <w:rFonts w:ascii="Times New Roman" w:hAnsi="Times New Roman" w:cs="Times New Roman"/>
          <w:sz w:val="24"/>
          <w:szCs w:val="24"/>
        </w:rPr>
        <w:t>day.µg</w:t>
      </w:r>
      <w:proofErr w:type="spellEnd"/>
      <w:r w:rsidRPr="0052673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2673A">
        <w:rPr>
          <w:rFonts w:ascii="Times New Roman" w:hAnsi="Times New Roman" w:cs="Times New Roman"/>
          <w:sz w:val="24"/>
          <w:szCs w:val="24"/>
        </w:rPr>
        <w:t>mL.</w:t>
      </w:r>
      <w:proofErr w:type="spellEnd"/>
    </w:p>
    <w:p w:rsidR="00AA1E15" w:rsidRDefault="00AF1058">
      <w:r w:rsidRPr="00890CD0">
        <w:rPr>
          <w:rFonts w:cstheme="minorHAnsi"/>
          <w:b/>
          <w:noProof/>
          <w:color w:val="000000" w:themeColor="text1"/>
          <w:lang w:eastAsia="zh-CN"/>
        </w:rPr>
        <w:drawing>
          <wp:inline distT="0" distB="0" distL="0" distR="0" wp14:anchorId="4FA6F803" wp14:editId="53856288">
            <wp:extent cx="3581400" cy="27277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2240" cy="276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E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058"/>
    <w:rsid w:val="00062AAA"/>
    <w:rsid w:val="00085DB5"/>
    <w:rsid w:val="000D63A7"/>
    <w:rsid w:val="00214CA5"/>
    <w:rsid w:val="00282E9E"/>
    <w:rsid w:val="003509B3"/>
    <w:rsid w:val="00395413"/>
    <w:rsid w:val="004D0062"/>
    <w:rsid w:val="005A3AF6"/>
    <w:rsid w:val="005C1D97"/>
    <w:rsid w:val="005F4E56"/>
    <w:rsid w:val="00740BCC"/>
    <w:rsid w:val="008016AD"/>
    <w:rsid w:val="0080481A"/>
    <w:rsid w:val="008C3ED4"/>
    <w:rsid w:val="009371AD"/>
    <w:rsid w:val="00961A18"/>
    <w:rsid w:val="009C669C"/>
    <w:rsid w:val="009F1A34"/>
    <w:rsid w:val="00AA1E15"/>
    <w:rsid w:val="00AF1058"/>
    <w:rsid w:val="00C33C69"/>
    <w:rsid w:val="00D71563"/>
    <w:rsid w:val="00FA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851F5"/>
  <w15:chartTrackingRefBased/>
  <w15:docId w15:val="{70A3E3DD-58B9-47F5-8C57-5E72483D1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1058"/>
    <w:pPr>
      <w:spacing w:after="200" w:line="276" w:lineRule="auto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Hoffmann-La Roche, Ltd.</Company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Wang, Peiyin {GRBX~South San Francisco}</dc:creator>
  <cp:keywords/>
  <dc:description/>
  <cp:lastModifiedBy>Wang, Peiyin {GRBX~South San Francisco}</cp:lastModifiedBy>
  <cp:revision>2</cp:revision>
  <dcterms:created xsi:type="dcterms:W3CDTF">2022-03-14T23:50:00Z</dcterms:created>
  <dcterms:modified xsi:type="dcterms:W3CDTF">2022-03-14T23:50:00Z</dcterms:modified>
</cp:coreProperties>
</file>