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517FD" w14:textId="77777777" w:rsidR="00B437D3" w:rsidRPr="005A483F" w:rsidRDefault="00B437D3" w:rsidP="00B437D3">
      <w:pPr>
        <w:spacing w:line="480" w:lineRule="auto"/>
        <w:jc w:val="center"/>
        <w:rPr>
          <w:b/>
          <w:sz w:val="32"/>
        </w:rPr>
      </w:pPr>
      <w:r w:rsidRPr="005A483F">
        <w:rPr>
          <w:rFonts w:hint="eastAsia"/>
          <w:b/>
          <w:sz w:val="32"/>
        </w:rPr>
        <w:t>S</w:t>
      </w:r>
      <w:r w:rsidRPr="005A483F">
        <w:rPr>
          <w:b/>
          <w:sz w:val="32"/>
        </w:rPr>
        <w:t xml:space="preserve">upplementary </w:t>
      </w:r>
      <w:r>
        <w:rPr>
          <w:rFonts w:hint="eastAsia"/>
          <w:b/>
          <w:sz w:val="32"/>
        </w:rPr>
        <w:t>Data</w:t>
      </w:r>
      <w:bookmarkStart w:id="0" w:name="_GoBack"/>
      <w:bookmarkEnd w:id="0"/>
    </w:p>
    <w:p w14:paraId="068604AE" w14:textId="77777777" w:rsidR="00B437D3" w:rsidRDefault="00B437D3" w:rsidP="00B437D3">
      <w:pPr>
        <w:spacing w:line="480" w:lineRule="auto"/>
        <w:jc w:val="center"/>
        <w:rPr>
          <w:b/>
        </w:rPr>
      </w:pPr>
    </w:p>
    <w:p w14:paraId="5E6E2A6D" w14:textId="77777777" w:rsidR="00B437D3" w:rsidRDefault="00B437D3" w:rsidP="00B437D3">
      <w:pPr>
        <w:spacing w:line="480" w:lineRule="auto"/>
        <w:jc w:val="left"/>
        <w:rPr>
          <w:b/>
        </w:rPr>
      </w:pPr>
      <w:r w:rsidRPr="00B437D3">
        <w:rPr>
          <w:b/>
        </w:rPr>
        <w:t xml:space="preserve">High-throughput functional evaluation of </w:t>
      </w:r>
      <w:r w:rsidRPr="00BE7A0B">
        <w:rPr>
          <w:b/>
          <w:i/>
        </w:rPr>
        <w:t>MAP2K1</w:t>
      </w:r>
      <w:r w:rsidRPr="00B437D3">
        <w:rPr>
          <w:b/>
        </w:rPr>
        <w:t xml:space="preserve"> variants in cancer</w:t>
      </w:r>
    </w:p>
    <w:p w14:paraId="435E7FAC" w14:textId="77777777" w:rsidR="00B437D3" w:rsidRPr="00B8364A" w:rsidRDefault="00B437D3" w:rsidP="00B437D3">
      <w:pPr>
        <w:spacing w:line="480" w:lineRule="auto"/>
        <w:jc w:val="left"/>
        <w:rPr>
          <w:b/>
        </w:rPr>
      </w:pPr>
    </w:p>
    <w:p w14:paraId="1B54CECA" w14:textId="77777777" w:rsidR="00B437D3" w:rsidRPr="00D0618C" w:rsidRDefault="00B437D3" w:rsidP="00B437D3">
      <w:pPr>
        <w:spacing w:line="480" w:lineRule="auto"/>
        <w:jc w:val="left"/>
        <w:rPr>
          <w:b/>
        </w:rPr>
      </w:pPr>
      <w:r w:rsidRPr="00D0618C">
        <w:rPr>
          <w:b/>
        </w:rPr>
        <w:t>Contents:</w:t>
      </w:r>
    </w:p>
    <w:p w14:paraId="1F8DE50A" w14:textId="77777777" w:rsidR="00B437D3" w:rsidRDefault="00B437D3" w:rsidP="00B437D3">
      <w:pPr>
        <w:spacing w:line="480" w:lineRule="auto"/>
        <w:jc w:val="left"/>
        <w:rPr>
          <w:b/>
        </w:rPr>
      </w:pPr>
      <w:r w:rsidRPr="00D0618C">
        <w:rPr>
          <w:b/>
        </w:rPr>
        <w:t xml:space="preserve">Supplementary </w:t>
      </w:r>
      <w:r>
        <w:rPr>
          <w:b/>
        </w:rPr>
        <w:t>F</w:t>
      </w:r>
      <w:r w:rsidRPr="00D0618C">
        <w:rPr>
          <w:b/>
        </w:rPr>
        <w:t>igure 1-</w:t>
      </w:r>
      <w:r>
        <w:rPr>
          <w:b/>
        </w:rPr>
        <w:t>1</w:t>
      </w:r>
      <w:r w:rsidR="00125265">
        <w:rPr>
          <w:b/>
        </w:rPr>
        <w:t>7</w:t>
      </w:r>
    </w:p>
    <w:p w14:paraId="2198795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Cs/>
        </w:rPr>
        <w:br w:type="page"/>
      </w:r>
    </w:p>
    <w:p w14:paraId="7172D33E" w14:textId="77777777" w:rsidR="00C752F4" w:rsidRPr="008B0CD9" w:rsidRDefault="00A45200" w:rsidP="00C752F4">
      <w:pPr>
        <w:pStyle w:val="Web"/>
        <w:kinsoku w:val="0"/>
        <w:adjustRightInd w:val="0"/>
        <w:snapToGrid w:val="0"/>
        <w:spacing w:before="0" w:beforeAutospacing="0" w:after="0" w:afterAutospacing="0" w:line="480" w:lineRule="auto"/>
        <w:jc w:val="both"/>
        <w:rPr>
          <w:rFonts w:eastAsiaTheme="minorEastAsia"/>
          <w:b/>
        </w:rPr>
      </w:pPr>
      <w:r>
        <w:rPr>
          <w:rFonts w:eastAsiaTheme="minorEastAsia"/>
          <w:b/>
          <w:noProof/>
        </w:rPr>
        <w:lastRenderedPageBreak/>
        <w:drawing>
          <wp:anchor distT="0" distB="0" distL="114300" distR="114300" simplePos="0" relativeHeight="251678720" behindDoc="0" locked="0" layoutInCell="1" allowOverlap="1" wp14:anchorId="13471E17" wp14:editId="2A5A22FC">
            <wp:simplePos x="0" y="0"/>
            <wp:positionH relativeFrom="column">
              <wp:posOffset>3230</wp:posOffset>
            </wp:positionH>
            <wp:positionV relativeFrom="paragraph">
              <wp:posOffset>1795</wp:posOffset>
            </wp:positionV>
            <wp:extent cx="3462655" cy="2390140"/>
            <wp:effectExtent l="0" t="0" r="444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655" cy="2390140"/>
                    </a:xfrm>
                    <a:prstGeom prst="rect">
                      <a:avLst/>
                    </a:prstGeom>
                    <a:noFill/>
                  </pic:spPr>
                </pic:pic>
              </a:graphicData>
            </a:graphic>
            <wp14:sizeRelH relativeFrom="page">
              <wp14:pctWidth>0</wp14:pctWidth>
            </wp14:sizeRelH>
            <wp14:sizeRelV relativeFrom="page">
              <wp14:pctHeight>0</wp14:pctHeight>
            </wp14:sizeRelV>
          </wp:anchor>
        </w:drawing>
      </w:r>
    </w:p>
    <w:p w14:paraId="5D1EE1E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04CDB98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635362F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1109297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2787FAB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26A930F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43C762D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5326E0E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upplementary Figure S1: Functional classed of MEK mutations</w:t>
      </w:r>
    </w:p>
    <w:p w14:paraId="158E531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Cs/>
        </w:rPr>
        <w:t>Schemas show physiologic MAPK pathway signaling in cells with MAP2K1 mutants. RAF-dependent mutants increase ERK activation only in a situation with active RAF. RAF-regulated MAP2K1 mutants likely exhibit independent kinase activity, but this activity can be activated by activated RAF to augment signaling. RAF-independent MAP2K1 mutants strongly activate ERK and induce negative feedback to upstream signaling by autophosphorylation.</w:t>
      </w:r>
      <w:r w:rsidRPr="008B0CD9">
        <w:rPr>
          <w:rFonts w:eastAsiaTheme="minorEastAsia"/>
          <w:bCs/>
        </w:rPr>
        <w:br w:type="page"/>
      </w:r>
    </w:p>
    <w:p w14:paraId="10154430" w14:textId="77777777" w:rsidR="00C752F4" w:rsidRPr="008B0CD9" w:rsidRDefault="00DE4034"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79744" behindDoc="0" locked="0" layoutInCell="1" allowOverlap="1" wp14:anchorId="5EFCF416" wp14:editId="292CE854">
            <wp:simplePos x="0" y="0"/>
            <wp:positionH relativeFrom="margin">
              <wp:align>left</wp:align>
            </wp:positionH>
            <wp:positionV relativeFrom="paragraph">
              <wp:posOffset>1795</wp:posOffset>
            </wp:positionV>
            <wp:extent cx="3964791" cy="6718852"/>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4791" cy="6718852"/>
                    </a:xfrm>
                    <a:prstGeom prst="rect">
                      <a:avLst/>
                    </a:prstGeom>
                    <a:noFill/>
                  </pic:spPr>
                </pic:pic>
              </a:graphicData>
            </a:graphic>
            <wp14:sizeRelH relativeFrom="page">
              <wp14:pctWidth>0</wp14:pctWidth>
            </wp14:sizeRelH>
            <wp14:sizeRelV relativeFrom="page">
              <wp14:pctHeight>0</wp14:pctHeight>
            </wp14:sizeRelV>
          </wp:anchor>
        </w:drawing>
      </w:r>
    </w:p>
    <w:p w14:paraId="1AE5A1D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67E2B4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14F979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577504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D5068A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0CB778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8B4697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C3F507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3FE319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9C1DB6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D09EA7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073882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B3A31B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292A15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E432D8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236D8D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D28473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D41679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13015C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CC0C04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 xml:space="preserve">upplementary Figure S2: </w:t>
      </w:r>
      <w:r w:rsidRPr="008B0CD9">
        <w:rPr>
          <w:rFonts w:eastAsiaTheme="minorEastAsia" w:hint="eastAsia"/>
          <w:b/>
        </w:rPr>
        <w:t>Representative images of the focus formation assay in 3T3 cells</w:t>
      </w:r>
    </w:p>
    <w:p w14:paraId="299DFC4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hint="eastAsia"/>
          <w:bCs/>
        </w:rPr>
        <w:lastRenderedPageBreak/>
        <w:t xml:space="preserve">These images show 3T3 cells stained with Giemsa stain after the focus formation assay. Each variant with 3 different barcodes was prepared </w:t>
      </w:r>
      <w:r w:rsidRPr="008B0CD9">
        <w:rPr>
          <w:rFonts w:eastAsiaTheme="minorEastAsia"/>
          <w:bCs/>
        </w:rPr>
        <w:t>in</w:t>
      </w:r>
      <w:r w:rsidRPr="008B0CD9">
        <w:rPr>
          <w:rFonts w:eastAsiaTheme="minorEastAsia" w:hint="eastAsia"/>
          <w:bCs/>
        </w:rPr>
        <w:t xml:space="preserve"> biological triplicate and technical duplicate assays. The color of the columns on the right indicates the focus formation scoring. WT, wild-type.</w:t>
      </w:r>
      <w:r w:rsidRPr="008B0CD9">
        <w:rPr>
          <w:rFonts w:eastAsiaTheme="minorEastAsia"/>
          <w:bCs/>
        </w:rPr>
        <w:br w:type="page"/>
      </w:r>
    </w:p>
    <w:p w14:paraId="2CE2F885" w14:textId="77777777" w:rsidR="00C752F4" w:rsidRPr="008B0CD9" w:rsidRDefault="00DE4034"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80768" behindDoc="0" locked="0" layoutInCell="1" allowOverlap="1" wp14:anchorId="3AD9AD6A" wp14:editId="4BDE9F9D">
            <wp:simplePos x="0" y="0"/>
            <wp:positionH relativeFrom="margin">
              <wp:align>left</wp:align>
            </wp:positionH>
            <wp:positionV relativeFrom="paragraph">
              <wp:posOffset>-9744</wp:posOffset>
            </wp:positionV>
            <wp:extent cx="5210913" cy="6180083"/>
            <wp:effectExtent l="0" t="0" r="889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913" cy="6180083"/>
                    </a:xfrm>
                    <a:prstGeom prst="rect">
                      <a:avLst/>
                    </a:prstGeom>
                    <a:noFill/>
                  </pic:spPr>
                </pic:pic>
              </a:graphicData>
            </a:graphic>
            <wp14:sizeRelH relativeFrom="page">
              <wp14:pctWidth>0</wp14:pctWidth>
            </wp14:sizeRelH>
            <wp14:sizeRelV relativeFrom="page">
              <wp14:pctHeight>0</wp14:pctHeight>
            </wp14:sizeRelV>
          </wp:anchor>
        </w:drawing>
      </w:r>
    </w:p>
    <w:p w14:paraId="1A64D4E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949039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11C08AE"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B85DDF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9A1362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8A765C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8F9A8C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CCC36B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15B668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A78A89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1E8DCD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D6CBCC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F922F1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625BD0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0D0B0E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120143E"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6B5657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8016E7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9F9052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147B5A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710DDF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D208189" w14:textId="77777777" w:rsidR="00C752F4" w:rsidRPr="008B0CD9" w:rsidRDefault="00DE4034"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81792" behindDoc="0" locked="0" layoutInCell="1" allowOverlap="1" wp14:anchorId="369E174A" wp14:editId="69F02FC5">
            <wp:simplePos x="0" y="0"/>
            <wp:positionH relativeFrom="margin">
              <wp:posOffset>-788</wp:posOffset>
            </wp:positionH>
            <wp:positionV relativeFrom="paragraph">
              <wp:posOffset>-10225</wp:posOffset>
            </wp:positionV>
            <wp:extent cx="5361158" cy="7693572"/>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1158" cy="7693572"/>
                    </a:xfrm>
                    <a:prstGeom prst="rect">
                      <a:avLst/>
                    </a:prstGeom>
                    <a:noFill/>
                  </pic:spPr>
                </pic:pic>
              </a:graphicData>
            </a:graphic>
            <wp14:sizeRelH relativeFrom="page">
              <wp14:pctWidth>0</wp14:pctWidth>
            </wp14:sizeRelH>
            <wp14:sizeRelV relativeFrom="page">
              <wp14:pctHeight>0</wp14:pctHeight>
            </wp14:sizeRelV>
          </wp:anchor>
        </w:drawing>
      </w:r>
    </w:p>
    <w:p w14:paraId="531623B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364C6C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C2A629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115DBD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EA02A9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18EA80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8D06E0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F19F4D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1D1831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D9FC82E"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5CF3BB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A31CAD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340912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F0C305E"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1A88BC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A05F32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14D238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75923D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1C116F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79A16F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D6F951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CB65B6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lastRenderedPageBreak/>
        <w:t>S</w:t>
      </w:r>
      <w:r w:rsidRPr="008B0CD9">
        <w:rPr>
          <w:rFonts w:eastAsiaTheme="minorEastAsia"/>
          <w:b/>
        </w:rPr>
        <w:t xml:space="preserve">upplementary Figure S3: </w:t>
      </w:r>
      <w:r w:rsidRPr="008B0CD9">
        <w:rPr>
          <w:rFonts w:eastAsiaTheme="minorEastAsia" w:hint="eastAsia"/>
          <w:b/>
        </w:rPr>
        <w:t xml:space="preserve">Growth advantage of </w:t>
      </w:r>
      <w:r w:rsidRPr="008B0CD9">
        <w:rPr>
          <w:rFonts w:eastAsiaTheme="minorEastAsia" w:hint="eastAsia"/>
          <w:b/>
          <w:i/>
          <w:iCs/>
        </w:rPr>
        <w:t>MAP2K1</w:t>
      </w:r>
      <w:r w:rsidRPr="008B0CD9">
        <w:rPr>
          <w:rFonts w:eastAsiaTheme="minorEastAsia" w:hint="eastAsia"/>
          <w:b/>
        </w:rPr>
        <w:t xml:space="preserve"> variants sorted in ascending order of proliferating mutations</w:t>
      </w:r>
    </w:p>
    <w:p w14:paraId="7ADD816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
        </w:rPr>
        <w:t>A,</w:t>
      </w:r>
      <w:r w:rsidRPr="008B0CD9">
        <w:rPr>
          <w:rFonts w:eastAsiaTheme="minorEastAsia"/>
          <w:bCs/>
        </w:rPr>
        <w:t xml:space="preserve"> </w:t>
      </w:r>
      <w:proofErr w:type="gramStart"/>
      <w:r w:rsidRPr="008B0CD9">
        <w:rPr>
          <w:rFonts w:eastAsiaTheme="minorEastAsia"/>
          <w:bCs/>
        </w:rPr>
        <w:t>The</w:t>
      </w:r>
      <w:proofErr w:type="gramEnd"/>
      <w:r w:rsidRPr="008B0CD9">
        <w:rPr>
          <w:rFonts w:eastAsiaTheme="minorEastAsia" w:hint="eastAsia"/>
          <w:bCs/>
        </w:rPr>
        <w:t xml:space="preserve"> relative proliferation shown in Figure 2A is sorted in ascending order of proliferating mutations.</w:t>
      </w:r>
      <w:r w:rsidRPr="008B0CD9">
        <w:rPr>
          <w:rFonts w:eastAsiaTheme="minorEastAsia"/>
          <w:bCs/>
        </w:rPr>
        <w:t xml:space="preserve"> </w:t>
      </w:r>
      <w:r w:rsidRPr="008B0CD9">
        <w:rPr>
          <w:rFonts w:eastAsiaTheme="minorEastAsia"/>
          <w:b/>
        </w:rPr>
        <w:t>B,</w:t>
      </w:r>
      <w:r w:rsidRPr="008B0CD9">
        <w:rPr>
          <w:rFonts w:eastAsiaTheme="minorEastAsia"/>
          <w:bCs/>
        </w:rPr>
        <w:t xml:space="preserve"> </w:t>
      </w:r>
      <w:r w:rsidRPr="008B0CD9">
        <w:rPr>
          <w:rFonts w:eastAsiaTheme="minorEastAsia" w:hint="eastAsia"/>
          <w:bCs/>
        </w:rPr>
        <w:t xml:space="preserve">Chronological change of 3T3 cells with MAP2K1 variants. </w:t>
      </w:r>
      <w:r w:rsidRPr="008B0CD9">
        <w:rPr>
          <w:rFonts w:eastAsiaTheme="minorEastAsia"/>
          <w:bCs/>
        </w:rPr>
        <w:t xml:space="preserve">3T3 cells expressing various MAP2K1 variants were mixed and cultured in DMEM-F12 with 1.5% FBS for 17 days or 10% FBS for 14 days. The relative proliferation was evaluated every 3 to 5 days as the fold-change in the ratio of the barcode number of MAP2K1 variants relative to day 0, which is also compensated by the value of MAP2K1 WT. The values are shown in a logarithmic scale. WT, wild-type. </w:t>
      </w:r>
      <w:r w:rsidRPr="008B0CD9">
        <w:rPr>
          <w:rFonts w:eastAsiaTheme="minorEastAsia"/>
          <w:b/>
        </w:rPr>
        <w:t xml:space="preserve">C, </w:t>
      </w:r>
      <w:r w:rsidRPr="008B0CD9">
        <w:t xml:space="preserve">Assessment of protein expression of MAP2K1 variants by western blotting. </w:t>
      </w:r>
      <w:r w:rsidRPr="008B0CD9">
        <w:rPr>
          <w:rFonts w:eastAsiaTheme="minorEastAsia"/>
          <w:bCs/>
        </w:rPr>
        <w:t xml:space="preserve">The whole-cell lysates of A375 cells with MAP2K1 variants or GFP were analyzed by western blot analysis using antibodies against MEK1/2 and GAPDH. The ratio of MEK1/2 to GAPDH is shown as a bar graph. </w:t>
      </w:r>
      <w:r w:rsidRPr="008B0CD9">
        <w:rPr>
          <w:rFonts w:eastAsiaTheme="minorEastAsia"/>
          <w:b/>
        </w:rPr>
        <w:t xml:space="preserve">D, </w:t>
      </w:r>
      <w:r w:rsidRPr="008B0CD9">
        <w:rPr>
          <w:rFonts w:eastAsiaTheme="minorEastAsia"/>
        </w:rPr>
        <w:t>MAP2K1 variant function in 293T cells. Several variants were introduced into 293T cells and 5.0×10</w:t>
      </w:r>
      <w:r w:rsidRPr="008B0CD9">
        <w:rPr>
          <w:rFonts w:eastAsiaTheme="minorEastAsia"/>
          <w:vertAlign w:val="superscript"/>
        </w:rPr>
        <w:t>4</w:t>
      </w:r>
      <w:r w:rsidRPr="008B0CD9">
        <w:rPr>
          <w:rFonts w:eastAsiaTheme="minorEastAsia"/>
        </w:rPr>
        <w:t xml:space="preserve"> cells were seeded at day 0 to evaluate the cell growth at day 1, 3 and 5</w:t>
      </w:r>
      <w:r w:rsidRPr="008B0CD9">
        <w:t xml:space="preserve"> </w:t>
      </w:r>
      <w:r w:rsidRPr="008B0CD9">
        <w:rPr>
          <w:rFonts w:eastAsiaTheme="minorEastAsia"/>
        </w:rPr>
        <w:t>(*</w:t>
      </w:r>
      <w:r w:rsidRPr="008B0CD9">
        <w:rPr>
          <w:rFonts w:eastAsiaTheme="minorEastAsia"/>
          <w:i/>
        </w:rPr>
        <w:t xml:space="preserve">p </w:t>
      </w:r>
      <w:r w:rsidRPr="008B0CD9">
        <w:rPr>
          <w:rFonts w:eastAsiaTheme="minorEastAsia"/>
        </w:rPr>
        <w:t>&lt; 0.05 to WT by paired t test).</w:t>
      </w:r>
      <w:r w:rsidRPr="008B0CD9">
        <w:rPr>
          <w:rFonts w:eastAsiaTheme="minorEastAsia"/>
          <w:b/>
        </w:rPr>
        <w:t xml:space="preserve"> E,</w:t>
      </w:r>
      <w:r w:rsidRPr="008B0CD9">
        <w:rPr>
          <w:rFonts w:eastAsiaTheme="minorEastAsia"/>
          <w:bCs/>
        </w:rPr>
        <w:t xml:space="preserve"> Correlation between cell proliferation assay and focus formation assay. The Kruskal-Wallis test was used to analyze the overall group differences. The Steel-</w:t>
      </w:r>
      <w:proofErr w:type="spellStart"/>
      <w:r w:rsidRPr="008B0CD9">
        <w:rPr>
          <w:rFonts w:eastAsiaTheme="minorEastAsia"/>
          <w:bCs/>
        </w:rPr>
        <w:t>Dwass</w:t>
      </w:r>
      <w:proofErr w:type="spellEnd"/>
      <w:r w:rsidRPr="008B0CD9">
        <w:rPr>
          <w:rFonts w:eastAsiaTheme="minorEastAsia"/>
          <w:bCs/>
        </w:rPr>
        <w:t xml:space="preserve"> test was used as a post-hoc test for between-group differences in cell proliferation rates.</w:t>
      </w:r>
    </w:p>
    <w:p w14:paraId="1EB9C6A7" w14:textId="77777777" w:rsidR="00C752F4" w:rsidRPr="008B0CD9" w:rsidRDefault="00C752F4" w:rsidP="00C752F4">
      <w:pPr>
        <w:rPr>
          <w:bCs/>
        </w:rPr>
      </w:pPr>
      <w:r w:rsidRPr="008B0CD9">
        <w:rPr>
          <w:bCs/>
        </w:rPr>
        <w:br w:type="page"/>
      </w:r>
    </w:p>
    <w:p w14:paraId="5806A8BE" w14:textId="77777777" w:rsidR="00C752F4" w:rsidRPr="008B0CD9" w:rsidRDefault="009849E1"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82816" behindDoc="0" locked="0" layoutInCell="1" allowOverlap="1" wp14:anchorId="3E659A1E" wp14:editId="5AD64CE9">
            <wp:simplePos x="0" y="0"/>
            <wp:positionH relativeFrom="margin">
              <wp:align>right</wp:align>
            </wp:positionH>
            <wp:positionV relativeFrom="paragraph">
              <wp:posOffset>766</wp:posOffset>
            </wp:positionV>
            <wp:extent cx="5612524" cy="3782504"/>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524" cy="3782504"/>
                    </a:xfrm>
                    <a:prstGeom prst="rect">
                      <a:avLst/>
                    </a:prstGeom>
                    <a:noFill/>
                  </pic:spPr>
                </pic:pic>
              </a:graphicData>
            </a:graphic>
            <wp14:sizeRelH relativeFrom="page">
              <wp14:pctWidth>0</wp14:pctWidth>
            </wp14:sizeRelH>
            <wp14:sizeRelV relativeFrom="page">
              <wp14:pctHeight>0</wp14:pctHeight>
            </wp14:sizeRelV>
          </wp:anchor>
        </w:drawing>
      </w:r>
    </w:p>
    <w:p w14:paraId="1284641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C00320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E8CEDF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F9132D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058E28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CF6853E"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8628A9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76ABDD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5026B0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8D0B7BE"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A25E9C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B8798B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upplementary Figure S4: The sensitivity of MAP2K1 variants to MEK inhibitor in MANO method in 3T3</w:t>
      </w:r>
    </w:p>
    <w:p w14:paraId="1BFAA19D" w14:textId="77777777" w:rsidR="00C752F4" w:rsidRPr="008B0CD9" w:rsidRDefault="00C752F4" w:rsidP="00C752F4">
      <w:pPr>
        <w:pStyle w:val="Web"/>
        <w:kinsoku w:val="0"/>
        <w:adjustRightInd w:val="0"/>
        <w:snapToGrid w:val="0"/>
        <w:spacing w:before="0" w:beforeAutospacing="0" w:after="0" w:afterAutospacing="0" w:line="480" w:lineRule="auto"/>
        <w:jc w:val="both"/>
      </w:pPr>
      <w:r w:rsidRPr="008B0CD9">
        <w:rPr>
          <w:rFonts w:eastAsiaTheme="minorEastAsia"/>
          <w:bCs/>
        </w:rPr>
        <w:t xml:space="preserve">3T3 cells with MAP2K1 variants and GFP were treated with DMSO or MEK inhibitors (trametinib) at the indicated concentrations, and the MEK inhibitors were varied by 12 steps (0 to 10,000 </w:t>
      </w:r>
      <w:proofErr w:type="spellStart"/>
      <w:r w:rsidRPr="008B0CD9">
        <w:rPr>
          <w:rFonts w:eastAsiaTheme="minorEastAsia"/>
          <w:bCs/>
        </w:rPr>
        <w:t>nM</w:t>
      </w:r>
      <w:proofErr w:type="spellEnd"/>
      <w:r w:rsidRPr="008B0CD9">
        <w:rPr>
          <w:rFonts w:eastAsiaTheme="minorEastAsia"/>
          <w:bCs/>
        </w:rPr>
        <w:t xml:space="preserve">). </w:t>
      </w:r>
      <w:r w:rsidRPr="008B0CD9">
        <w:t>Data are presented as mean ± SD (n = 3)</w:t>
      </w:r>
      <w:r w:rsidRPr="008B0CD9">
        <w:br w:type="page"/>
      </w:r>
    </w:p>
    <w:p w14:paraId="7916C4B2" w14:textId="77777777" w:rsidR="00C752F4" w:rsidRPr="008B0CD9" w:rsidRDefault="009849E1" w:rsidP="00C752F4">
      <w:pPr>
        <w:pStyle w:val="Web"/>
        <w:kinsoku w:val="0"/>
        <w:adjustRightInd w:val="0"/>
        <w:snapToGrid w:val="0"/>
        <w:spacing w:before="0" w:beforeAutospacing="0" w:after="0" w:afterAutospacing="0" w:line="480" w:lineRule="auto"/>
        <w:jc w:val="both"/>
      </w:pPr>
      <w:r>
        <w:rPr>
          <w:noProof/>
        </w:rPr>
        <w:lastRenderedPageBreak/>
        <w:drawing>
          <wp:anchor distT="0" distB="0" distL="114300" distR="114300" simplePos="0" relativeHeight="251683840" behindDoc="0" locked="0" layoutInCell="1" allowOverlap="1" wp14:anchorId="6A516294" wp14:editId="4F3FC319">
            <wp:simplePos x="0" y="0"/>
            <wp:positionH relativeFrom="column">
              <wp:posOffset>2431</wp:posOffset>
            </wp:positionH>
            <wp:positionV relativeFrom="paragraph">
              <wp:posOffset>766</wp:posOffset>
            </wp:positionV>
            <wp:extent cx="5612130" cy="7492708"/>
            <wp:effectExtent l="0" t="0" r="762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492708"/>
                    </a:xfrm>
                    <a:prstGeom prst="rect">
                      <a:avLst/>
                    </a:prstGeom>
                    <a:noFill/>
                  </pic:spPr>
                </pic:pic>
              </a:graphicData>
            </a:graphic>
            <wp14:sizeRelH relativeFrom="page">
              <wp14:pctWidth>0</wp14:pctWidth>
            </wp14:sizeRelH>
            <wp14:sizeRelV relativeFrom="page">
              <wp14:pctHeight>0</wp14:pctHeight>
            </wp14:sizeRelV>
          </wp:anchor>
        </w:drawing>
      </w:r>
    </w:p>
    <w:p w14:paraId="7984D77F"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784C26A2"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1C730CAA"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04B99A52"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5F61F6FB"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4C4CE80E"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3D6F3801"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6EC44CD0"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7BC3A837"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1C195279"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127DB59D"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7BAD10B6"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39671DAA"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43E9CCDD"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7B650669"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6DB3D8F6"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27974816"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71B52B10"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4E41F20F"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52EFFCFE" w14:textId="77777777" w:rsidR="00C752F4" w:rsidRPr="008B0CD9" w:rsidRDefault="00C752F4" w:rsidP="00C752F4">
      <w:pPr>
        <w:pStyle w:val="Web"/>
        <w:kinsoku w:val="0"/>
        <w:adjustRightInd w:val="0"/>
        <w:snapToGrid w:val="0"/>
        <w:spacing w:before="0" w:beforeAutospacing="0" w:after="0" w:afterAutospacing="0" w:line="480" w:lineRule="auto"/>
        <w:jc w:val="both"/>
      </w:pPr>
    </w:p>
    <w:p w14:paraId="5BC98A6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DD0052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lastRenderedPageBreak/>
        <w:t>S</w:t>
      </w:r>
      <w:r w:rsidRPr="008B0CD9">
        <w:rPr>
          <w:rFonts w:eastAsiaTheme="minorEastAsia"/>
          <w:b/>
        </w:rPr>
        <w:t xml:space="preserve">upplementary Figure S5: </w:t>
      </w:r>
      <w:r w:rsidRPr="008B0CD9">
        <w:rPr>
          <w:rFonts w:eastAsiaTheme="minorEastAsia" w:hint="eastAsia"/>
          <w:b/>
        </w:rPr>
        <w:t>Concurrent mutation with BRAF</w:t>
      </w:r>
      <w:r w:rsidRPr="008B0CD9">
        <w:rPr>
          <w:rFonts w:eastAsiaTheme="minorEastAsia"/>
          <w:b/>
        </w:rPr>
        <w:t xml:space="preserve"> </w:t>
      </w:r>
      <w:bookmarkStart w:id="1" w:name="_Hlk88561500"/>
      <w:r w:rsidRPr="008B0CD9">
        <w:rPr>
          <w:rFonts w:eastAsiaTheme="minorEastAsia"/>
          <w:b/>
        </w:rPr>
        <w:t>V600E/K/R</w:t>
      </w:r>
      <w:bookmarkEnd w:id="1"/>
      <w:r w:rsidRPr="008B0CD9">
        <w:rPr>
          <w:rFonts w:eastAsiaTheme="minorEastAsia" w:hint="eastAsia"/>
          <w:b/>
        </w:rPr>
        <w:t xml:space="preserve"> mutation in the COSMIC database</w:t>
      </w:r>
    </w:p>
    <w:p w14:paraId="1062CB04"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r w:rsidRPr="008B0CD9">
        <w:rPr>
          <w:rFonts w:eastAsiaTheme="minorEastAsia"/>
          <w:bCs/>
        </w:rPr>
        <w:t>Number of tumor samples with co-mutations of BRAF</w:t>
      </w:r>
      <w:r w:rsidRPr="008B0CD9">
        <w:t xml:space="preserve"> </w:t>
      </w:r>
      <w:r w:rsidRPr="008B0CD9">
        <w:rPr>
          <w:rFonts w:eastAsiaTheme="minorEastAsia"/>
          <w:bCs/>
        </w:rPr>
        <w:t>V600E/K/R with MAP2K1 in database. Blue and orange bars indicate co-mutation and simple mutation, respectively. T</w:t>
      </w:r>
      <w:r w:rsidRPr="008B0CD9">
        <w:rPr>
          <w:bCs/>
        </w:rPr>
        <w:t>he</w:t>
      </w:r>
      <w:r w:rsidRPr="008B0CD9">
        <w:rPr>
          <w:rFonts w:hint="eastAsia"/>
          <w:bCs/>
        </w:rPr>
        <w:t xml:space="preserve"> circle chart</w:t>
      </w:r>
      <w:r w:rsidRPr="008B0CD9">
        <w:rPr>
          <w:bCs/>
        </w:rPr>
        <w:t>s</w:t>
      </w:r>
      <w:r w:rsidRPr="008B0CD9">
        <w:rPr>
          <w:rFonts w:hint="eastAsia"/>
          <w:bCs/>
        </w:rPr>
        <w:t xml:space="preserve"> show </w:t>
      </w:r>
      <w:r w:rsidRPr="008B0CD9">
        <w:rPr>
          <w:bCs/>
        </w:rPr>
        <w:t xml:space="preserve">the </w:t>
      </w:r>
      <w:r w:rsidRPr="008B0CD9">
        <w:rPr>
          <w:rFonts w:hint="eastAsia"/>
          <w:bCs/>
        </w:rPr>
        <w:t xml:space="preserve">percentage of </w:t>
      </w:r>
      <w:r w:rsidRPr="008B0CD9">
        <w:rPr>
          <w:bCs/>
        </w:rPr>
        <w:t xml:space="preserve">the tissue-specific distribution of recurrent (n ≥ 2) co-mutation between </w:t>
      </w:r>
      <w:r w:rsidRPr="008B0CD9">
        <w:rPr>
          <w:rFonts w:eastAsiaTheme="minorEastAsia"/>
          <w:bCs/>
          <w:i/>
          <w:iCs/>
        </w:rPr>
        <w:t>BRAF</w:t>
      </w:r>
      <w:r w:rsidRPr="008B0CD9">
        <w:rPr>
          <w:rFonts w:eastAsiaTheme="minorEastAsia"/>
          <w:bCs/>
        </w:rPr>
        <w:t xml:space="preserve"> and </w:t>
      </w:r>
      <w:r w:rsidRPr="008B0CD9">
        <w:rPr>
          <w:rFonts w:eastAsiaTheme="minorEastAsia"/>
          <w:bCs/>
          <w:i/>
          <w:iCs/>
        </w:rPr>
        <w:t>MAP2K1</w:t>
      </w:r>
      <w:r w:rsidRPr="008B0CD9">
        <w:rPr>
          <w:rFonts w:hint="eastAsia"/>
          <w:bCs/>
        </w:rPr>
        <w:t xml:space="preserve"> mutation</w:t>
      </w:r>
      <w:r w:rsidRPr="008B0CD9">
        <w:rPr>
          <w:bCs/>
        </w:rPr>
        <w:t>s</w:t>
      </w:r>
      <w:r w:rsidRPr="008B0CD9">
        <w:rPr>
          <w:rFonts w:hint="eastAsia"/>
          <w:bCs/>
        </w:rPr>
        <w:t xml:space="preserve"> selected.</w:t>
      </w:r>
      <w:r w:rsidRPr="008B0CD9">
        <w:rPr>
          <w:rFonts w:eastAsiaTheme="minorEastAsia"/>
          <w:b/>
        </w:rPr>
        <w:t xml:space="preserve"> A,</w:t>
      </w:r>
      <w:r w:rsidRPr="008B0CD9">
        <w:rPr>
          <w:rFonts w:eastAsiaTheme="minorEastAsia"/>
          <w:bCs/>
        </w:rPr>
        <w:t xml:space="preserve"> COSMIC database. </w:t>
      </w:r>
      <w:r w:rsidRPr="008B0CD9">
        <w:rPr>
          <w:rFonts w:eastAsiaTheme="minorEastAsia"/>
          <w:b/>
        </w:rPr>
        <w:t>B,</w:t>
      </w:r>
      <w:r w:rsidRPr="008B0CD9">
        <w:rPr>
          <w:rFonts w:eastAsiaTheme="minorEastAsia"/>
          <w:bCs/>
        </w:rPr>
        <w:t xml:space="preserve"> TCGA study </w:t>
      </w:r>
      <w:r w:rsidRPr="008B0CD9">
        <w:rPr>
          <w:rFonts w:eastAsiaTheme="minorEastAsia"/>
          <w:bCs/>
        </w:rPr>
        <w:fldChar w:fldCharType="begin"/>
      </w:r>
      <w:r w:rsidRPr="008B0CD9">
        <w:rPr>
          <w:rFonts w:eastAsiaTheme="minorEastAsia"/>
          <w:bCs/>
        </w:rPr>
        <w:instrText xml:space="preserve"> ADDIN EN.CITE &lt;EndNote&gt;&lt;Cite&gt;&lt;Author&gt;Cancer Genome Atlas&lt;/Author&gt;&lt;Year&gt;2015&lt;/Year&gt;&lt;RecNum&gt;120&lt;/RecNum&gt;&lt;DisplayText&gt;(63)&lt;/DisplayText&gt;&lt;record&gt;&lt;rec-number&gt;120&lt;/rec-number&gt;&lt;foreign-keys&gt;&lt;key app="EN" db-id="955tr55vdxp05we9de9xtep6tdedef502efx" timestamp="1661029108"&gt;120&lt;/key&gt;&lt;/foreign-keys&gt;&lt;ref-type name="Journal Article"&gt;17&lt;/ref-type&gt;&lt;contributors&gt;&lt;authors&gt;&lt;author&gt;Cancer Genome Atlas, Network&lt;/author&gt;&lt;/authors&gt;&lt;/contributors&gt;&lt;titles&gt;&lt;title&gt;Genomic Classification of Cutaneous Melanoma&lt;/title&gt;&lt;secondary-title&gt;Cell&lt;/secondary-title&gt;&lt;/titles&gt;&lt;periodical&gt;&lt;full-title&gt;Cell&lt;/full-title&gt;&lt;/periodical&gt;&lt;pages&gt;1681-96&lt;/pages&gt;&lt;volume&gt;161&lt;/volume&gt;&lt;number&gt;7&lt;/number&gt;&lt;edition&gt;2015/06/20&lt;/edition&gt;&lt;keywords&gt;&lt;keyword&gt;Databases, Genetic&lt;/keyword&gt;&lt;keyword&gt;Humans&lt;/keyword&gt;&lt;keyword&gt;Melanoma/*classification/*genetics&lt;/keyword&gt;&lt;keyword&gt;Mutation&lt;/keyword&gt;&lt;keyword&gt;National Cancer Institute (U.S.)&lt;/keyword&gt;&lt;keyword&gt;Skin Neoplasms/*classification/*genetics&lt;/keyword&gt;&lt;keyword&gt;United States&lt;/keyword&gt;&lt;/keywords&gt;&lt;dates&gt;&lt;year&gt;2015&lt;/year&gt;&lt;pub-dates&gt;&lt;date&gt;Jun 18&lt;/date&gt;&lt;/pub-dates&gt;&lt;/dates&gt;&lt;isbn&gt;1097-4172 (Electronic)&amp;#xD;0092-8674 (Linking)&lt;/isbn&gt;&lt;accession-num&gt;26091043&lt;/accession-num&gt;&lt;urls&gt;&lt;related-urls&gt;&lt;url&gt;https://www.ncbi.nlm.nih.gov/pubmed/26091043&lt;/url&gt;&lt;/related-urls&gt;&lt;/urls&gt;&lt;custom2&gt;PMC4580370&lt;/custom2&gt;&lt;electronic-resource-num&gt;10.1016/j.cell.2015.05.044&lt;/electronic-resource-num&gt;&lt;/record&gt;&lt;/Cite&gt;&lt;/EndNote&gt;</w:instrText>
      </w:r>
      <w:r w:rsidRPr="008B0CD9">
        <w:rPr>
          <w:rFonts w:eastAsiaTheme="minorEastAsia"/>
          <w:bCs/>
        </w:rPr>
        <w:fldChar w:fldCharType="separate"/>
      </w:r>
      <w:r w:rsidRPr="008B0CD9">
        <w:rPr>
          <w:rFonts w:eastAsiaTheme="minorEastAsia"/>
          <w:bCs/>
          <w:noProof/>
        </w:rPr>
        <w:t>(63)</w:t>
      </w:r>
      <w:r w:rsidRPr="008B0CD9">
        <w:rPr>
          <w:rFonts w:eastAsiaTheme="minorEastAsia"/>
          <w:bCs/>
        </w:rPr>
        <w:fldChar w:fldCharType="end"/>
      </w:r>
      <w:r w:rsidRPr="008B0CD9">
        <w:rPr>
          <w:rFonts w:eastAsiaTheme="minorEastAsia"/>
          <w:bCs/>
        </w:rPr>
        <w:t xml:space="preserve">. </w:t>
      </w:r>
      <w:r w:rsidRPr="008B0CD9">
        <w:rPr>
          <w:rFonts w:eastAsiaTheme="minorEastAsia"/>
          <w:b/>
        </w:rPr>
        <w:t>C,</w:t>
      </w:r>
      <w:r w:rsidRPr="008B0CD9">
        <w:rPr>
          <w:rFonts w:eastAsiaTheme="minorEastAsia"/>
          <w:bCs/>
        </w:rPr>
        <w:t xml:space="preserve"> AACR GENIE.</w:t>
      </w:r>
      <w:r w:rsidRPr="008B0CD9">
        <w:rPr>
          <w:bCs/>
        </w:rPr>
        <w:br w:type="page"/>
      </w:r>
    </w:p>
    <w:p w14:paraId="3913191E" w14:textId="77777777" w:rsidR="00C752F4" w:rsidRPr="008B0CD9" w:rsidRDefault="009849E1" w:rsidP="00C752F4">
      <w:pPr>
        <w:pStyle w:val="Web"/>
        <w:kinsoku w:val="0"/>
        <w:adjustRightInd w:val="0"/>
        <w:snapToGrid w:val="0"/>
        <w:spacing w:before="0" w:beforeAutospacing="0" w:after="0" w:afterAutospacing="0" w:line="480" w:lineRule="auto"/>
        <w:jc w:val="both"/>
        <w:rPr>
          <w:bCs/>
        </w:rPr>
      </w:pPr>
      <w:r>
        <w:rPr>
          <w:bCs/>
          <w:noProof/>
        </w:rPr>
        <w:lastRenderedPageBreak/>
        <w:drawing>
          <wp:anchor distT="0" distB="0" distL="114300" distR="114300" simplePos="0" relativeHeight="251684864" behindDoc="0" locked="0" layoutInCell="1" allowOverlap="1" wp14:anchorId="5C2C6F2C" wp14:editId="2FB1C3B3">
            <wp:simplePos x="0" y="0"/>
            <wp:positionH relativeFrom="margin">
              <wp:align>left</wp:align>
            </wp:positionH>
            <wp:positionV relativeFrom="paragraph">
              <wp:posOffset>766</wp:posOffset>
            </wp:positionV>
            <wp:extent cx="5629274" cy="4656083"/>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4" cy="4656083"/>
                    </a:xfrm>
                    <a:prstGeom prst="rect">
                      <a:avLst/>
                    </a:prstGeom>
                    <a:noFill/>
                  </pic:spPr>
                </pic:pic>
              </a:graphicData>
            </a:graphic>
            <wp14:sizeRelH relativeFrom="page">
              <wp14:pctWidth>0</wp14:pctWidth>
            </wp14:sizeRelH>
            <wp14:sizeRelV relativeFrom="page">
              <wp14:pctHeight>0</wp14:pctHeight>
            </wp14:sizeRelV>
          </wp:anchor>
        </w:drawing>
      </w:r>
    </w:p>
    <w:p w14:paraId="2CB7645F"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12926D80"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167F8AF0"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3601DEF2"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00D2C7E1"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314AADAC"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18F57C66"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1CB21D07"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781047B4"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239BC8C1" w14:textId="77777777" w:rsidR="00C752F4" w:rsidRPr="008B0CD9" w:rsidRDefault="00C752F4" w:rsidP="00C752F4">
      <w:pPr>
        <w:pStyle w:val="Web"/>
        <w:kinsoku w:val="0"/>
        <w:adjustRightInd w:val="0"/>
        <w:snapToGrid w:val="0"/>
        <w:spacing w:before="0" w:beforeAutospacing="0" w:after="0" w:afterAutospacing="0" w:line="480" w:lineRule="auto"/>
        <w:jc w:val="both"/>
        <w:rPr>
          <w:bCs/>
        </w:rPr>
      </w:pPr>
    </w:p>
    <w:p w14:paraId="2A7155D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8F664F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7F8BD4A8" w14:textId="77777777" w:rsidR="00C752F4"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326A2013" w14:textId="77777777" w:rsidR="009849E1" w:rsidRPr="008B0CD9" w:rsidRDefault="009849E1" w:rsidP="00C752F4">
      <w:pPr>
        <w:pStyle w:val="Web"/>
        <w:kinsoku w:val="0"/>
        <w:adjustRightInd w:val="0"/>
        <w:snapToGrid w:val="0"/>
        <w:spacing w:before="0" w:beforeAutospacing="0" w:after="0" w:afterAutospacing="0" w:line="480" w:lineRule="auto"/>
        <w:jc w:val="both"/>
        <w:rPr>
          <w:rFonts w:eastAsiaTheme="minorEastAsia"/>
          <w:b/>
        </w:rPr>
      </w:pPr>
    </w:p>
    <w:p w14:paraId="2C5D5A3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upplementary Figure S6: The individual sensitivity of MAP2K1 variants to combination therapy of BRAF and MEK inhibitor in HT-29 cell line.</w:t>
      </w:r>
    </w:p>
    <w:p w14:paraId="145B87C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
        </w:rPr>
        <w:t>A,</w:t>
      </w:r>
      <w:r w:rsidRPr="008B0CD9">
        <w:rPr>
          <w:rFonts w:eastAsiaTheme="minorEastAsia"/>
          <w:bCs/>
        </w:rPr>
        <w:t xml:space="preserve"> HT-29 cells transduced with 4 MAP2K1 variants, wild-type, and GFP were treated with DMSO, BRAF inhibitor (vemurafenib, right), or MEK inhibitors (</w:t>
      </w:r>
      <w:proofErr w:type="spellStart"/>
      <w:r w:rsidRPr="008B0CD9">
        <w:rPr>
          <w:rFonts w:eastAsiaTheme="minorEastAsia"/>
          <w:bCs/>
        </w:rPr>
        <w:t>cobimetinib</w:t>
      </w:r>
      <w:proofErr w:type="spellEnd"/>
      <w:r w:rsidRPr="008B0CD9">
        <w:rPr>
          <w:rFonts w:eastAsiaTheme="minorEastAsia"/>
          <w:bCs/>
        </w:rPr>
        <w:t xml:space="preserve">, left) at the indicated concentrations for 5 days. Cell viability was measured using the </w:t>
      </w:r>
      <w:proofErr w:type="spellStart"/>
      <w:r w:rsidRPr="008B0CD9">
        <w:rPr>
          <w:rFonts w:eastAsiaTheme="minorEastAsia"/>
          <w:bCs/>
        </w:rPr>
        <w:t>PrestoBlue</w:t>
      </w:r>
      <w:proofErr w:type="spellEnd"/>
      <w:r w:rsidRPr="008B0CD9">
        <w:rPr>
          <w:rFonts w:eastAsiaTheme="minorEastAsia"/>
          <w:bCs/>
        </w:rPr>
        <w:t xml:space="preserve"> cell viability assay. The relative viability of the treated cells was measured in comparison with drug-free treatment. Data were plotted as mean ± SD (n = 3). </w:t>
      </w:r>
      <w:r w:rsidRPr="008B0CD9">
        <w:rPr>
          <w:rFonts w:eastAsiaTheme="minorEastAsia"/>
          <w:b/>
        </w:rPr>
        <w:t>B,</w:t>
      </w:r>
      <w:r w:rsidRPr="008B0CD9">
        <w:rPr>
          <w:rFonts w:eastAsiaTheme="minorEastAsia"/>
          <w:bCs/>
        </w:rPr>
        <w:t xml:space="preserve"> Results of the cell viability </w:t>
      </w:r>
      <w:r w:rsidRPr="008B0CD9">
        <w:rPr>
          <w:rFonts w:eastAsiaTheme="minorEastAsia"/>
          <w:bCs/>
        </w:rPr>
        <w:lastRenderedPageBreak/>
        <w:t xml:space="preserve">assay using combination treatment with two drugs (vemurafenib and </w:t>
      </w:r>
      <w:proofErr w:type="spellStart"/>
      <w:r w:rsidRPr="008B0CD9">
        <w:rPr>
          <w:rFonts w:eastAsiaTheme="minorEastAsia"/>
          <w:bCs/>
        </w:rPr>
        <w:t>cobimetinib</w:t>
      </w:r>
      <w:proofErr w:type="spellEnd"/>
      <w:r w:rsidRPr="008B0CD9">
        <w:rPr>
          <w:rFonts w:eastAsiaTheme="minorEastAsia"/>
          <w:bCs/>
        </w:rPr>
        <w:t>) at different concentrations for each individual variant color shading heat-map.</w:t>
      </w:r>
      <w:r w:rsidRPr="008B0CD9">
        <w:rPr>
          <w:rFonts w:eastAsiaTheme="minorEastAsia"/>
          <w:bCs/>
        </w:rPr>
        <w:br w:type="page"/>
      </w:r>
    </w:p>
    <w:p w14:paraId="1674271F" w14:textId="77777777" w:rsidR="00C752F4" w:rsidRPr="008B0CD9" w:rsidRDefault="009849E1"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85888" behindDoc="0" locked="0" layoutInCell="1" allowOverlap="1" wp14:anchorId="51AD8643" wp14:editId="0904A92F">
            <wp:simplePos x="0" y="0"/>
            <wp:positionH relativeFrom="margin">
              <wp:align>right</wp:align>
            </wp:positionH>
            <wp:positionV relativeFrom="paragraph">
              <wp:posOffset>766</wp:posOffset>
            </wp:positionV>
            <wp:extent cx="5602013" cy="4522904"/>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013" cy="4522904"/>
                    </a:xfrm>
                    <a:prstGeom prst="rect">
                      <a:avLst/>
                    </a:prstGeom>
                    <a:noFill/>
                  </pic:spPr>
                </pic:pic>
              </a:graphicData>
            </a:graphic>
            <wp14:sizeRelH relativeFrom="page">
              <wp14:pctWidth>0</wp14:pctWidth>
            </wp14:sizeRelH>
            <wp14:sizeRelV relativeFrom="page">
              <wp14:pctHeight>0</wp14:pctHeight>
            </wp14:sizeRelV>
          </wp:anchor>
        </w:drawing>
      </w:r>
    </w:p>
    <w:p w14:paraId="010D9D9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2636EB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B9B398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CFB97B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AF94A7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8AB578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04ABAA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DE6767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D5AE9F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3CDF6C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F801E1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10FE36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993A7F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0A01F8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 xml:space="preserve">upplementary Figure S7: The individual sensitivity of MAP2K1 variants to combination therapy with BRAF and MEK inhibitors in A375 cells (vemurafenib + </w:t>
      </w:r>
      <w:proofErr w:type="spellStart"/>
      <w:r w:rsidRPr="008B0CD9">
        <w:rPr>
          <w:rFonts w:eastAsiaTheme="minorEastAsia"/>
          <w:b/>
        </w:rPr>
        <w:t>cobimetinib</w:t>
      </w:r>
      <w:proofErr w:type="spellEnd"/>
      <w:r w:rsidRPr="008B0CD9">
        <w:rPr>
          <w:rFonts w:eastAsiaTheme="minorEastAsia"/>
          <w:b/>
        </w:rPr>
        <w:t>)</w:t>
      </w:r>
    </w:p>
    <w:p w14:paraId="49E7361E"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Cs/>
        </w:rPr>
        <w:t xml:space="preserve">Color shading heat-map of the cell viability assay results for the remaining 18 mutants in Fig. 3B that are not listed in Fig. 3C–G. </w:t>
      </w:r>
      <w:r w:rsidRPr="008B0CD9">
        <w:rPr>
          <w:rFonts w:eastAsiaTheme="minorEastAsia"/>
          <w:b/>
        </w:rPr>
        <w:t>A,</w:t>
      </w:r>
      <w:r w:rsidRPr="008B0CD9">
        <w:rPr>
          <w:rFonts w:eastAsiaTheme="minorEastAsia"/>
          <w:bCs/>
        </w:rPr>
        <w:t xml:space="preserve"> parental (GFP) and no function. </w:t>
      </w:r>
      <w:r w:rsidRPr="008B0CD9">
        <w:rPr>
          <w:rFonts w:eastAsiaTheme="minorEastAsia"/>
          <w:b/>
        </w:rPr>
        <w:t>B,</w:t>
      </w:r>
      <w:r w:rsidRPr="008B0CD9">
        <w:rPr>
          <w:rFonts w:eastAsiaTheme="minorEastAsia"/>
          <w:bCs/>
        </w:rPr>
        <w:t xml:space="preserve"> RAF-dependent. </w:t>
      </w:r>
      <w:r w:rsidRPr="008B0CD9">
        <w:rPr>
          <w:rFonts w:eastAsiaTheme="minorEastAsia"/>
          <w:b/>
        </w:rPr>
        <w:t>C,</w:t>
      </w:r>
      <w:r w:rsidRPr="008B0CD9">
        <w:rPr>
          <w:rFonts w:eastAsiaTheme="minorEastAsia"/>
          <w:bCs/>
        </w:rPr>
        <w:t xml:space="preserve"> RAF-regulated.</w:t>
      </w:r>
      <w:r w:rsidRPr="008B0CD9">
        <w:rPr>
          <w:rFonts w:eastAsiaTheme="minorEastAsia"/>
          <w:bCs/>
        </w:rPr>
        <w:br w:type="page"/>
      </w:r>
    </w:p>
    <w:p w14:paraId="46140B4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Cs/>
          <w:noProof/>
        </w:rPr>
        <w:lastRenderedPageBreak/>
        <w:drawing>
          <wp:anchor distT="0" distB="0" distL="114300" distR="114300" simplePos="0" relativeHeight="251665408" behindDoc="0" locked="0" layoutInCell="1" allowOverlap="1" wp14:anchorId="12DB38AF" wp14:editId="7F1A456C">
            <wp:simplePos x="0" y="0"/>
            <wp:positionH relativeFrom="column">
              <wp:posOffset>0</wp:posOffset>
            </wp:positionH>
            <wp:positionV relativeFrom="paragraph">
              <wp:posOffset>0</wp:posOffset>
            </wp:positionV>
            <wp:extent cx="5731510" cy="7158051"/>
            <wp:effectExtent l="0" t="0" r="2540" b="50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158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11EE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80B264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EC98CD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52D4D1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5F3CA5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4A65B0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CFED2D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6EB5DE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E7DE13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E36290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ED13C9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C0E9CD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7A4979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05926E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735F64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C351E5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CDAAE3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C59C14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A57B59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1DDB5D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197144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lastRenderedPageBreak/>
        <w:t>S</w:t>
      </w:r>
      <w:r w:rsidRPr="008B0CD9">
        <w:rPr>
          <w:rFonts w:eastAsiaTheme="minorEastAsia"/>
          <w:b/>
        </w:rPr>
        <w:t>upplementary Figure S8: The individual sensitivity of MAP2K1 variants to combination therapy with BRAF and MEK inhibitors in A375 cells (dabrafenib + trametinib)</w:t>
      </w:r>
    </w:p>
    <w:p w14:paraId="7BF314E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
        </w:rPr>
        <w:t>A,</w:t>
      </w:r>
      <w:r w:rsidRPr="008B0CD9">
        <w:rPr>
          <w:rFonts w:eastAsiaTheme="minorEastAsia"/>
          <w:bCs/>
        </w:rPr>
        <w:t xml:space="preserve"> A375 cells transduced with 16 variants, wild-type, GFP were treated with DMSO, BRAF inhibitor (dabrafenib, left) or MEK inhibitors (trametinib, right) for 5 days. The relative viability of the cells is illustrated using a color shading heat-map compared with drug-free treatment. Data were plotted as mean ±SD (n = 3). </w:t>
      </w:r>
      <w:r w:rsidRPr="008B0CD9">
        <w:rPr>
          <w:rFonts w:eastAsiaTheme="minorEastAsia"/>
          <w:b/>
        </w:rPr>
        <w:t>B-F,</w:t>
      </w:r>
      <w:r w:rsidRPr="008B0CD9">
        <w:rPr>
          <w:rFonts w:eastAsiaTheme="minorEastAsia"/>
          <w:bCs/>
        </w:rPr>
        <w:t xml:space="preserve"> Results of the cell viability assay using combination treatment with two drugs at different concentrations for each individual variant color shading heat-map. </w:t>
      </w:r>
      <w:r w:rsidRPr="008B0CD9">
        <w:rPr>
          <w:rFonts w:eastAsiaTheme="minorEastAsia"/>
          <w:b/>
        </w:rPr>
        <w:t>B,</w:t>
      </w:r>
      <w:r w:rsidRPr="008B0CD9">
        <w:rPr>
          <w:rFonts w:eastAsiaTheme="minorEastAsia"/>
          <w:bCs/>
        </w:rPr>
        <w:t xml:space="preserve"> parental (GFP) and no function. </w:t>
      </w:r>
      <w:r w:rsidRPr="008B0CD9">
        <w:rPr>
          <w:rFonts w:eastAsiaTheme="minorEastAsia"/>
          <w:b/>
        </w:rPr>
        <w:t>C,</w:t>
      </w:r>
      <w:r w:rsidRPr="008B0CD9">
        <w:rPr>
          <w:rFonts w:eastAsiaTheme="minorEastAsia"/>
          <w:bCs/>
        </w:rPr>
        <w:t xml:space="preserve"> RAF-dependent. </w:t>
      </w:r>
      <w:r w:rsidRPr="008B0CD9">
        <w:rPr>
          <w:rFonts w:eastAsiaTheme="minorEastAsia"/>
          <w:b/>
        </w:rPr>
        <w:t>D,</w:t>
      </w:r>
      <w:r w:rsidRPr="008B0CD9">
        <w:rPr>
          <w:rFonts w:eastAsiaTheme="minorEastAsia"/>
          <w:bCs/>
        </w:rPr>
        <w:t xml:space="preserve"> RAF-regulated. </w:t>
      </w:r>
      <w:r w:rsidRPr="008B0CD9">
        <w:rPr>
          <w:rFonts w:eastAsiaTheme="minorEastAsia"/>
          <w:b/>
        </w:rPr>
        <w:t>E,</w:t>
      </w:r>
      <w:r w:rsidRPr="008B0CD9">
        <w:rPr>
          <w:rFonts w:eastAsiaTheme="minorEastAsia"/>
          <w:bCs/>
        </w:rPr>
        <w:t xml:space="preserve"> RAF-independent. </w:t>
      </w:r>
      <w:r w:rsidRPr="008B0CD9">
        <w:rPr>
          <w:rFonts w:eastAsiaTheme="minorEastAsia"/>
          <w:b/>
        </w:rPr>
        <w:t>F,</w:t>
      </w:r>
      <w:r w:rsidRPr="008B0CD9">
        <w:rPr>
          <w:rFonts w:eastAsiaTheme="minorEastAsia"/>
          <w:bCs/>
        </w:rPr>
        <w:t xml:space="preserve"> others.</w:t>
      </w:r>
      <w:r w:rsidRPr="008B0CD9">
        <w:rPr>
          <w:rFonts w:eastAsiaTheme="minorEastAsia"/>
          <w:bCs/>
        </w:rPr>
        <w:br w:type="page"/>
      </w:r>
    </w:p>
    <w:p w14:paraId="3775EBF0" w14:textId="77777777" w:rsidR="00C752F4" w:rsidRPr="008B0CD9" w:rsidRDefault="00E43CC5"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86912" behindDoc="0" locked="0" layoutInCell="1" allowOverlap="1" wp14:anchorId="2DE634C0" wp14:editId="73826E9B">
            <wp:simplePos x="0" y="0"/>
            <wp:positionH relativeFrom="margin">
              <wp:align>left</wp:align>
            </wp:positionH>
            <wp:positionV relativeFrom="paragraph">
              <wp:posOffset>766</wp:posOffset>
            </wp:positionV>
            <wp:extent cx="5591503" cy="7709656"/>
            <wp:effectExtent l="0" t="0" r="9525"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503" cy="7709656"/>
                    </a:xfrm>
                    <a:prstGeom prst="rect">
                      <a:avLst/>
                    </a:prstGeom>
                    <a:noFill/>
                  </pic:spPr>
                </pic:pic>
              </a:graphicData>
            </a:graphic>
            <wp14:sizeRelH relativeFrom="page">
              <wp14:pctWidth>0</wp14:pctWidth>
            </wp14:sizeRelH>
            <wp14:sizeRelV relativeFrom="page">
              <wp14:pctHeight>0</wp14:pctHeight>
            </wp14:sizeRelV>
          </wp:anchor>
        </w:drawing>
      </w:r>
    </w:p>
    <w:p w14:paraId="41E9202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782E9A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449BC8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BD338B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134FB2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895276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D15282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FB15D0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24B4DC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DF3C2E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B8807A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C9B852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55065C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85CCAF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AE28F5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0A1C5F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934418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4C3167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B409AB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87AF6C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05AFE6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DDE666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lastRenderedPageBreak/>
        <w:t>S</w:t>
      </w:r>
      <w:r w:rsidRPr="008B0CD9">
        <w:rPr>
          <w:rFonts w:eastAsiaTheme="minorEastAsia"/>
          <w:b/>
        </w:rPr>
        <w:t>upplementary Figure S9: The individual sensitivity of MAP2K1 variants to combination therapy with BRAF and MEK inhibitors in A375 cells (</w:t>
      </w:r>
      <w:proofErr w:type="spellStart"/>
      <w:r w:rsidRPr="008B0CD9">
        <w:rPr>
          <w:rFonts w:eastAsiaTheme="minorEastAsia"/>
          <w:b/>
        </w:rPr>
        <w:t>encorafenib</w:t>
      </w:r>
      <w:proofErr w:type="spellEnd"/>
      <w:r w:rsidRPr="008B0CD9">
        <w:rPr>
          <w:rFonts w:eastAsiaTheme="minorEastAsia"/>
          <w:b/>
        </w:rPr>
        <w:t xml:space="preserve"> + </w:t>
      </w:r>
      <w:proofErr w:type="spellStart"/>
      <w:r w:rsidRPr="008B0CD9">
        <w:rPr>
          <w:rFonts w:eastAsiaTheme="minorEastAsia"/>
          <w:b/>
        </w:rPr>
        <w:t>binimetinib</w:t>
      </w:r>
      <w:proofErr w:type="spellEnd"/>
      <w:r w:rsidRPr="008B0CD9">
        <w:rPr>
          <w:rFonts w:eastAsiaTheme="minorEastAsia"/>
          <w:b/>
        </w:rPr>
        <w:t>)</w:t>
      </w:r>
    </w:p>
    <w:p w14:paraId="480C0F2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
        </w:rPr>
        <w:t>A,</w:t>
      </w:r>
      <w:r w:rsidRPr="008B0CD9">
        <w:rPr>
          <w:rFonts w:eastAsiaTheme="minorEastAsia"/>
          <w:bCs/>
        </w:rPr>
        <w:t xml:space="preserve"> A375 cells transduced with 16 variants, wild-type, GFP were treated with DMSO, BRAF inhibitor (</w:t>
      </w:r>
      <w:proofErr w:type="spellStart"/>
      <w:r w:rsidRPr="008B0CD9">
        <w:rPr>
          <w:rFonts w:eastAsiaTheme="minorEastAsia"/>
          <w:bCs/>
        </w:rPr>
        <w:t>encorafenib</w:t>
      </w:r>
      <w:proofErr w:type="spellEnd"/>
      <w:r w:rsidRPr="008B0CD9">
        <w:rPr>
          <w:rFonts w:eastAsiaTheme="minorEastAsia"/>
          <w:bCs/>
        </w:rPr>
        <w:t>, left) or MEK inhibitors (</w:t>
      </w:r>
      <w:proofErr w:type="spellStart"/>
      <w:r w:rsidRPr="008B0CD9">
        <w:rPr>
          <w:rFonts w:eastAsiaTheme="minorEastAsia"/>
          <w:bCs/>
        </w:rPr>
        <w:t>binimetinib</w:t>
      </w:r>
      <w:proofErr w:type="spellEnd"/>
      <w:r w:rsidRPr="008B0CD9">
        <w:rPr>
          <w:rFonts w:eastAsiaTheme="minorEastAsia"/>
          <w:bCs/>
        </w:rPr>
        <w:t xml:space="preserve">, right) for 5 days. The relative viability of the cells is illustrated using a color shading heat-map compared with drug-free treatment. Data are plotted as the mean ± SD (n = 3). </w:t>
      </w:r>
      <w:r w:rsidRPr="008B0CD9">
        <w:rPr>
          <w:rFonts w:eastAsiaTheme="minorEastAsia"/>
          <w:b/>
        </w:rPr>
        <w:t>B-F,</w:t>
      </w:r>
      <w:r w:rsidRPr="008B0CD9">
        <w:rPr>
          <w:rFonts w:eastAsiaTheme="minorEastAsia"/>
          <w:bCs/>
        </w:rPr>
        <w:t xml:space="preserve"> Results of the cell viability assay using combination therapy of two drugs with different concentrations for each individual variant color shading heat-map. </w:t>
      </w:r>
      <w:r w:rsidRPr="008B0CD9">
        <w:rPr>
          <w:rFonts w:eastAsiaTheme="minorEastAsia"/>
          <w:b/>
        </w:rPr>
        <w:t>B,</w:t>
      </w:r>
      <w:r w:rsidRPr="008B0CD9">
        <w:rPr>
          <w:rFonts w:eastAsiaTheme="minorEastAsia"/>
          <w:bCs/>
        </w:rPr>
        <w:t xml:space="preserve"> parental (GFP) and no function. </w:t>
      </w:r>
      <w:r w:rsidRPr="008B0CD9">
        <w:rPr>
          <w:rFonts w:eastAsiaTheme="minorEastAsia"/>
          <w:b/>
        </w:rPr>
        <w:t>C,</w:t>
      </w:r>
      <w:r w:rsidRPr="008B0CD9">
        <w:rPr>
          <w:rFonts w:eastAsiaTheme="minorEastAsia"/>
          <w:bCs/>
        </w:rPr>
        <w:t xml:space="preserve"> RAF-dependent. </w:t>
      </w:r>
      <w:r w:rsidRPr="008B0CD9">
        <w:rPr>
          <w:rFonts w:eastAsiaTheme="minorEastAsia"/>
          <w:b/>
        </w:rPr>
        <w:t>D,</w:t>
      </w:r>
      <w:r w:rsidRPr="008B0CD9">
        <w:rPr>
          <w:rFonts w:eastAsiaTheme="minorEastAsia"/>
          <w:bCs/>
        </w:rPr>
        <w:t xml:space="preserve"> RAF-regulated. </w:t>
      </w:r>
      <w:r w:rsidRPr="008B0CD9">
        <w:rPr>
          <w:rFonts w:eastAsiaTheme="minorEastAsia"/>
          <w:b/>
        </w:rPr>
        <w:t>E,</w:t>
      </w:r>
      <w:r w:rsidRPr="008B0CD9">
        <w:rPr>
          <w:rFonts w:eastAsiaTheme="minorEastAsia"/>
          <w:bCs/>
        </w:rPr>
        <w:t xml:space="preserve"> RAF-independent. </w:t>
      </w:r>
      <w:r w:rsidRPr="008B0CD9">
        <w:rPr>
          <w:rFonts w:eastAsiaTheme="minorEastAsia"/>
          <w:b/>
        </w:rPr>
        <w:t>F,</w:t>
      </w:r>
      <w:r w:rsidRPr="008B0CD9">
        <w:rPr>
          <w:rFonts w:eastAsiaTheme="minorEastAsia"/>
          <w:bCs/>
        </w:rPr>
        <w:t xml:space="preserve"> others.</w:t>
      </w:r>
    </w:p>
    <w:p w14:paraId="11AD5349" w14:textId="77777777" w:rsidR="00C752F4" w:rsidRPr="008B0CD9" w:rsidRDefault="00C752F4" w:rsidP="00C752F4">
      <w:pPr>
        <w:rPr>
          <w:bCs/>
        </w:rPr>
      </w:pPr>
      <w:r w:rsidRPr="008B0CD9">
        <w:rPr>
          <w:bCs/>
        </w:rPr>
        <w:br w:type="page"/>
      </w:r>
    </w:p>
    <w:p w14:paraId="4160D962" w14:textId="77777777" w:rsidR="00C752F4" w:rsidRPr="008B0CD9" w:rsidRDefault="00E43CC5"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87936" behindDoc="0" locked="0" layoutInCell="1" allowOverlap="1" wp14:anchorId="6DDA2DBC" wp14:editId="66198832">
            <wp:simplePos x="0" y="0"/>
            <wp:positionH relativeFrom="margin">
              <wp:posOffset>12941</wp:posOffset>
            </wp:positionH>
            <wp:positionV relativeFrom="paragraph">
              <wp:posOffset>11278</wp:posOffset>
            </wp:positionV>
            <wp:extent cx="5272005" cy="7693572"/>
            <wp:effectExtent l="0" t="0" r="5080"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2663" cy="7709125"/>
                    </a:xfrm>
                    <a:prstGeom prst="rect">
                      <a:avLst/>
                    </a:prstGeom>
                    <a:noFill/>
                  </pic:spPr>
                </pic:pic>
              </a:graphicData>
            </a:graphic>
            <wp14:sizeRelH relativeFrom="page">
              <wp14:pctWidth>0</wp14:pctWidth>
            </wp14:sizeRelH>
            <wp14:sizeRelV relativeFrom="page">
              <wp14:pctHeight>0</wp14:pctHeight>
            </wp14:sizeRelV>
          </wp:anchor>
        </w:drawing>
      </w:r>
    </w:p>
    <w:p w14:paraId="3B80517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4C29D1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911918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20828B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E0F553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D4408A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60DA09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3D6FFE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A24E19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3F03EF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2AD72E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31D356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2974A9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115C2A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ADA1A5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C30B3D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36F7F0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769974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8DE116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A4E919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334C47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A611AC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lastRenderedPageBreak/>
        <w:t>S</w:t>
      </w:r>
      <w:r w:rsidRPr="008B0CD9">
        <w:rPr>
          <w:rFonts w:eastAsiaTheme="minorEastAsia"/>
          <w:b/>
        </w:rPr>
        <w:t>upplementary Figure S10: The individual sensitivity of MAP2K1 variants to combination therapy of BRAF and MEK inhibitor in HT-29 cells</w:t>
      </w:r>
    </w:p>
    <w:p w14:paraId="1A4D74E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
        </w:rPr>
        <w:t>A,</w:t>
      </w:r>
      <w:r w:rsidRPr="008B0CD9">
        <w:rPr>
          <w:rFonts w:eastAsiaTheme="minorEastAsia"/>
          <w:bCs/>
        </w:rPr>
        <w:t xml:space="preserve"> HT-29 cells transduced with 9 MAP2K1 variants and GFP were treated with DMSO, a BRAF inhibitor (vemurafenib, right) or a MEK inhibitor (</w:t>
      </w:r>
      <w:proofErr w:type="spellStart"/>
      <w:r w:rsidRPr="008B0CD9">
        <w:rPr>
          <w:rFonts w:eastAsiaTheme="minorEastAsia"/>
          <w:bCs/>
        </w:rPr>
        <w:t>cobimetinib</w:t>
      </w:r>
      <w:proofErr w:type="spellEnd"/>
      <w:r w:rsidRPr="008B0CD9">
        <w:rPr>
          <w:rFonts w:eastAsiaTheme="minorEastAsia"/>
          <w:bCs/>
        </w:rPr>
        <w:t xml:space="preserve">, left) at the concentrations indicated for 5 days. Cell viability was measured using the </w:t>
      </w:r>
      <w:proofErr w:type="spellStart"/>
      <w:r w:rsidRPr="008B0CD9">
        <w:rPr>
          <w:rFonts w:eastAsiaTheme="minorEastAsia"/>
          <w:bCs/>
        </w:rPr>
        <w:t>PrestoBlue</w:t>
      </w:r>
      <w:proofErr w:type="spellEnd"/>
      <w:r w:rsidRPr="008B0CD9">
        <w:rPr>
          <w:rFonts w:eastAsiaTheme="minorEastAsia"/>
          <w:bCs/>
        </w:rPr>
        <w:t xml:space="preserve"> cell viability assay. The relative viability of the treated cells was measured and illustrated using color shading heat-map in comparison to drug-free treatment. Data were plotted as the mean ± SD (n = 3). </w:t>
      </w:r>
      <w:r w:rsidRPr="008B0CD9">
        <w:rPr>
          <w:rFonts w:eastAsiaTheme="minorEastAsia"/>
          <w:b/>
        </w:rPr>
        <w:t>B-E,</w:t>
      </w:r>
      <w:r w:rsidRPr="008B0CD9">
        <w:rPr>
          <w:rFonts w:eastAsiaTheme="minorEastAsia"/>
          <w:bCs/>
        </w:rPr>
        <w:t xml:space="preserve"> Results of cell viability assay using combination treatment with two drugs at different concentrations for each individual variant color shading heat-map. </w:t>
      </w:r>
      <w:r w:rsidRPr="008B0CD9">
        <w:rPr>
          <w:rFonts w:eastAsiaTheme="minorEastAsia"/>
          <w:b/>
        </w:rPr>
        <w:t>B,</w:t>
      </w:r>
      <w:r w:rsidRPr="008B0CD9">
        <w:rPr>
          <w:rFonts w:eastAsiaTheme="minorEastAsia"/>
          <w:bCs/>
        </w:rPr>
        <w:t xml:space="preserve"> parental (GFP) and no function. </w:t>
      </w:r>
      <w:r w:rsidRPr="008B0CD9">
        <w:rPr>
          <w:rFonts w:eastAsiaTheme="minorEastAsia"/>
          <w:b/>
        </w:rPr>
        <w:t>C,</w:t>
      </w:r>
      <w:r w:rsidRPr="008B0CD9">
        <w:rPr>
          <w:rFonts w:eastAsiaTheme="minorEastAsia"/>
          <w:bCs/>
        </w:rPr>
        <w:t xml:space="preserve"> RAF-dependent. </w:t>
      </w:r>
      <w:r w:rsidRPr="008B0CD9">
        <w:rPr>
          <w:rFonts w:eastAsiaTheme="minorEastAsia"/>
          <w:b/>
        </w:rPr>
        <w:t>D,</w:t>
      </w:r>
      <w:r w:rsidRPr="008B0CD9">
        <w:rPr>
          <w:rFonts w:eastAsiaTheme="minorEastAsia"/>
          <w:bCs/>
        </w:rPr>
        <w:t xml:space="preserve"> RAF-regulated. </w:t>
      </w:r>
      <w:r w:rsidRPr="008B0CD9">
        <w:rPr>
          <w:rFonts w:eastAsiaTheme="minorEastAsia"/>
          <w:b/>
        </w:rPr>
        <w:t>E,</w:t>
      </w:r>
      <w:r w:rsidRPr="008B0CD9">
        <w:rPr>
          <w:rFonts w:eastAsiaTheme="minorEastAsia"/>
          <w:bCs/>
        </w:rPr>
        <w:t xml:space="preserve"> RAF-independent. </w:t>
      </w:r>
      <w:r w:rsidRPr="008B0CD9">
        <w:rPr>
          <w:rFonts w:eastAsiaTheme="minorEastAsia"/>
          <w:bCs/>
        </w:rPr>
        <w:br w:type="page"/>
      </w:r>
    </w:p>
    <w:p w14:paraId="288A9145" w14:textId="77777777" w:rsidR="00C752F4" w:rsidRPr="008B0CD9" w:rsidRDefault="00E43CC5"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88960" behindDoc="0" locked="0" layoutInCell="1" allowOverlap="1" wp14:anchorId="7C8ACC96" wp14:editId="73D7A24E">
            <wp:simplePos x="0" y="0"/>
            <wp:positionH relativeFrom="margin">
              <wp:align>right</wp:align>
            </wp:positionH>
            <wp:positionV relativeFrom="paragraph">
              <wp:posOffset>766</wp:posOffset>
            </wp:positionV>
            <wp:extent cx="5612524" cy="457656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524" cy="4576560"/>
                    </a:xfrm>
                    <a:prstGeom prst="rect">
                      <a:avLst/>
                    </a:prstGeom>
                    <a:noFill/>
                  </pic:spPr>
                </pic:pic>
              </a:graphicData>
            </a:graphic>
            <wp14:sizeRelH relativeFrom="page">
              <wp14:pctWidth>0</wp14:pctWidth>
            </wp14:sizeRelH>
            <wp14:sizeRelV relativeFrom="page">
              <wp14:pctHeight>0</wp14:pctHeight>
            </wp14:sizeRelV>
          </wp:anchor>
        </w:drawing>
      </w:r>
    </w:p>
    <w:p w14:paraId="66F3C54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0E3298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5BBFA0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772BE6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80008B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45AC89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9CD411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246BDB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EE9BFD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871A68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B0F23F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EE3DC8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68EFA8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62F148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 xml:space="preserve">upplementary Figure S11: Inhibition of </w:t>
      </w:r>
      <w:proofErr w:type="spellStart"/>
      <w:r w:rsidRPr="008B0CD9">
        <w:rPr>
          <w:rFonts w:eastAsiaTheme="minorEastAsia"/>
          <w:b/>
        </w:rPr>
        <w:t>pERK</w:t>
      </w:r>
      <w:proofErr w:type="spellEnd"/>
      <w:r w:rsidRPr="008B0CD9">
        <w:rPr>
          <w:rFonts w:eastAsiaTheme="minorEastAsia"/>
          <w:b/>
        </w:rPr>
        <w:t xml:space="preserve"> phosphorylation by MEK inhibitor (trametinib) in A375 cells with MAP2K1 variants</w:t>
      </w:r>
    </w:p>
    <w:p w14:paraId="6733F51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
        </w:rPr>
        <w:t>A,</w:t>
      </w:r>
      <w:r w:rsidRPr="008B0CD9">
        <w:rPr>
          <w:rFonts w:eastAsiaTheme="minorEastAsia"/>
          <w:bCs/>
        </w:rPr>
        <w:t xml:space="preserve"> Inhibition of phosphorylation of </w:t>
      </w:r>
      <w:proofErr w:type="spellStart"/>
      <w:r w:rsidRPr="008B0CD9">
        <w:rPr>
          <w:rFonts w:eastAsiaTheme="minorEastAsia"/>
          <w:bCs/>
        </w:rPr>
        <w:t>pERK</w:t>
      </w:r>
      <w:proofErr w:type="spellEnd"/>
      <w:r w:rsidRPr="008B0CD9">
        <w:rPr>
          <w:rFonts w:eastAsiaTheme="minorEastAsia"/>
          <w:bCs/>
        </w:rPr>
        <w:t xml:space="preserve"> by trametinib. A375 cells with MAP2K1 variants were treated with trametinib for 4 h and whole-cell lysates were analyzed by western blot analysis using antibodies against p44/42 ERK1/2, phospho-p44/42 ERK</w:t>
      </w:r>
      <w:r w:rsidRPr="008B0CD9">
        <w:rPr>
          <w:rFonts w:eastAsiaTheme="minorEastAsia" w:hint="eastAsia"/>
          <w:bCs/>
        </w:rPr>
        <w:t xml:space="preserve"> </w:t>
      </w:r>
      <w:r w:rsidRPr="008B0CD9">
        <w:rPr>
          <w:rFonts w:eastAsiaTheme="minorEastAsia"/>
          <w:bCs/>
        </w:rPr>
        <w:t>(</w:t>
      </w:r>
      <w:proofErr w:type="spellStart"/>
      <w:r w:rsidRPr="008B0CD9">
        <w:rPr>
          <w:rFonts w:eastAsiaTheme="minorEastAsia"/>
          <w:bCs/>
        </w:rPr>
        <w:t>pERK</w:t>
      </w:r>
      <w:proofErr w:type="spellEnd"/>
      <w:r w:rsidRPr="008B0CD9">
        <w:rPr>
          <w:rFonts w:eastAsiaTheme="minorEastAsia"/>
          <w:bCs/>
        </w:rPr>
        <w:t xml:space="preserve">) and GAPDH. </w:t>
      </w:r>
      <w:r w:rsidRPr="008B0CD9">
        <w:rPr>
          <w:rFonts w:eastAsiaTheme="minorEastAsia"/>
          <w:b/>
        </w:rPr>
        <w:t>B,</w:t>
      </w:r>
      <w:r w:rsidRPr="008B0CD9">
        <w:rPr>
          <w:rFonts w:eastAsiaTheme="minorEastAsia"/>
          <w:bCs/>
        </w:rPr>
        <w:t xml:space="preserve"> the bands of </w:t>
      </w:r>
      <w:proofErr w:type="spellStart"/>
      <w:r w:rsidRPr="008B0CD9">
        <w:rPr>
          <w:rFonts w:eastAsiaTheme="minorEastAsia"/>
          <w:bCs/>
        </w:rPr>
        <w:t>pERK</w:t>
      </w:r>
      <w:proofErr w:type="spellEnd"/>
      <w:r w:rsidRPr="008B0CD9">
        <w:rPr>
          <w:rFonts w:eastAsiaTheme="minorEastAsia"/>
          <w:bCs/>
        </w:rPr>
        <w:t xml:space="preserve"> were quantified using Image J software </w:t>
      </w:r>
      <w:r w:rsidRPr="008B0CD9">
        <w:rPr>
          <w:rFonts w:eastAsiaTheme="minorEastAsia"/>
          <w:bCs/>
        </w:rPr>
        <w:fldChar w:fldCharType="begin"/>
      </w:r>
      <w:r w:rsidRPr="008B0CD9">
        <w:rPr>
          <w:rFonts w:eastAsiaTheme="minorEastAsia"/>
          <w:bCs/>
        </w:rPr>
        <w:instrText xml:space="preserve"> ADDIN EN.CITE &lt;EndNote&gt;&lt;Cite&gt;&lt;Author&gt;Schneider&lt;/Author&gt;&lt;Year&gt;2012&lt;/Year&gt;&lt;RecNum&gt;72&lt;/RecNum&gt;&lt;DisplayText&gt;(64)&lt;/DisplayText&gt;&lt;record&gt;&lt;rec-number&gt;72&lt;/rec-number&gt;&lt;foreign-keys&gt;&lt;key app="EN" db-id="955tr55vdxp05we9de9xtep6tdedef502efx" timestamp="1611932917"&gt;72&lt;/key&gt;&lt;/foreign-keys&gt;&lt;ref-type name="Journal Article"&gt;17&lt;/ref-type&gt;&lt;contributors&gt;&lt;authors&gt;&lt;author&gt;Schneider, C. A.&lt;/author&gt;&lt;author&gt;Rasband, W. S.&lt;/author&gt;&lt;author&gt;Eliceiri, K. W.&lt;/author&gt;&lt;/authors&gt;&lt;/contributors&gt;&lt;auth-address&gt;Laboratory for Optical and Computational Instrumentation, University of Wisconsin at Madison, Madison, Wisconsin, USA.&lt;/auth-address&gt;&lt;titles&gt;&lt;title&gt;NIH Image to ImageJ: 25 years of image analysis&lt;/title&gt;&lt;secondary-title&gt;Nat Methods&lt;/secondary-title&gt;&lt;/titles&gt;&lt;periodical&gt;&lt;full-title&gt;Nat Methods&lt;/full-title&gt;&lt;/periodical&gt;&lt;pages&gt;671-5&lt;/pages&gt;&lt;volume&gt;9&lt;/volume&gt;&lt;number&gt;7&lt;/number&gt;&lt;edition&gt;2012/08/30&lt;/edition&gt;&lt;keywords&gt;&lt;keyword&gt;*Computational Biology/history/methods/trends&lt;/keyword&gt;&lt;keyword&gt;History, 20th Century&lt;/keyword&gt;&lt;keyword&gt;History, 21st Century&lt;/keyword&gt;&lt;keyword&gt;Image Processing, Computer-Assisted/*methods&lt;/keyword&gt;&lt;keyword&gt;National Institutes of Health (U.S.)&lt;/keyword&gt;&lt;keyword&gt;Software/*history/trends&lt;/keyword&gt;&lt;keyword&gt;United States&lt;/keyword&gt;&lt;/keywords&gt;&lt;dates&gt;&lt;year&gt;2012&lt;/year&gt;&lt;pub-dates&gt;&lt;date&gt;Jul&lt;/date&gt;&lt;/pub-dates&gt;&lt;/dates&gt;&lt;isbn&gt;1548-7105 (Electronic)&amp;#xD;1548-7091 (Linking)&lt;/isbn&gt;&lt;accession-num&gt;22930834&lt;/accession-num&gt;&lt;urls&gt;&lt;related-urls&gt;&lt;url&gt;https://www.ncbi.nlm.nih.gov/pubmed/22930834&lt;/url&gt;&lt;/related-urls&gt;&lt;/urls&gt;&lt;custom2&gt;PMC5554542&lt;/custom2&gt;&lt;electronic-resource-num&gt;10.1038/nmeth.2089&lt;/electronic-resource-num&gt;&lt;/record&gt;&lt;/Cite&gt;&lt;/EndNote&gt;</w:instrText>
      </w:r>
      <w:r w:rsidRPr="008B0CD9">
        <w:rPr>
          <w:rFonts w:eastAsiaTheme="minorEastAsia"/>
          <w:bCs/>
        </w:rPr>
        <w:fldChar w:fldCharType="separate"/>
      </w:r>
      <w:r w:rsidRPr="008B0CD9">
        <w:rPr>
          <w:rFonts w:eastAsiaTheme="minorEastAsia"/>
          <w:bCs/>
          <w:noProof/>
        </w:rPr>
        <w:t>(64)</w:t>
      </w:r>
      <w:r w:rsidRPr="008B0CD9">
        <w:rPr>
          <w:rFonts w:eastAsiaTheme="minorEastAsia"/>
          <w:bCs/>
        </w:rPr>
        <w:fldChar w:fldCharType="end"/>
      </w:r>
      <w:r w:rsidRPr="008B0CD9">
        <w:rPr>
          <w:rFonts w:eastAsiaTheme="minorEastAsia" w:hint="eastAsia"/>
          <w:bCs/>
        </w:rPr>
        <w:t xml:space="preserve"> </w:t>
      </w:r>
      <w:r w:rsidRPr="008B0CD9">
        <w:rPr>
          <w:rFonts w:eastAsiaTheme="minorEastAsia"/>
          <w:bCs/>
        </w:rPr>
        <w:t>using the median of the intensity. Relative intensities were calculated in compared with drug-free treatment.</w:t>
      </w:r>
      <w:r w:rsidRPr="008B0CD9">
        <w:rPr>
          <w:rFonts w:eastAsiaTheme="minorEastAsia"/>
          <w:bCs/>
        </w:rPr>
        <w:br w:type="page"/>
      </w:r>
    </w:p>
    <w:p w14:paraId="4F4EFA21" w14:textId="77777777" w:rsidR="00C752F4" w:rsidRPr="008B0CD9" w:rsidRDefault="00E43CC5"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89984" behindDoc="0" locked="0" layoutInCell="1" allowOverlap="1" wp14:anchorId="327A8871" wp14:editId="21D12581">
            <wp:simplePos x="0" y="0"/>
            <wp:positionH relativeFrom="margin">
              <wp:align>right</wp:align>
            </wp:positionH>
            <wp:positionV relativeFrom="paragraph">
              <wp:posOffset>766</wp:posOffset>
            </wp:positionV>
            <wp:extent cx="5602013" cy="5296548"/>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013" cy="5296548"/>
                    </a:xfrm>
                    <a:prstGeom prst="rect">
                      <a:avLst/>
                    </a:prstGeom>
                    <a:noFill/>
                  </pic:spPr>
                </pic:pic>
              </a:graphicData>
            </a:graphic>
            <wp14:sizeRelH relativeFrom="page">
              <wp14:pctWidth>0</wp14:pctWidth>
            </wp14:sizeRelH>
            <wp14:sizeRelV relativeFrom="page">
              <wp14:pctHeight>0</wp14:pctHeight>
            </wp14:sizeRelV>
          </wp:anchor>
        </w:drawing>
      </w:r>
    </w:p>
    <w:p w14:paraId="23DE9E5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E6DBEC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33CE19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1A6222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D79585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33F969E"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981F30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955464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7752F5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5A5DC8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709B1D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9F8183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DC5B5A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4D74A1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24266E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87303F0"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upplementary Figure S12:</w:t>
      </w:r>
      <w:r w:rsidRPr="008B0CD9">
        <w:rPr>
          <w:rFonts w:eastAsiaTheme="minorEastAsia" w:hint="eastAsia"/>
          <w:b/>
        </w:rPr>
        <w:t xml:space="preserve"> </w:t>
      </w:r>
      <w:r w:rsidRPr="008B0CD9">
        <w:rPr>
          <w:rFonts w:eastAsiaTheme="minorEastAsia"/>
          <w:b/>
        </w:rPr>
        <w:t>The sensitivity of A2058 cells to a combination therapy of BRAF and MEK inhibitor</w:t>
      </w:r>
    </w:p>
    <w:p w14:paraId="7F6ADB5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
        </w:rPr>
        <w:t>A,</w:t>
      </w:r>
      <w:r w:rsidRPr="008B0CD9">
        <w:rPr>
          <w:rFonts w:eastAsiaTheme="minorEastAsia"/>
          <w:bCs/>
        </w:rPr>
        <w:t xml:space="preserve"> A2058 cell is a melanoma cell line harboring BRAF V600E and MAP2K1 P124S. The cells were treated with vemurafenib and </w:t>
      </w:r>
      <w:proofErr w:type="spellStart"/>
      <w:r w:rsidRPr="008B0CD9">
        <w:rPr>
          <w:rFonts w:eastAsiaTheme="minorEastAsia"/>
          <w:bCs/>
        </w:rPr>
        <w:t>cobimetinib</w:t>
      </w:r>
      <w:proofErr w:type="spellEnd"/>
      <w:r w:rsidRPr="008B0CD9">
        <w:rPr>
          <w:rFonts w:eastAsiaTheme="minorEastAsia"/>
          <w:bCs/>
        </w:rPr>
        <w:t xml:space="preserve"> at the concentrations indicated for 5 days. Cell viability was measured using the </w:t>
      </w:r>
      <w:proofErr w:type="spellStart"/>
      <w:r w:rsidRPr="008B0CD9">
        <w:rPr>
          <w:rFonts w:eastAsiaTheme="minorEastAsia"/>
          <w:bCs/>
        </w:rPr>
        <w:t>PrestoBlue</w:t>
      </w:r>
      <w:proofErr w:type="spellEnd"/>
      <w:r w:rsidRPr="008B0CD9">
        <w:rPr>
          <w:rFonts w:eastAsiaTheme="minorEastAsia"/>
          <w:bCs/>
        </w:rPr>
        <w:t xml:space="preserve"> cell viability assay. The relative viability of the treated cells was measured and illustrated using color shading heat-map in </w:t>
      </w:r>
      <w:r w:rsidRPr="008B0CD9">
        <w:rPr>
          <w:rFonts w:eastAsiaTheme="minorEastAsia"/>
          <w:bCs/>
        </w:rPr>
        <w:lastRenderedPageBreak/>
        <w:t xml:space="preserve">comparison to drug-free treatment. Data were plotted as the mean ± SD (n = 3). </w:t>
      </w:r>
      <w:r w:rsidRPr="008B0CD9">
        <w:rPr>
          <w:rFonts w:eastAsiaTheme="minorEastAsia"/>
          <w:b/>
        </w:rPr>
        <w:t>B,</w:t>
      </w:r>
      <w:r w:rsidRPr="008B0CD9">
        <w:rPr>
          <w:rFonts w:eastAsiaTheme="minorEastAsia"/>
          <w:bCs/>
        </w:rPr>
        <w:t xml:space="preserve"> </w:t>
      </w:r>
      <w:proofErr w:type="gramStart"/>
      <w:r w:rsidRPr="008B0CD9">
        <w:rPr>
          <w:rFonts w:eastAsiaTheme="minorEastAsia"/>
          <w:bCs/>
        </w:rPr>
        <w:t>The</w:t>
      </w:r>
      <w:proofErr w:type="gramEnd"/>
      <w:r w:rsidRPr="008B0CD9">
        <w:rPr>
          <w:rFonts w:eastAsiaTheme="minorEastAsia"/>
          <w:bCs/>
        </w:rPr>
        <w:t xml:space="preserve"> synergistic effect of the combination therapy of vemurafenib and </w:t>
      </w:r>
      <w:proofErr w:type="spellStart"/>
      <w:r w:rsidRPr="008B0CD9">
        <w:rPr>
          <w:rFonts w:eastAsiaTheme="minorEastAsia"/>
          <w:bCs/>
        </w:rPr>
        <w:t>cobimetinib</w:t>
      </w:r>
      <w:proofErr w:type="spellEnd"/>
      <w:r w:rsidRPr="008B0CD9">
        <w:rPr>
          <w:rFonts w:eastAsiaTheme="minorEastAsia"/>
          <w:bCs/>
        </w:rPr>
        <w:t xml:space="preserve"> was calculated (Methods). Those with high synergy are highlighted in red in the 2D figure on the left and are highly represented in the 3D landscape on the right.</w:t>
      </w:r>
      <w:r w:rsidRPr="008B0CD9">
        <w:rPr>
          <w:rFonts w:eastAsiaTheme="minorEastAsia"/>
          <w:b/>
        </w:rPr>
        <w:t xml:space="preserve"> C,</w:t>
      </w:r>
      <w:r w:rsidRPr="008B0CD9">
        <w:rPr>
          <w:rFonts w:eastAsiaTheme="minorEastAsia"/>
        </w:rPr>
        <w:t xml:space="preserve"> Dose-response curves are shown for vemurafenib (left upper) and </w:t>
      </w:r>
      <w:proofErr w:type="spellStart"/>
      <w:r w:rsidRPr="008B0CD9">
        <w:rPr>
          <w:rFonts w:eastAsiaTheme="minorEastAsia"/>
        </w:rPr>
        <w:t>cobimetinib</w:t>
      </w:r>
      <w:proofErr w:type="spellEnd"/>
      <w:r w:rsidRPr="008B0CD9">
        <w:rPr>
          <w:rFonts w:eastAsiaTheme="minorEastAsia"/>
        </w:rPr>
        <w:t xml:space="preserve"> (left lower). Dose-response matrix for the inhibition ratio of the combination treatment is revealed with the actual ratio for the individual concentration.   </w:t>
      </w:r>
      <w:r w:rsidRPr="008B0CD9">
        <w:rPr>
          <w:rFonts w:eastAsiaTheme="minorEastAsia"/>
          <w:bCs/>
        </w:rPr>
        <w:br w:type="page"/>
      </w:r>
    </w:p>
    <w:p w14:paraId="416E7313" w14:textId="77777777" w:rsidR="00C752F4" w:rsidRPr="008B0CD9" w:rsidRDefault="00E43CC5"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91008" behindDoc="0" locked="0" layoutInCell="1" allowOverlap="1" wp14:anchorId="6F988028" wp14:editId="48796482">
            <wp:simplePos x="0" y="0"/>
            <wp:positionH relativeFrom="column">
              <wp:posOffset>2431</wp:posOffset>
            </wp:positionH>
            <wp:positionV relativeFrom="paragraph">
              <wp:posOffset>766</wp:posOffset>
            </wp:positionV>
            <wp:extent cx="5648939" cy="4265698"/>
            <wp:effectExtent l="0" t="0" r="9525"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939" cy="4265698"/>
                    </a:xfrm>
                    <a:prstGeom prst="rect">
                      <a:avLst/>
                    </a:prstGeom>
                    <a:noFill/>
                  </pic:spPr>
                </pic:pic>
              </a:graphicData>
            </a:graphic>
            <wp14:sizeRelH relativeFrom="page">
              <wp14:pctWidth>0</wp14:pctWidth>
            </wp14:sizeRelH>
            <wp14:sizeRelV relativeFrom="page">
              <wp14:pctHeight>0</wp14:pctHeight>
            </wp14:sizeRelV>
          </wp:anchor>
        </w:drawing>
      </w:r>
    </w:p>
    <w:p w14:paraId="4541762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B5E45E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AAC8E4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8DC02A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B5EA2F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89F104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940949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D91370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6F9D18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8E7FFC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74C906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F4C4C8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D20CF2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upplementary Figure S13: The sensitivity of MAP2K1 variants to BRAF and MEK inhibitor using the MANO method in A375 cells</w:t>
      </w:r>
    </w:p>
    <w:p w14:paraId="2EB7EB8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Cs/>
        </w:rPr>
        <w:t xml:space="preserve">In relation to Figure 4A, the relative viability of treated cells with </w:t>
      </w:r>
      <w:proofErr w:type="spellStart"/>
      <w:r w:rsidRPr="008B0CD9">
        <w:rPr>
          <w:rFonts w:eastAsiaTheme="minorEastAsia"/>
          <w:bCs/>
        </w:rPr>
        <w:t>cobimetinib</w:t>
      </w:r>
      <w:proofErr w:type="spellEnd"/>
      <w:r w:rsidRPr="008B0CD9">
        <w:rPr>
          <w:rFonts w:eastAsiaTheme="minorEastAsia"/>
          <w:bCs/>
        </w:rPr>
        <w:t xml:space="preserve"> and vemurafenib (1 </w:t>
      </w:r>
      <w:proofErr w:type="spellStart"/>
      <w:r w:rsidRPr="008B0CD9">
        <w:rPr>
          <w:rFonts w:eastAsiaTheme="minorEastAsia"/>
          <w:bCs/>
        </w:rPr>
        <w:t>nM</w:t>
      </w:r>
      <w:proofErr w:type="spellEnd"/>
      <w:r w:rsidRPr="008B0CD9">
        <w:rPr>
          <w:rFonts w:eastAsiaTheme="minorEastAsia"/>
          <w:bCs/>
        </w:rPr>
        <w:t xml:space="preserve"> to 10,000 </w:t>
      </w:r>
      <w:proofErr w:type="spellStart"/>
      <w:r w:rsidRPr="008B0CD9">
        <w:rPr>
          <w:rFonts w:eastAsiaTheme="minorEastAsia"/>
          <w:bCs/>
        </w:rPr>
        <w:t>nM</w:t>
      </w:r>
      <w:proofErr w:type="spellEnd"/>
      <w:r w:rsidRPr="008B0CD9">
        <w:rPr>
          <w:rFonts w:eastAsiaTheme="minorEastAsia"/>
          <w:bCs/>
        </w:rPr>
        <w:t>).</w:t>
      </w:r>
      <w:r w:rsidRPr="008B0CD9">
        <w:rPr>
          <w:rFonts w:eastAsiaTheme="minorEastAsia"/>
          <w:bCs/>
        </w:rPr>
        <w:br w:type="page"/>
      </w:r>
    </w:p>
    <w:p w14:paraId="60D36425" w14:textId="77777777" w:rsidR="00C752F4" w:rsidRPr="008B0CD9" w:rsidRDefault="00E43CC5"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92032" behindDoc="0" locked="0" layoutInCell="1" allowOverlap="1" wp14:anchorId="7411B14E" wp14:editId="65CBF49F">
            <wp:simplePos x="0" y="0"/>
            <wp:positionH relativeFrom="margin">
              <wp:align>right</wp:align>
            </wp:positionH>
            <wp:positionV relativeFrom="paragraph">
              <wp:posOffset>53187</wp:posOffset>
            </wp:positionV>
            <wp:extent cx="5609215" cy="4204138"/>
            <wp:effectExtent l="0" t="0" r="0" b="635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9215" cy="4204138"/>
                    </a:xfrm>
                    <a:prstGeom prst="rect">
                      <a:avLst/>
                    </a:prstGeom>
                    <a:noFill/>
                  </pic:spPr>
                </pic:pic>
              </a:graphicData>
            </a:graphic>
            <wp14:sizeRelH relativeFrom="page">
              <wp14:pctWidth>0</wp14:pctWidth>
            </wp14:sizeRelH>
            <wp14:sizeRelV relativeFrom="page">
              <wp14:pctHeight>0</wp14:pctHeight>
            </wp14:sizeRelV>
          </wp:anchor>
        </w:drawing>
      </w:r>
    </w:p>
    <w:p w14:paraId="28B5D1E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243864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383446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DE52CB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BF152E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40558E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C2F931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82AD40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E145E3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E6E553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9C9046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FBA344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574CB0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upplementary Figure S14: The sensitivity of MAP2K1 variants to dabrafenib and trametinib using the MANO method in A375 cells</w:t>
      </w:r>
    </w:p>
    <w:p w14:paraId="6C9EBF8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Cs/>
        </w:rPr>
        <w:t xml:space="preserve">In relation to Figure 4B, the relative viability of treated cells with trametinib and dabrafenib (1 </w:t>
      </w:r>
      <w:proofErr w:type="spellStart"/>
      <w:r w:rsidRPr="008B0CD9">
        <w:rPr>
          <w:rFonts w:eastAsiaTheme="minorEastAsia"/>
          <w:bCs/>
        </w:rPr>
        <w:t>nM</w:t>
      </w:r>
      <w:proofErr w:type="spellEnd"/>
      <w:r w:rsidRPr="008B0CD9">
        <w:rPr>
          <w:rFonts w:eastAsiaTheme="minorEastAsia"/>
          <w:bCs/>
        </w:rPr>
        <w:t xml:space="preserve"> to 10,000 </w:t>
      </w:r>
      <w:proofErr w:type="spellStart"/>
      <w:r w:rsidRPr="008B0CD9">
        <w:rPr>
          <w:rFonts w:eastAsiaTheme="minorEastAsia"/>
          <w:bCs/>
        </w:rPr>
        <w:t>nM</w:t>
      </w:r>
      <w:proofErr w:type="spellEnd"/>
      <w:r w:rsidRPr="008B0CD9">
        <w:rPr>
          <w:rFonts w:eastAsiaTheme="minorEastAsia"/>
          <w:bCs/>
        </w:rPr>
        <w:t>).</w:t>
      </w:r>
      <w:r w:rsidRPr="008B0CD9">
        <w:rPr>
          <w:rFonts w:eastAsiaTheme="minorEastAsia"/>
          <w:bCs/>
        </w:rPr>
        <w:br w:type="page"/>
      </w:r>
    </w:p>
    <w:p w14:paraId="2127CB3C" w14:textId="77777777" w:rsidR="00C752F4" w:rsidRPr="008B0CD9" w:rsidRDefault="00E43CC5"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93056" behindDoc="0" locked="0" layoutInCell="1" allowOverlap="1" wp14:anchorId="5C745831" wp14:editId="7668473C">
            <wp:simplePos x="0" y="0"/>
            <wp:positionH relativeFrom="margin">
              <wp:align>right</wp:align>
            </wp:positionH>
            <wp:positionV relativeFrom="paragraph">
              <wp:posOffset>766</wp:posOffset>
            </wp:positionV>
            <wp:extent cx="5602013" cy="4271072"/>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2013" cy="4271072"/>
                    </a:xfrm>
                    <a:prstGeom prst="rect">
                      <a:avLst/>
                    </a:prstGeom>
                    <a:noFill/>
                  </pic:spPr>
                </pic:pic>
              </a:graphicData>
            </a:graphic>
            <wp14:sizeRelH relativeFrom="page">
              <wp14:pctWidth>0</wp14:pctWidth>
            </wp14:sizeRelH>
            <wp14:sizeRelV relativeFrom="page">
              <wp14:pctHeight>0</wp14:pctHeight>
            </wp14:sizeRelV>
          </wp:anchor>
        </w:drawing>
      </w:r>
    </w:p>
    <w:p w14:paraId="0EAC810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ADFE22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9F3095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BBA4A6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4C4948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481D8D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46901AF"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4B724BE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AD7832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8CFA15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06DAB1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A48C64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4EB6B7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468737C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
        </w:rPr>
      </w:pPr>
      <w:r w:rsidRPr="008B0CD9">
        <w:rPr>
          <w:rFonts w:eastAsiaTheme="minorEastAsia" w:hint="eastAsia"/>
          <w:b/>
        </w:rPr>
        <w:t>S</w:t>
      </w:r>
      <w:r w:rsidRPr="008B0CD9">
        <w:rPr>
          <w:rFonts w:eastAsiaTheme="minorEastAsia"/>
          <w:b/>
        </w:rPr>
        <w:t xml:space="preserve">upplementary Figure S15: The sensitivity of MAP2K1 variants to </w:t>
      </w:r>
      <w:proofErr w:type="spellStart"/>
      <w:r w:rsidRPr="008B0CD9">
        <w:rPr>
          <w:rFonts w:eastAsiaTheme="minorEastAsia"/>
          <w:b/>
        </w:rPr>
        <w:t>encorafenib</w:t>
      </w:r>
      <w:proofErr w:type="spellEnd"/>
      <w:r w:rsidRPr="008B0CD9">
        <w:rPr>
          <w:rFonts w:eastAsiaTheme="minorEastAsia"/>
          <w:b/>
        </w:rPr>
        <w:t xml:space="preserve"> and </w:t>
      </w:r>
      <w:proofErr w:type="spellStart"/>
      <w:r w:rsidRPr="008B0CD9">
        <w:rPr>
          <w:rFonts w:eastAsiaTheme="minorEastAsia"/>
          <w:b/>
        </w:rPr>
        <w:t>binimetinib</w:t>
      </w:r>
      <w:proofErr w:type="spellEnd"/>
      <w:r w:rsidRPr="008B0CD9">
        <w:rPr>
          <w:rFonts w:eastAsiaTheme="minorEastAsia"/>
          <w:b/>
        </w:rPr>
        <w:t xml:space="preserve"> using the MANO method in A375 cells.</w:t>
      </w:r>
    </w:p>
    <w:p w14:paraId="4C73D54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Cs/>
        </w:rPr>
        <w:t xml:space="preserve">In relation to Figure 4C, the relative viability of treated cells with </w:t>
      </w:r>
      <w:proofErr w:type="spellStart"/>
      <w:r w:rsidRPr="008B0CD9">
        <w:rPr>
          <w:rFonts w:eastAsiaTheme="minorEastAsia"/>
          <w:bCs/>
        </w:rPr>
        <w:t>binimetinib</w:t>
      </w:r>
      <w:proofErr w:type="spellEnd"/>
      <w:r w:rsidRPr="008B0CD9">
        <w:rPr>
          <w:rFonts w:eastAsiaTheme="minorEastAsia"/>
          <w:bCs/>
        </w:rPr>
        <w:t xml:space="preserve"> and </w:t>
      </w:r>
      <w:proofErr w:type="spellStart"/>
      <w:r w:rsidRPr="008B0CD9">
        <w:rPr>
          <w:rFonts w:eastAsiaTheme="minorEastAsia"/>
          <w:bCs/>
        </w:rPr>
        <w:t>encorafenib</w:t>
      </w:r>
      <w:proofErr w:type="spellEnd"/>
      <w:r w:rsidRPr="008B0CD9">
        <w:rPr>
          <w:rFonts w:eastAsiaTheme="minorEastAsia"/>
          <w:bCs/>
        </w:rPr>
        <w:t xml:space="preserve"> (1 </w:t>
      </w:r>
      <w:proofErr w:type="spellStart"/>
      <w:r w:rsidRPr="008B0CD9">
        <w:rPr>
          <w:rFonts w:eastAsiaTheme="minorEastAsia"/>
          <w:bCs/>
        </w:rPr>
        <w:t>nM</w:t>
      </w:r>
      <w:proofErr w:type="spellEnd"/>
      <w:r w:rsidRPr="008B0CD9">
        <w:rPr>
          <w:rFonts w:eastAsiaTheme="minorEastAsia"/>
          <w:bCs/>
        </w:rPr>
        <w:t xml:space="preserve"> to 10,000 </w:t>
      </w:r>
      <w:proofErr w:type="spellStart"/>
      <w:r w:rsidRPr="008B0CD9">
        <w:rPr>
          <w:rFonts w:eastAsiaTheme="minorEastAsia"/>
          <w:bCs/>
        </w:rPr>
        <w:t>nM</w:t>
      </w:r>
      <w:proofErr w:type="spellEnd"/>
      <w:r w:rsidRPr="008B0CD9">
        <w:rPr>
          <w:rFonts w:eastAsiaTheme="minorEastAsia"/>
          <w:bCs/>
        </w:rPr>
        <w:t>).</w:t>
      </w:r>
      <w:r w:rsidRPr="008B0CD9">
        <w:rPr>
          <w:rFonts w:eastAsiaTheme="minorEastAsia"/>
          <w:bCs/>
        </w:rPr>
        <w:br w:type="page"/>
      </w:r>
    </w:p>
    <w:p w14:paraId="12CA455D" w14:textId="77777777" w:rsidR="00C752F4" w:rsidRPr="008B0CD9" w:rsidRDefault="00E43CC5" w:rsidP="00C752F4">
      <w:pPr>
        <w:pStyle w:val="Web"/>
        <w:kinsoku w:val="0"/>
        <w:adjustRightInd w:val="0"/>
        <w:snapToGrid w:val="0"/>
        <w:spacing w:before="0" w:beforeAutospacing="0" w:after="0" w:afterAutospacing="0" w:line="480" w:lineRule="auto"/>
        <w:jc w:val="both"/>
        <w:rPr>
          <w:rFonts w:eastAsiaTheme="minorEastAsia"/>
          <w:bCs/>
        </w:rPr>
      </w:pPr>
      <w:r>
        <w:rPr>
          <w:rFonts w:eastAsiaTheme="minorEastAsia"/>
          <w:bCs/>
          <w:noProof/>
        </w:rPr>
        <w:lastRenderedPageBreak/>
        <w:drawing>
          <wp:anchor distT="0" distB="0" distL="114300" distR="114300" simplePos="0" relativeHeight="251694080" behindDoc="0" locked="0" layoutInCell="1" allowOverlap="1" wp14:anchorId="1981B72B" wp14:editId="205CB587">
            <wp:simplePos x="0" y="0"/>
            <wp:positionH relativeFrom="margin">
              <wp:align>right</wp:align>
            </wp:positionH>
            <wp:positionV relativeFrom="paragraph">
              <wp:posOffset>766</wp:posOffset>
            </wp:positionV>
            <wp:extent cx="5612524" cy="5814201"/>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524" cy="5814201"/>
                    </a:xfrm>
                    <a:prstGeom prst="rect">
                      <a:avLst/>
                    </a:prstGeom>
                    <a:noFill/>
                  </pic:spPr>
                </pic:pic>
              </a:graphicData>
            </a:graphic>
            <wp14:sizeRelH relativeFrom="page">
              <wp14:pctWidth>0</wp14:pctWidth>
            </wp14:sizeRelH>
            <wp14:sizeRelV relativeFrom="page">
              <wp14:pctHeight>0</wp14:pctHeight>
            </wp14:sizeRelV>
          </wp:anchor>
        </w:drawing>
      </w:r>
    </w:p>
    <w:p w14:paraId="74D3AD3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7A90C2A"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B44AAC2"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0457A5E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31853995"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5EFEE3B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372D47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74DFC81"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5DC8C8C"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908ACBB"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CD73B8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8148436"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620EC5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817FF47"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7BA924D3"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22F6B149"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6CFBF018"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p>
    <w:p w14:paraId="1836B9DD"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hint="eastAsia"/>
          <w:b/>
        </w:rPr>
        <w:t>S</w:t>
      </w:r>
      <w:r w:rsidRPr="008B0CD9">
        <w:rPr>
          <w:rFonts w:eastAsiaTheme="minorEastAsia"/>
          <w:b/>
        </w:rPr>
        <w:t>upplementary Figure S16: Assessment of drug sensitivity and synergy for other MAP2K1 variants.</w:t>
      </w:r>
    </w:p>
    <w:p w14:paraId="0685118E" w14:textId="77777777" w:rsidR="00C752F4"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hint="eastAsia"/>
          <w:bCs/>
        </w:rPr>
        <w:t xml:space="preserve">The drug sensitivities of the indicated </w:t>
      </w:r>
      <w:r w:rsidRPr="008B0CD9">
        <w:rPr>
          <w:rFonts w:eastAsiaTheme="minorEastAsia"/>
          <w:bCs/>
        </w:rPr>
        <w:t xml:space="preserve">non-functional </w:t>
      </w:r>
      <w:r w:rsidRPr="008B0CD9">
        <w:rPr>
          <w:rFonts w:eastAsiaTheme="minorEastAsia" w:hint="eastAsia"/>
          <w:bCs/>
        </w:rPr>
        <w:t xml:space="preserve">MAP2K1 variants mutants were categorized </w:t>
      </w:r>
      <w:r w:rsidRPr="008B0CD9">
        <w:rPr>
          <w:rFonts w:eastAsiaTheme="minorEastAsia"/>
          <w:bCs/>
        </w:rPr>
        <w:t>into</w:t>
      </w:r>
      <w:r w:rsidRPr="008B0CD9">
        <w:rPr>
          <w:rFonts w:eastAsiaTheme="minorEastAsia" w:hint="eastAsia"/>
          <w:bCs/>
        </w:rPr>
        <w:t xml:space="preserve"> five </w:t>
      </w:r>
      <w:r w:rsidRPr="008B0CD9">
        <w:rPr>
          <w:rFonts w:eastAsiaTheme="minorEastAsia"/>
          <w:bCs/>
        </w:rPr>
        <w:t>levels; ≤</w:t>
      </w:r>
      <w:r w:rsidRPr="008B0CD9">
        <w:rPr>
          <w:rFonts w:eastAsiaTheme="minorEastAsia" w:hint="eastAsia"/>
          <w:bCs/>
        </w:rPr>
        <w:t xml:space="preserve">3 (green), </w:t>
      </w:r>
      <w:r w:rsidRPr="008B0CD9">
        <w:rPr>
          <w:rFonts w:eastAsiaTheme="minorEastAsia"/>
          <w:bCs/>
        </w:rPr>
        <w:t>&gt;3</w:t>
      </w:r>
      <w:r w:rsidRPr="008B0CD9">
        <w:rPr>
          <w:rFonts w:eastAsiaTheme="minorEastAsia" w:hint="eastAsia"/>
          <w:bCs/>
        </w:rPr>
        <w:t xml:space="preserve">, </w:t>
      </w:r>
      <w:r w:rsidRPr="008B0CD9">
        <w:rPr>
          <w:rFonts w:eastAsiaTheme="minorEastAsia"/>
          <w:bCs/>
        </w:rPr>
        <w:t>≤1</w:t>
      </w:r>
      <w:r w:rsidRPr="008B0CD9">
        <w:rPr>
          <w:rFonts w:eastAsiaTheme="minorEastAsia" w:hint="eastAsia"/>
          <w:bCs/>
        </w:rPr>
        <w:t xml:space="preserve">0 (yellow-green), </w:t>
      </w:r>
      <w:r w:rsidRPr="008B0CD9">
        <w:rPr>
          <w:rFonts w:eastAsiaTheme="minorEastAsia"/>
          <w:bCs/>
        </w:rPr>
        <w:t>&gt;1</w:t>
      </w:r>
      <w:r w:rsidRPr="008B0CD9">
        <w:rPr>
          <w:rFonts w:eastAsiaTheme="minorEastAsia" w:hint="eastAsia"/>
          <w:bCs/>
        </w:rPr>
        <w:t xml:space="preserve">0, </w:t>
      </w:r>
      <w:r w:rsidRPr="008B0CD9">
        <w:rPr>
          <w:rFonts w:eastAsiaTheme="minorEastAsia"/>
          <w:bCs/>
        </w:rPr>
        <w:t>≤3</w:t>
      </w:r>
      <w:r w:rsidRPr="008B0CD9">
        <w:rPr>
          <w:rFonts w:eastAsiaTheme="minorEastAsia" w:hint="eastAsia"/>
          <w:bCs/>
        </w:rPr>
        <w:t xml:space="preserve">0 (yellow), </w:t>
      </w:r>
      <w:r w:rsidRPr="008B0CD9">
        <w:rPr>
          <w:rFonts w:eastAsiaTheme="minorEastAsia"/>
          <w:bCs/>
        </w:rPr>
        <w:t>&gt;3</w:t>
      </w:r>
      <w:r w:rsidRPr="008B0CD9">
        <w:rPr>
          <w:rFonts w:eastAsiaTheme="minorEastAsia" w:hint="eastAsia"/>
          <w:bCs/>
        </w:rPr>
        <w:t xml:space="preserve">0, </w:t>
      </w:r>
      <w:r w:rsidRPr="008B0CD9">
        <w:rPr>
          <w:rFonts w:eastAsiaTheme="minorEastAsia"/>
          <w:bCs/>
        </w:rPr>
        <w:lastRenderedPageBreak/>
        <w:t>≤1</w:t>
      </w:r>
      <w:r w:rsidRPr="008B0CD9">
        <w:rPr>
          <w:rFonts w:eastAsiaTheme="minorEastAsia" w:hint="eastAsia"/>
          <w:bCs/>
        </w:rPr>
        <w:t>00 (orange) and &gt;</w:t>
      </w:r>
      <w:r w:rsidRPr="008B0CD9">
        <w:rPr>
          <w:rFonts w:eastAsiaTheme="minorEastAsia"/>
          <w:bCs/>
        </w:rPr>
        <w:t>1</w:t>
      </w:r>
      <w:r w:rsidRPr="008B0CD9">
        <w:rPr>
          <w:rFonts w:eastAsiaTheme="minorEastAsia" w:hint="eastAsia"/>
          <w:bCs/>
        </w:rPr>
        <w:t>00 (red) based on the fold</w:t>
      </w:r>
      <w:r w:rsidRPr="008B0CD9">
        <w:rPr>
          <w:rFonts w:eastAsiaTheme="minorEastAsia"/>
          <w:bCs/>
        </w:rPr>
        <w:t>-</w:t>
      </w:r>
      <w:r w:rsidRPr="008B0CD9">
        <w:rPr>
          <w:rFonts w:eastAsiaTheme="minorEastAsia" w:hint="eastAsia"/>
          <w:bCs/>
        </w:rPr>
        <w:t>change (to GFP) of</w:t>
      </w:r>
      <w:r w:rsidRPr="008B0CD9">
        <w:rPr>
          <w:rFonts w:eastAsiaTheme="minorEastAsia"/>
          <w:bCs/>
        </w:rPr>
        <w:t xml:space="preserve"> the</w:t>
      </w:r>
      <w:r w:rsidRPr="008B0CD9">
        <w:rPr>
          <w:rFonts w:eastAsiaTheme="minorEastAsia" w:hint="eastAsia"/>
          <w:bCs/>
        </w:rPr>
        <w:t xml:space="preserve"> IC</w:t>
      </w:r>
      <w:r w:rsidRPr="008B0CD9">
        <w:rPr>
          <w:rFonts w:eastAsiaTheme="minorEastAsia" w:hint="eastAsia"/>
          <w:bCs/>
          <w:vertAlign w:val="subscript"/>
        </w:rPr>
        <w:t>50</w:t>
      </w:r>
      <w:r w:rsidRPr="008B0CD9">
        <w:rPr>
          <w:rFonts w:eastAsiaTheme="minorEastAsia" w:hint="eastAsia"/>
          <w:bCs/>
        </w:rPr>
        <w:t xml:space="preserve"> </w:t>
      </w:r>
      <w:r w:rsidRPr="008B0CD9">
        <w:rPr>
          <w:rFonts w:eastAsiaTheme="minorEastAsia"/>
          <w:bCs/>
        </w:rPr>
        <w:t>value for</w:t>
      </w:r>
      <w:r w:rsidRPr="008B0CD9">
        <w:rPr>
          <w:rFonts w:eastAsiaTheme="minorEastAsia" w:hint="eastAsia"/>
          <w:bCs/>
        </w:rPr>
        <w:t xml:space="preserve"> each drug against each mutant. The maximum synergistic effect </w:t>
      </w:r>
      <w:r w:rsidRPr="008B0CD9">
        <w:rPr>
          <w:rFonts w:eastAsiaTheme="minorEastAsia"/>
          <w:bCs/>
        </w:rPr>
        <w:t>among the combinations of concentrations above the IC</w:t>
      </w:r>
      <w:r w:rsidRPr="008B0CD9">
        <w:rPr>
          <w:rFonts w:eastAsiaTheme="minorEastAsia"/>
          <w:bCs/>
          <w:vertAlign w:val="subscript"/>
        </w:rPr>
        <w:t>50</w:t>
      </w:r>
      <w:r w:rsidRPr="008B0CD9">
        <w:rPr>
          <w:rFonts w:eastAsiaTheme="minorEastAsia"/>
          <w:bCs/>
        </w:rPr>
        <w:t xml:space="preserve"> was </w:t>
      </w:r>
      <w:r w:rsidRPr="008B0CD9">
        <w:rPr>
          <w:rFonts w:eastAsiaTheme="minorEastAsia" w:hint="eastAsia"/>
          <w:bCs/>
        </w:rPr>
        <w:t xml:space="preserve">calculated and </w:t>
      </w:r>
      <w:r w:rsidRPr="008B0CD9">
        <w:rPr>
          <w:rFonts w:eastAsiaTheme="minorEastAsia"/>
          <w:bCs/>
        </w:rPr>
        <w:t xml:space="preserve">concentrations of the </w:t>
      </w:r>
      <w:r w:rsidRPr="008B0CD9">
        <w:rPr>
          <w:rFonts w:eastAsiaTheme="minorEastAsia" w:hint="eastAsia"/>
          <w:bCs/>
        </w:rPr>
        <w:t>BRAF and MEK inhibitor</w:t>
      </w:r>
      <w:r w:rsidRPr="008B0CD9">
        <w:rPr>
          <w:rFonts w:eastAsiaTheme="minorEastAsia"/>
          <w:bCs/>
        </w:rPr>
        <w:t>s</w:t>
      </w:r>
      <w:r w:rsidRPr="008B0CD9">
        <w:rPr>
          <w:rFonts w:eastAsiaTheme="minorEastAsia" w:hint="eastAsia"/>
          <w:bCs/>
        </w:rPr>
        <w:t xml:space="preserve"> </w:t>
      </w:r>
      <w:r w:rsidRPr="008B0CD9">
        <w:rPr>
          <w:rFonts w:eastAsiaTheme="minorEastAsia"/>
          <w:bCs/>
        </w:rPr>
        <w:t>in this case shown on the right side were categorized into</w:t>
      </w:r>
      <w:r w:rsidRPr="008B0CD9">
        <w:rPr>
          <w:rFonts w:eastAsiaTheme="minorEastAsia" w:hint="eastAsia"/>
          <w:bCs/>
        </w:rPr>
        <w:t xml:space="preserve"> five levels</w:t>
      </w:r>
      <w:r w:rsidRPr="008B0CD9">
        <w:rPr>
          <w:rFonts w:eastAsiaTheme="minorEastAsia"/>
          <w:bCs/>
        </w:rPr>
        <w:t xml:space="preserve">; </w:t>
      </w:r>
      <w:r w:rsidRPr="008B0CD9">
        <w:rPr>
          <w:rFonts w:eastAsiaTheme="minorEastAsia" w:hint="eastAsia"/>
          <w:bCs/>
        </w:rPr>
        <w:t>&gt;</w:t>
      </w:r>
      <w:r w:rsidRPr="008B0CD9">
        <w:rPr>
          <w:rFonts w:eastAsiaTheme="minorEastAsia"/>
          <w:bCs/>
        </w:rPr>
        <w:t>8</w:t>
      </w:r>
      <w:r w:rsidRPr="008B0CD9">
        <w:rPr>
          <w:rFonts w:eastAsiaTheme="minorEastAsia" w:hint="eastAsia"/>
          <w:bCs/>
        </w:rPr>
        <w:t xml:space="preserve">0 (green), </w:t>
      </w:r>
      <w:r w:rsidRPr="008B0CD9">
        <w:rPr>
          <w:rFonts w:eastAsiaTheme="minorEastAsia"/>
          <w:bCs/>
        </w:rPr>
        <w:t>&gt;4</w:t>
      </w:r>
      <w:r w:rsidRPr="008B0CD9">
        <w:rPr>
          <w:rFonts w:eastAsiaTheme="minorEastAsia" w:hint="eastAsia"/>
          <w:bCs/>
        </w:rPr>
        <w:t xml:space="preserve">0, </w:t>
      </w:r>
      <w:r w:rsidRPr="008B0CD9">
        <w:rPr>
          <w:rFonts w:eastAsiaTheme="minorEastAsia"/>
          <w:bCs/>
        </w:rPr>
        <w:t>≤8</w:t>
      </w:r>
      <w:r w:rsidRPr="008B0CD9">
        <w:rPr>
          <w:rFonts w:eastAsiaTheme="minorEastAsia" w:hint="eastAsia"/>
          <w:bCs/>
        </w:rPr>
        <w:t xml:space="preserve">0 (yellow-green), </w:t>
      </w:r>
      <w:r w:rsidRPr="008B0CD9">
        <w:rPr>
          <w:rFonts w:eastAsiaTheme="minorEastAsia"/>
          <w:bCs/>
        </w:rPr>
        <w:t>&gt;20</w:t>
      </w:r>
      <w:r w:rsidRPr="008B0CD9">
        <w:rPr>
          <w:rFonts w:eastAsiaTheme="minorEastAsia" w:hint="eastAsia"/>
          <w:bCs/>
        </w:rPr>
        <w:t xml:space="preserve">, </w:t>
      </w:r>
      <w:r w:rsidRPr="008B0CD9">
        <w:rPr>
          <w:rFonts w:eastAsiaTheme="minorEastAsia"/>
          <w:bCs/>
        </w:rPr>
        <w:t>≤4</w:t>
      </w:r>
      <w:r w:rsidRPr="008B0CD9">
        <w:rPr>
          <w:rFonts w:eastAsiaTheme="minorEastAsia" w:hint="eastAsia"/>
          <w:bCs/>
        </w:rPr>
        <w:t xml:space="preserve">0 (yellow), </w:t>
      </w:r>
      <w:r w:rsidRPr="008B0CD9">
        <w:rPr>
          <w:rFonts w:eastAsiaTheme="minorEastAsia"/>
          <w:bCs/>
        </w:rPr>
        <w:t>&gt;</w:t>
      </w:r>
      <w:r w:rsidRPr="008B0CD9">
        <w:rPr>
          <w:rFonts w:eastAsiaTheme="minorEastAsia" w:hint="eastAsia"/>
          <w:bCs/>
        </w:rPr>
        <w:t xml:space="preserve">10, </w:t>
      </w:r>
      <w:r w:rsidRPr="008B0CD9">
        <w:rPr>
          <w:rFonts w:eastAsiaTheme="minorEastAsia"/>
          <w:bCs/>
        </w:rPr>
        <w:t>≤</w:t>
      </w:r>
      <w:r w:rsidRPr="008B0CD9">
        <w:rPr>
          <w:rFonts w:eastAsiaTheme="minorEastAsia" w:hint="eastAsia"/>
          <w:bCs/>
        </w:rPr>
        <w:t>2</w:t>
      </w:r>
      <w:r w:rsidRPr="008B0CD9">
        <w:rPr>
          <w:rFonts w:eastAsiaTheme="minorEastAsia"/>
          <w:bCs/>
        </w:rPr>
        <w:t>0</w:t>
      </w:r>
      <w:r w:rsidRPr="008B0CD9">
        <w:rPr>
          <w:rFonts w:eastAsiaTheme="minorEastAsia" w:hint="eastAsia"/>
          <w:bCs/>
        </w:rPr>
        <w:t xml:space="preserve"> (orange), and </w:t>
      </w:r>
      <w:r w:rsidRPr="008B0CD9">
        <w:rPr>
          <w:rFonts w:eastAsiaTheme="minorEastAsia"/>
          <w:bCs/>
        </w:rPr>
        <w:t>≤</w:t>
      </w:r>
      <w:r w:rsidRPr="008B0CD9">
        <w:rPr>
          <w:rFonts w:eastAsiaTheme="minorEastAsia" w:hint="eastAsia"/>
          <w:bCs/>
        </w:rPr>
        <w:t>10 (red).</w:t>
      </w:r>
      <w:r w:rsidRPr="008B0CD9">
        <w:rPr>
          <w:rFonts w:eastAsiaTheme="minorEastAsia"/>
          <w:bCs/>
        </w:rPr>
        <w:t xml:space="preserve"> The concentration of the drug in each case is displayed (</w:t>
      </w:r>
      <w:proofErr w:type="spellStart"/>
      <w:r w:rsidRPr="008B0CD9">
        <w:rPr>
          <w:rFonts w:eastAsiaTheme="minorEastAsia"/>
          <w:bCs/>
        </w:rPr>
        <w:t>nM</w:t>
      </w:r>
      <w:proofErr w:type="spellEnd"/>
      <w:r w:rsidRPr="008B0CD9">
        <w:rPr>
          <w:rFonts w:eastAsiaTheme="minorEastAsia"/>
          <w:bCs/>
        </w:rPr>
        <w:t>) and colored based on the fold-change of the IC</w:t>
      </w:r>
      <w:r w:rsidRPr="008B0CD9">
        <w:rPr>
          <w:rFonts w:eastAsiaTheme="minorEastAsia"/>
          <w:bCs/>
          <w:vertAlign w:val="subscript"/>
        </w:rPr>
        <w:t>50</w:t>
      </w:r>
      <w:r w:rsidRPr="008B0CD9">
        <w:rPr>
          <w:rFonts w:eastAsiaTheme="minorEastAsia"/>
          <w:bCs/>
        </w:rPr>
        <w:t xml:space="preserve"> value for GFP. The mean of the synergy effect is shown in the ZIP, where ≥5 (green) is defined as having a synergistic effect. C: vemurafenib and </w:t>
      </w:r>
      <w:proofErr w:type="spellStart"/>
      <w:r w:rsidRPr="008B0CD9">
        <w:rPr>
          <w:rFonts w:eastAsiaTheme="minorEastAsia"/>
          <w:bCs/>
        </w:rPr>
        <w:t>cobimetinib</w:t>
      </w:r>
      <w:proofErr w:type="spellEnd"/>
      <w:r w:rsidRPr="008B0CD9">
        <w:rPr>
          <w:rFonts w:eastAsiaTheme="minorEastAsia"/>
          <w:bCs/>
        </w:rPr>
        <w:t xml:space="preserve">, V: vemurafenib, C: </w:t>
      </w:r>
      <w:proofErr w:type="spellStart"/>
      <w:r w:rsidRPr="008B0CD9">
        <w:rPr>
          <w:rFonts w:eastAsiaTheme="minorEastAsia"/>
          <w:bCs/>
        </w:rPr>
        <w:t>cobimetinib</w:t>
      </w:r>
      <w:proofErr w:type="spellEnd"/>
      <w:r w:rsidRPr="008B0CD9">
        <w:rPr>
          <w:rFonts w:eastAsiaTheme="minorEastAsia"/>
          <w:bCs/>
        </w:rPr>
        <w:t xml:space="preserve">, DT: dabrafenib and trametinib, D: dabrafenib, T: trametinib, EB: </w:t>
      </w:r>
      <w:proofErr w:type="spellStart"/>
      <w:r w:rsidRPr="008B0CD9">
        <w:rPr>
          <w:rFonts w:eastAsiaTheme="minorEastAsia"/>
          <w:bCs/>
        </w:rPr>
        <w:t>encorafenib</w:t>
      </w:r>
      <w:proofErr w:type="spellEnd"/>
      <w:r w:rsidRPr="008B0CD9">
        <w:rPr>
          <w:rFonts w:eastAsiaTheme="minorEastAsia"/>
          <w:bCs/>
        </w:rPr>
        <w:t xml:space="preserve"> and </w:t>
      </w:r>
      <w:proofErr w:type="spellStart"/>
      <w:r w:rsidRPr="008B0CD9">
        <w:rPr>
          <w:rFonts w:eastAsiaTheme="minorEastAsia"/>
          <w:bCs/>
        </w:rPr>
        <w:t>binimetinib</w:t>
      </w:r>
      <w:proofErr w:type="spellEnd"/>
      <w:r w:rsidRPr="008B0CD9">
        <w:rPr>
          <w:rFonts w:eastAsiaTheme="minorEastAsia"/>
          <w:bCs/>
        </w:rPr>
        <w:t xml:space="preserve">, E: </w:t>
      </w:r>
      <w:proofErr w:type="spellStart"/>
      <w:r w:rsidRPr="008B0CD9">
        <w:rPr>
          <w:rFonts w:eastAsiaTheme="minorEastAsia"/>
          <w:bCs/>
        </w:rPr>
        <w:t>encorafenib</w:t>
      </w:r>
      <w:proofErr w:type="spellEnd"/>
      <w:r w:rsidRPr="008B0CD9">
        <w:rPr>
          <w:rFonts w:eastAsiaTheme="minorEastAsia"/>
          <w:bCs/>
        </w:rPr>
        <w:t xml:space="preserve">, B: </w:t>
      </w:r>
      <w:proofErr w:type="spellStart"/>
      <w:r w:rsidRPr="008B0CD9">
        <w:rPr>
          <w:rFonts w:eastAsiaTheme="minorEastAsia"/>
          <w:bCs/>
        </w:rPr>
        <w:t>binimetinib</w:t>
      </w:r>
      <w:proofErr w:type="spellEnd"/>
      <w:r w:rsidRPr="008B0CD9">
        <w:rPr>
          <w:rFonts w:eastAsiaTheme="minorEastAsia"/>
          <w:bCs/>
        </w:rPr>
        <w:t>, NA: not applicable</w:t>
      </w:r>
    </w:p>
    <w:p w14:paraId="39FF25E4" w14:textId="77777777" w:rsidR="00C752F4" w:rsidRDefault="00C752F4">
      <w:pPr>
        <w:widowControl/>
        <w:spacing w:after="160" w:line="259" w:lineRule="auto"/>
        <w:jc w:val="left"/>
        <w:rPr>
          <w:rFonts w:cs="Times New Roman"/>
          <w:bCs/>
          <w:kern w:val="0"/>
          <w:szCs w:val="24"/>
        </w:rPr>
      </w:pPr>
      <w:r>
        <w:rPr>
          <w:bCs/>
        </w:rPr>
        <w:br w:type="page"/>
      </w:r>
    </w:p>
    <w:p w14:paraId="0C5D633D" w14:textId="77777777" w:rsidR="00C752F4" w:rsidRDefault="00E43CC5" w:rsidP="00C752F4">
      <w:pPr>
        <w:pStyle w:val="Web"/>
        <w:kinsoku w:val="0"/>
        <w:adjustRightInd w:val="0"/>
        <w:snapToGrid w:val="0"/>
        <w:spacing w:before="0" w:beforeAutospacing="0" w:after="0" w:afterAutospacing="0" w:line="480" w:lineRule="auto"/>
        <w:jc w:val="both"/>
        <w:rPr>
          <w:rFonts w:eastAsiaTheme="minorEastAsia"/>
          <w:b/>
        </w:rPr>
      </w:pPr>
      <w:r>
        <w:rPr>
          <w:rFonts w:eastAsiaTheme="minorEastAsia"/>
          <w:b/>
          <w:noProof/>
        </w:rPr>
        <w:lastRenderedPageBreak/>
        <w:drawing>
          <wp:anchor distT="0" distB="0" distL="114300" distR="114300" simplePos="0" relativeHeight="251695104" behindDoc="0" locked="0" layoutInCell="1" allowOverlap="1" wp14:anchorId="1FACCBC5" wp14:editId="4312023C">
            <wp:simplePos x="0" y="0"/>
            <wp:positionH relativeFrom="margin">
              <wp:align>right</wp:align>
            </wp:positionH>
            <wp:positionV relativeFrom="paragraph">
              <wp:posOffset>767</wp:posOffset>
            </wp:positionV>
            <wp:extent cx="5612524" cy="1641098"/>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524" cy="1641098"/>
                    </a:xfrm>
                    <a:prstGeom prst="rect">
                      <a:avLst/>
                    </a:prstGeom>
                    <a:noFill/>
                  </pic:spPr>
                </pic:pic>
              </a:graphicData>
            </a:graphic>
            <wp14:sizeRelH relativeFrom="page">
              <wp14:pctWidth>0</wp14:pctWidth>
            </wp14:sizeRelH>
            <wp14:sizeRelV relativeFrom="page">
              <wp14:pctHeight>0</wp14:pctHeight>
            </wp14:sizeRelV>
          </wp:anchor>
        </w:drawing>
      </w:r>
    </w:p>
    <w:p w14:paraId="75B4D29B" w14:textId="77777777" w:rsidR="00C752F4"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35006E09" w14:textId="77777777" w:rsidR="00C752F4"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6C8A0E22" w14:textId="77777777" w:rsidR="00C752F4"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074D1768" w14:textId="77777777" w:rsidR="00C752F4"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3387975F" w14:textId="77777777" w:rsidR="00C752F4" w:rsidRDefault="00C752F4" w:rsidP="00C752F4">
      <w:pPr>
        <w:pStyle w:val="Web"/>
        <w:kinsoku w:val="0"/>
        <w:adjustRightInd w:val="0"/>
        <w:snapToGrid w:val="0"/>
        <w:spacing w:before="0" w:beforeAutospacing="0" w:after="0" w:afterAutospacing="0" w:line="480" w:lineRule="auto"/>
        <w:jc w:val="both"/>
        <w:rPr>
          <w:rFonts w:eastAsiaTheme="minorEastAsia"/>
          <w:b/>
        </w:rPr>
      </w:pPr>
    </w:p>
    <w:p w14:paraId="73C6DFE4" w14:textId="77777777" w:rsidR="00C752F4" w:rsidRPr="008B0CD9"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hint="eastAsia"/>
          <w:b/>
        </w:rPr>
        <w:t>S</w:t>
      </w:r>
      <w:r w:rsidRPr="008B0CD9">
        <w:rPr>
          <w:rFonts w:eastAsiaTheme="minorEastAsia"/>
          <w:b/>
        </w:rPr>
        <w:t>upplementary Figure S17: The individual sensitivity of MAP2K1 variants to combination treatment with ERK inhibitors in A375 cells</w:t>
      </w:r>
    </w:p>
    <w:p w14:paraId="2F881980" w14:textId="77777777" w:rsidR="00B437D3" w:rsidRPr="00C752F4" w:rsidRDefault="00C752F4" w:rsidP="00C752F4">
      <w:pPr>
        <w:pStyle w:val="Web"/>
        <w:kinsoku w:val="0"/>
        <w:adjustRightInd w:val="0"/>
        <w:snapToGrid w:val="0"/>
        <w:spacing w:before="0" w:beforeAutospacing="0" w:after="0" w:afterAutospacing="0" w:line="480" w:lineRule="auto"/>
        <w:jc w:val="both"/>
        <w:rPr>
          <w:rFonts w:eastAsiaTheme="minorEastAsia"/>
          <w:bCs/>
        </w:rPr>
      </w:pPr>
      <w:r w:rsidRPr="008B0CD9">
        <w:rPr>
          <w:rFonts w:eastAsiaTheme="minorEastAsia"/>
          <w:bCs/>
        </w:rPr>
        <w:t>A375 cells transduced with 4 MAP2K1 variants, wild-type, and GFP were treated with DMSO, ERK inhibitor (</w:t>
      </w:r>
      <w:proofErr w:type="spellStart"/>
      <w:r w:rsidRPr="008B0CD9">
        <w:rPr>
          <w:rFonts w:eastAsiaTheme="minorEastAsia"/>
          <w:bCs/>
        </w:rPr>
        <w:t>ulixertinib</w:t>
      </w:r>
      <w:proofErr w:type="spellEnd"/>
      <w:r w:rsidRPr="008B0CD9">
        <w:rPr>
          <w:rFonts w:eastAsiaTheme="minorEastAsia"/>
          <w:bCs/>
        </w:rPr>
        <w:t xml:space="preserve"> and GDC-0994) at the indicated concentrations for 5 days. Cell viability was measured using the </w:t>
      </w:r>
      <w:proofErr w:type="spellStart"/>
      <w:r w:rsidRPr="008B0CD9">
        <w:rPr>
          <w:rFonts w:eastAsiaTheme="minorEastAsia"/>
          <w:bCs/>
        </w:rPr>
        <w:t>PrestoBlue</w:t>
      </w:r>
      <w:proofErr w:type="spellEnd"/>
      <w:r w:rsidRPr="008B0CD9">
        <w:rPr>
          <w:rFonts w:eastAsiaTheme="minorEastAsia"/>
          <w:bCs/>
        </w:rPr>
        <w:t xml:space="preserve"> cell viability assay. The relative viability of the treated cells was measured compared with drug-free treatment. Data are plotted as the mean ± SD (n = 3).</w:t>
      </w:r>
    </w:p>
    <w:sectPr w:rsidR="00B437D3" w:rsidRPr="00C752F4">
      <w:pgSz w:w="12240" w:h="15840"/>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D2A11" w14:textId="77777777" w:rsidR="009615C8" w:rsidRDefault="009615C8" w:rsidP="00BE7A0B">
      <w:r>
        <w:separator/>
      </w:r>
    </w:p>
  </w:endnote>
  <w:endnote w:type="continuationSeparator" w:id="0">
    <w:p w14:paraId="16E04EDC" w14:textId="77777777" w:rsidR="009615C8" w:rsidRDefault="009615C8" w:rsidP="00BE7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32490" w14:textId="77777777" w:rsidR="009615C8" w:rsidRDefault="009615C8" w:rsidP="00BE7A0B">
      <w:r>
        <w:separator/>
      </w:r>
    </w:p>
  </w:footnote>
  <w:footnote w:type="continuationSeparator" w:id="0">
    <w:p w14:paraId="44215AFD" w14:textId="77777777" w:rsidR="009615C8" w:rsidRDefault="009615C8" w:rsidP="00BE7A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7D3"/>
    <w:rsid w:val="00125265"/>
    <w:rsid w:val="009615C8"/>
    <w:rsid w:val="009849E1"/>
    <w:rsid w:val="00A45200"/>
    <w:rsid w:val="00B437D3"/>
    <w:rsid w:val="00BE7A0B"/>
    <w:rsid w:val="00C752F4"/>
    <w:rsid w:val="00DE4034"/>
    <w:rsid w:val="00E43C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7D876"/>
  <w15:chartTrackingRefBased/>
  <w15:docId w15:val="{88FA245B-93AB-4391-B93D-D4C14C31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437D3"/>
    <w:pPr>
      <w:widowControl w:val="0"/>
      <w:spacing w:after="0" w:line="240" w:lineRule="auto"/>
      <w:jc w:val="both"/>
    </w:pPr>
    <w:rPr>
      <w:rFonts w:ascii="Times New Roman" w:hAnsi="Times New Roman"/>
      <w:kern w:val="2"/>
      <w:sz w:val="24"/>
    </w:rPr>
  </w:style>
  <w:style w:type="paragraph" w:styleId="1">
    <w:name w:val="heading 1"/>
    <w:basedOn w:val="a"/>
    <w:next w:val="a"/>
    <w:link w:val="10"/>
    <w:uiPriority w:val="9"/>
    <w:qFormat/>
    <w:rsid w:val="00C752F4"/>
    <w:pPr>
      <w:widowControl/>
      <w:spacing w:before="480"/>
      <w:contextualSpacing/>
      <w:jc w:val="left"/>
      <w:outlineLvl w:val="0"/>
    </w:pPr>
    <w:rPr>
      <w:rFonts w:eastAsia="Times New Roman" w:cs="Times New Roman"/>
      <w:smallCaps/>
      <w:spacing w:val="5"/>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752F4"/>
    <w:pPr>
      <w:widowControl/>
      <w:spacing w:before="100" w:beforeAutospacing="1" w:after="100" w:afterAutospacing="1"/>
      <w:jc w:val="left"/>
    </w:pPr>
    <w:rPr>
      <w:rFonts w:eastAsia="Times New Roman" w:cs="Times New Roman"/>
      <w:kern w:val="0"/>
      <w:szCs w:val="24"/>
    </w:rPr>
  </w:style>
  <w:style w:type="character" w:customStyle="1" w:styleId="10">
    <w:name w:val="見出し 1 (文字)"/>
    <w:basedOn w:val="a0"/>
    <w:link w:val="1"/>
    <w:uiPriority w:val="9"/>
    <w:rsid w:val="00C752F4"/>
    <w:rPr>
      <w:rFonts w:ascii="Times New Roman" w:eastAsia="Times New Roman" w:hAnsi="Times New Roman" w:cs="Times New Roman"/>
      <w:smallCaps/>
      <w:spacing w:val="5"/>
      <w:sz w:val="36"/>
      <w:szCs w:val="36"/>
    </w:rPr>
  </w:style>
  <w:style w:type="paragraph" w:styleId="a3">
    <w:name w:val="header"/>
    <w:basedOn w:val="a"/>
    <w:link w:val="a4"/>
    <w:uiPriority w:val="99"/>
    <w:unhideWhenUsed/>
    <w:rsid w:val="00BE7A0B"/>
    <w:pPr>
      <w:tabs>
        <w:tab w:val="center" w:pos="4419"/>
        <w:tab w:val="right" w:pos="8838"/>
      </w:tabs>
    </w:pPr>
  </w:style>
  <w:style w:type="character" w:customStyle="1" w:styleId="a4">
    <w:name w:val="ヘッダー (文字)"/>
    <w:basedOn w:val="a0"/>
    <w:link w:val="a3"/>
    <w:uiPriority w:val="99"/>
    <w:rsid w:val="00BE7A0B"/>
    <w:rPr>
      <w:rFonts w:ascii="Times New Roman" w:hAnsi="Times New Roman"/>
      <w:kern w:val="2"/>
      <w:sz w:val="24"/>
    </w:rPr>
  </w:style>
  <w:style w:type="paragraph" w:styleId="a5">
    <w:name w:val="footer"/>
    <w:basedOn w:val="a"/>
    <w:link w:val="a6"/>
    <w:uiPriority w:val="99"/>
    <w:unhideWhenUsed/>
    <w:rsid w:val="00BE7A0B"/>
    <w:pPr>
      <w:tabs>
        <w:tab w:val="center" w:pos="4419"/>
        <w:tab w:val="right" w:pos="8838"/>
      </w:tabs>
    </w:pPr>
  </w:style>
  <w:style w:type="character" w:customStyle="1" w:styleId="a6">
    <w:name w:val="フッター (文字)"/>
    <w:basedOn w:val="a0"/>
    <w:link w:val="a5"/>
    <w:uiPriority w:val="99"/>
    <w:rsid w:val="00BE7A0B"/>
    <w:rPr>
      <w:rFonts w:ascii="Times New Roman" w:hAnsi="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28</Pages>
  <Words>2156</Words>
  <Characters>11882</Characters>
  <Application>Microsoft Office Word</Application>
  <DocSecurity>0</DocSecurity>
  <Lines>594</Lines>
  <Paragraphs>58</Paragraphs>
  <ScaleCrop>false</ScaleCrop>
  <HeadingPairs>
    <vt:vector size="2" baseType="variant">
      <vt:variant>
        <vt:lpstr>タイトル</vt:lpstr>
      </vt:variant>
      <vt:variant>
        <vt:i4>1</vt:i4>
      </vt:variant>
    </vt:vector>
  </HeadingPairs>
  <TitlesOfParts>
    <vt:vector size="1" baseType="lpstr">
      <vt:lpstr/>
    </vt:vector>
  </TitlesOfParts>
  <Company>NCC</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Shinji Kohsaka</dc:creator>
  <cp:keywords/>
  <dc:description/>
  <cp:lastModifiedBy>Shinji Kohsaka</cp:lastModifiedBy>
  <cp:revision>5</cp:revision>
  <cp:lastPrinted>2022-10-11T00:37:00Z</cp:lastPrinted>
  <dcterms:created xsi:type="dcterms:W3CDTF">2022-10-10T21:56:00Z</dcterms:created>
  <dcterms:modified xsi:type="dcterms:W3CDTF">2022-10-11T01:09:00Z</dcterms:modified>
</cp:coreProperties>
</file>