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B99A25" w14:textId="6ECB5B18" w:rsidR="008A1C7C" w:rsidRPr="00A31E3E" w:rsidRDefault="008A1C7C" w:rsidP="008A1C7C">
      <w:pPr>
        <w:spacing w:after="0" w:line="276" w:lineRule="auto"/>
        <w:rPr>
          <w:rFonts w:ascii="Times New Roman" w:hAnsi="Times New Roman" w:cs="Times New Roman"/>
          <w:b/>
          <w:bCs/>
        </w:rPr>
      </w:pPr>
      <w:r w:rsidRPr="00217F3F">
        <w:rPr>
          <w:rFonts w:ascii="Times New Roman" w:hAnsi="Times New Roman" w:cs="Times New Roman"/>
          <w:b/>
          <w:bCs/>
        </w:rPr>
        <w:t xml:space="preserve">Supplementary Figure </w:t>
      </w:r>
      <w:r>
        <w:rPr>
          <w:rFonts w:ascii="Times New Roman" w:hAnsi="Times New Roman" w:cs="Times New Roman"/>
          <w:b/>
          <w:bCs/>
        </w:rPr>
        <w:t>S</w:t>
      </w:r>
      <w:r>
        <w:rPr>
          <w:rFonts w:ascii="Times New Roman" w:hAnsi="Times New Roman" w:cs="Times New Roman"/>
          <w:b/>
          <w:bCs/>
        </w:rPr>
        <w:t>1</w:t>
      </w:r>
      <w:r>
        <w:rPr>
          <w:rFonts w:ascii="Times New Roman" w:hAnsi="Times New Roman" w:cs="Times New Roman"/>
          <w:b/>
          <w:bCs/>
        </w:rPr>
        <w:t>.</w:t>
      </w:r>
      <w:r w:rsidRPr="00217F3F">
        <w:rPr>
          <w:rFonts w:ascii="Times New Roman" w:hAnsi="Times New Roman" w:cs="Times New Roman"/>
          <w:b/>
          <w:bCs/>
        </w:rPr>
        <w:t xml:space="preserve"> Generation and validation of CT26 G12C CRISPR model </w:t>
      </w:r>
      <w:r w:rsidRPr="00217F3F">
        <w:rPr>
          <w:rFonts w:ascii="Times New Roman" w:hAnsi="Times New Roman" w:cs="Times New Roman"/>
          <w:b/>
          <w:bCs/>
          <w:i/>
          <w:iCs/>
        </w:rPr>
        <w:t>in vitro</w:t>
      </w:r>
      <w:r w:rsidRPr="00217F3F">
        <w:rPr>
          <w:rFonts w:ascii="Times New Roman" w:hAnsi="Times New Roman" w:cs="Times New Roman"/>
          <w:b/>
          <w:bCs/>
        </w:rPr>
        <w:t xml:space="preserve"> and </w:t>
      </w:r>
      <w:r w:rsidRPr="00217F3F">
        <w:rPr>
          <w:rFonts w:ascii="Times New Roman" w:hAnsi="Times New Roman" w:cs="Times New Roman"/>
          <w:b/>
          <w:bCs/>
          <w:i/>
          <w:iCs/>
        </w:rPr>
        <w:t>in vivo</w:t>
      </w:r>
    </w:p>
    <w:p w14:paraId="5B5B5D80" w14:textId="77777777" w:rsidR="008A1C7C" w:rsidRPr="00AC3D09" w:rsidRDefault="008A1C7C" w:rsidP="008A1C7C">
      <w:pPr>
        <w:tabs>
          <w:tab w:val="left" w:pos="7604"/>
        </w:tabs>
        <w:spacing w:after="0" w:line="276" w:lineRule="auto"/>
        <w:rPr>
          <w:rFonts w:ascii="Times New Roman" w:hAnsi="Times New Roman" w:cs="Times New Roman"/>
        </w:rPr>
      </w:pPr>
      <w:r w:rsidRPr="00AC3D09">
        <w:rPr>
          <w:rFonts w:ascii="Times New Roman" w:hAnsi="Times New Roman" w:cs="Times New Roman"/>
        </w:rPr>
        <w:t>(A) Workflow for generation of CT26</w:t>
      </w:r>
      <w:r w:rsidRPr="00AC3D09">
        <w:rPr>
          <w:rFonts w:ascii="Times New Roman" w:hAnsi="Times New Roman" w:cs="Times New Roman"/>
          <w:vertAlign w:val="superscript"/>
        </w:rPr>
        <w:t>G12C</w:t>
      </w:r>
      <w:r w:rsidRPr="00AC3D09">
        <w:rPr>
          <w:rFonts w:ascii="Times New Roman" w:hAnsi="Times New Roman" w:cs="Times New Roman"/>
        </w:rPr>
        <w:t xml:space="preserve"> model by CRISPR/Cas9 technology. (B) Genotyping of CT26</w:t>
      </w:r>
      <w:r w:rsidRPr="00AC3D09">
        <w:rPr>
          <w:rFonts w:ascii="Times New Roman" w:hAnsi="Times New Roman" w:cs="Times New Roman"/>
          <w:vertAlign w:val="superscript"/>
        </w:rPr>
        <w:t xml:space="preserve">G12C </w:t>
      </w:r>
      <w:r w:rsidRPr="00AC3D09">
        <w:rPr>
          <w:rFonts w:ascii="Times New Roman" w:hAnsi="Times New Roman" w:cs="Times New Roman"/>
        </w:rPr>
        <w:t xml:space="preserve">clones PD511 and P5E6 compared to parental cell line (negative control) by ddPCR. Fluorescence amplitude plots for droplets in the FAM channel (G12C mutant) and HEK channel (reference). Each dot represents a single droplet or “event.” The </w:t>
      </w:r>
      <w:r>
        <w:rPr>
          <w:rFonts w:ascii="Times New Roman" w:hAnsi="Times New Roman" w:cs="Times New Roman"/>
        </w:rPr>
        <w:t>x-</w:t>
      </w:r>
      <w:r w:rsidRPr="00AC3D09">
        <w:rPr>
          <w:rFonts w:ascii="Times New Roman" w:hAnsi="Times New Roman" w:cs="Times New Roman"/>
        </w:rPr>
        <w:t xml:space="preserve">axis represents event number, and the </w:t>
      </w:r>
      <w:r>
        <w:rPr>
          <w:rFonts w:ascii="Times New Roman" w:hAnsi="Times New Roman" w:cs="Times New Roman"/>
        </w:rPr>
        <w:t>y-</w:t>
      </w:r>
      <w:r w:rsidRPr="00AC3D09">
        <w:rPr>
          <w:rFonts w:ascii="Times New Roman" w:hAnsi="Times New Roman" w:cs="Times New Roman"/>
        </w:rPr>
        <w:t>axis represents fluorescence amplitude. Two distinct populations are seen in each channel, one with high fluorescence intensity (positive droplets) and one with low intensity (negative droplets). HDR fractional abundance of the edited allele was determined by the ratio of FAM/HEK droplets. (C) G12D parental and CT26</w:t>
      </w:r>
      <w:r>
        <w:rPr>
          <w:rFonts w:ascii="Times New Roman" w:hAnsi="Times New Roman" w:cs="Times New Roman"/>
          <w:vertAlign w:val="superscript"/>
        </w:rPr>
        <w:t>G12C</w:t>
      </w:r>
      <w:r w:rsidRPr="00AC3D09">
        <w:rPr>
          <w:rFonts w:ascii="Times New Roman" w:hAnsi="Times New Roman" w:cs="Times New Roman"/>
        </w:rPr>
        <w:t xml:space="preserve"> clones were assessed for sensitivity to AZD4625 in a 5-day proliferation assay. Mean GI</w:t>
      </w:r>
      <w:r w:rsidRPr="00AC3D09">
        <w:rPr>
          <w:rFonts w:ascii="Times New Roman" w:hAnsi="Times New Roman" w:cs="Times New Roman"/>
          <w:vertAlign w:val="subscript"/>
        </w:rPr>
        <w:t>50</w:t>
      </w:r>
      <w:r w:rsidRPr="00AC3D09">
        <w:rPr>
          <w:rFonts w:ascii="Times New Roman" w:hAnsi="Times New Roman" w:cs="Times New Roman"/>
        </w:rPr>
        <w:t xml:space="preserve"> (</w:t>
      </w:r>
      <w:r w:rsidRPr="00AC3D09">
        <w:rPr>
          <w:rFonts w:ascii="Symbol" w:eastAsia="Symbol" w:hAnsi="Symbol" w:cs="Symbol"/>
        </w:rPr>
        <w:sym w:font="Symbol" w:char="F06D"/>
      </w:r>
      <w:r w:rsidRPr="00AC3D09">
        <w:rPr>
          <w:rFonts w:ascii="Times New Roman" w:hAnsi="Times New Roman" w:cs="Times New Roman"/>
        </w:rPr>
        <w:t xml:space="preserve">M) from a representative experiment is shown. (D) Biomarker modulation in lysates from </w:t>
      </w:r>
      <w:r>
        <w:rPr>
          <w:rFonts w:ascii="Times New Roman" w:hAnsi="Times New Roman" w:cs="Times New Roman"/>
        </w:rPr>
        <w:t xml:space="preserve">G12D </w:t>
      </w:r>
      <w:r w:rsidRPr="00AC3D09">
        <w:rPr>
          <w:rFonts w:ascii="Times New Roman" w:hAnsi="Times New Roman" w:cs="Times New Roman"/>
        </w:rPr>
        <w:t>parental and CT26</w:t>
      </w:r>
      <w:r>
        <w:rPr>
          <w:rFonts w:ascii="Times New Roman" w:hAnsi="Times New Roman" w:cs="Times New Roman"/>
          <w:vertAlign w:val="superscript"/>
        </w:rPr>
        <w:t>G12C</w:t>
      </w:r>
      <w:r w:rsidRPr="00AC3D09">
        <w:rPr>
          <w:rFonts w:ascii="Times New Roman" w:hAnsi="Times New Roman" w:cs="Times New Roman"/>
        </w:rPr>
        <w:t xml:space="preserve"> clones following treatment with 1</w:t>
      </w:r>
      <w:r>
        <w:rPr>
          <w:rFonts w:ascii="Times New Roman" w:hAnsi="Times New Roman" w:cs="Times New Roman"/>
        </w:rPr>
        <w:t xml:space="preserve"> </w:t>
      </w:r>
      <w:r>
        <w:rPr>
          <w:rFonts w:ascii="Symbol" w:eastAsia="Symbol" w:hAnsi="Symbol" w:cs="Symbol"/>
        </w:rPr>
        <w:sym w:font="Symbol" w:char="F06D"/>
      </w:r>
      <w:r w:rsidRPr="00AC3D09">
        <w:rPr>
          <w:rFonts w:ascii="Times New Roman" w:hAnsi="Times New Roman" w:cs="Times New Roman"/>
        </w:rPr>
        <w:t xml:space="preserve">M AZD4625. (E) </w:t>
      </w:r>
      <w:r>
        <w:rPr>
          <w:rFonts w:ascii="Times New Roman" w:hAnsi="Times New Roman" w:cs="Times New Roman"/>
        </w:rPr>
        <w:t>T</w:t>
      </w:r>
      <w:r w:rsidRPr="00AC3D09">
        <w:rPr>
          <w:rFonts w:ascii="Times New Roman" w:hAnsi="Times New Roman" w:cs="Times New Roman"/>
        </w:rPr>
        <w:t>umour volume of subcutaneous CT26</w:t>
      </w:r>
      <w:r w:rsidRPr="00AC3D09">
        <w:rPr>
          <w:rFonts w:ascii="Times New Roman" w:hAnsi="Times New Roman" w:cs="Times New Roman"/>
          <w:vertAlign w:val="superscript"/>
        </w:rPr>
        <w:t>G12C</w:t>
      </w:r>
      <w:r w:rsidRPr="00AC3D09">
        <w:rPr>
          <w:rFonts w:ascii="Times New Roman" w:hAnsi="Times New Roman" w:cs="Times New Roman"/>
        </w:rPr>
        <w:t xml:space="preserve"> P5E6 tumours </w:t>
      </w:r>
      <w:r>
        <w:rPr>
          <w:rFonts w:ascii="Times New Roman" w:hAnsi="Times New Roman" w:cs="Times New Roman"/>
        </w:rPr>
        <w:t>in</w:t>
      </w:r>
      <w:r w:rsidRPr="00AC3D09">
        <w:rPr>
          <w:rFonts w:ascii="Times New Roman" w:hAnsi="Times New Roman" w:cs="Times New Roman"/>
        </w:rPr>
        <w:t xml:space="preserve"> mice </w:t>
      </w:r>
      <w:r>
        <w:rPr>
          <w:rFonts w:ascii="Times New Roman" w:hAnsi="Times New Roman" w:cs="Times New Roman"/>
        </w:rPr>
        <w:t>treated</w:t>
      </w:r>
      <w:r w:rsidRPr="00AC3D09">
        <w:rPr>
          <w:rFonts w:ascii="Times New Roman" w:hAnsi="Times New Roman" w:cs="Times New Roman"/>
        </w:rPr>
        <w:t xml:space="preserve"> orally with vehicle or the indicated dose of AZD4625. Data from individual animals is shown.</w:t>
      </w:r>
    </w:p>
    <w:p w14:paraId="5B1ECC18" w14:textId="77777777" w:rsidR="008A1C7C" w:rsidRDefault="008A1C7C" w:rsidP="008A1C7C">
      <w:pPr>
        <w:tabs>
          <w:tab w:val="left" w:pos="7604"/>
        </w:tabs>
        <w:rPr>
          <w:rFonts w:ascii="Times New Roman" w:hAnsi="Times New Roman" w:cs="Times New Roman"/>
        </w:rPr>
      </w:pPr>
      <w:r>
        <w:rPr>
          <w:rFonts w:ascii="Times New Roman" w:hAnsi="Times New Roman" w:cs="Times New Roman"/>
          <w:noProof/>
        </w:rPr>
        <w:drawing>
          <wp:anchor distT="0" distB="0" distL="114300" distR="114300" simplePos="0" relativeHeight="251675648" behindDoc="1" locked="0" layoutInCell="1" allowOverlap="1" wp14:anchorId="5D3C30D6" wp14:editId="692A5C1B">
            <wp:simplePos x="0" y="0"/>
            <wp:positionH relativeFrom="column">
              <wp:align>center</wp:align>
            </wp:positionH>
            <wp:positionV relativeFrom="page">
              <wp:posOffset>2584450</wp:posOffset>
            </wp:positionV>
            <wp:extent cx="6174000" cy="4406400"/>
            <wp:effectExtent l="0" t="0" r="0" b="0"/>
            <wp:wrapTight wrapText="bothSides">
              <wp:wrapPolygon edited="0">
                <wp:start x="133" y="93"/>
                <wp:lineTo x="200" y="13821"/>
                <wp:lineTo x="12797" y="15222"/>
                <wp:lineTo x="12864" y="19424"/>
                <wp:lineTo x="12997" y="19704"/>
                <wp:lineTo x="13264" y="19984"/>
                <wp:lineTo x="13397" y="20732"/>
                <wp:lineTo x="15463" y="21198"/>
                <wp:lineTo x="15463" y="21385"/>
                <wp:lineTo x="15730" y="21385"/>
                <wp:lineTo x="18863" y="21105"/>
                <wp:lineTo x="19063" y="20078"/>
                <wp:lineTo x="17796" y="19704"/>
                <wp:lineTo x="17863" y="18210"/>
                <wp:lineTo x="19596" y="18210"/>
                <wp:lineTo x="21396" y="17463"/>
                <wp:lineTo x="21462" y="16156"/>
                <wp:lineTo x="20329" y="15782"/>
                <wp:lineTo x="17663" y="15222"/>
                <wp:lineTo x="19463" y="14288"/>
                <wp:lineTo x="19596" y="13914"/>
                <wp:lineTo x="18663" y="13728"/>
                <wp:lineTo x="20262" y="12607"/>
                <wp:lineTo x="20262" y="12233"/>
                <wp:lineTo x="18663" y="12233"/>
                <wp:lineTo x="19729" y="11860"/>
                <wp:lineTo x="19729" y="9805"/>
                <wp:lineTo x="19329" y="9245"/>
                <wp:lineTo x="20063" y="9245"/>
                <wp:lineTo x="20063" y="8218"/>
                <wp:lineTo x="19329" y="7751"/>
                <wp:lineTo x="19929" y="7751"/>
                <wp:lineTo x="19929" y="6817"/>
                <wp:lineTo x="18729" y="5323"/>
                <wp:lineTo x="18130" y="4763"/>
                <wp:lineTo x="18463" y="4763"/>
                <wp:lineTo x="18863" y="3922"/>
                <wp:lineTo x="18929" y="934"/>
                <wp:lineTo x="18130" y="747"/>
                <wp:lineTo x="13264" y="93"/>
                <wp:lineTo x="133" y="93"/>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74000" cy="4406400"/>
                    </a:xfrm>
                    <a:prstGeom prst="rect">
                      <a:avLst/>
                    </a:prstGeom>
                    <a:noFill/>
                  </pic:spPr>
                </pic:pic>
              </a:graphicData>
            </a:graphic>
            <wp14:sizeRelH relativeFrom="margin">
              <wp14:pctWidth>0</wp14:pctWidth>
            </wp14:sizeRelH>
            <wp14:sizeRelV relativeFrom="margin">
              <wp14:pctHeight>0</wp14:pctHeight>
            </wp14:sizeRelV>
          </wp:anchor>
        </w:drawing>
      </w:r>
    </w:p>
    <w:p w14:paraId="78896FFA" w14:textId="09EFAD33" w:rsidR="002C135A" w:rsidRPr="00217F3F" w:rsidRDefault="008A1C7C" w:rsidP="008A1C7C">
      <w:pPr>
        <w:spacing w:after="0" w:line="276" w:lineRule="auto"/>
        <w:jc w:val="both"/>
        <w:rPr>
          <w:rFonts w:ascii="Times New Roman" w:hAnsi="Times New Roman" w:cs="Times New Roman"/>
        </w:rPr>
      </w:pPr>
      <w:r>
        <w:rPr>
          <w:rFonts w:ascii="Times New Roman" w:hAnsi="Times New Roman" w:cs="Times New Roman"/>
        </w:rPr>
        <w:br w:type="page"/>
      </w:r>
      <w:r w:rsidR="002C135A" w:rsidRPr="002C135A">
        <w:rPr>
          <w:rFonts w:ascii="Times New Roman" w:hAnsi="Times New Roman" w:cs="Times New Roman"/>
          <w:b/>
          <w:bCs/>
        </w:rPr>
        <w:lastRenderedPageBreak/>
        <w:t xml:space="preserve">Supplementary Figure </w:t>
      </w:r>
      <w:r w:rsidR="00A31E3E">
        <w:rPr>
          <w:rFonts w:ascii="Times New Roman" w:hAnsi="Times New Roman" w:cs="Times New Roman"/>
          <w:b/>
          <w:bCs/>
        </w:rPr>
        <w:t>S</w:t>
      </w:r>
      <w:r w:rsidR="00094AF7">
        <w:rPr>
          <w:rFonts w:ascii="Times New Roman" w:hAnsi="Times New Roman" w:cs="Times New Roman"/>
          <w:b/>
          <w:bCs/>
        </w:rPr>
        <w:t>2</w:t>
      </w:r>
      <w:r w:rsidR="002C135A" w:rsidRPr="002C135A">
        <w:rPr>
          <w:rFonts w:ascii="Times New Roman" w:hAnsi="Times New Roman" w:cs="Times New Roman"/>
          <w:b/>
          <w:bCs/>
        </w:rPr>
        <w:t>. Dose</w:t>
      </w:r>
      <w:r w:rsidR="00682E44">
        <w:rPr>
          <w:rFonts w:ascii="Times New Roman" w:hAnsi="Times New Roman" w:cs="Times New Roman"/>
          <w:b/>
          <w:bCs/>
        </w:rPr>
        <w:t>-</w:t>
      </w:r>
      <w:r w:rsidR="002C135A" w:rsidRPr="002C135A">
        <w:rPr>
          <w:rFonts w:ascii="Times New Roman" w:hAnsi="Times New Roman" w:cs="Times New Roman"/>
          <w:b/>
          <w:bCs/>
        </w:rPr>
        <w:t>dependent binding and inhibition of KRAS</w:t>
      </w:r>
      <w:r w:rsidR="002C135A" w:rsidRPr="002C135A">
        <w:rPr>
          <w:rFonts w:ascii="Times New Roman" w:hAnsi="Times New Roman" w:cs="Times New Roman"/>
          <w:b/>
          <w:bCs/>
          <w:vertAlign w:val="superscript"/>
        </w:rPr>
        <w:t>G12C</w:t>
      </w:r>
      <w:r w:rsidR="002C135A" w:rsidRPr="002C135A">
        <w:rPr>
          <w:rFonts w:ascii="Times New Roman" w:hAnsi="Times New Roman" w:cs="Times New Roman"/>
          <w:b/>
          <w:bCs/>
        </w:rPr>
        <w:t xml:space="preserve"> by AZD4625</w:t>
      </w:r>
    </w:p>
    <w:p w14:paraId="5D8E4845" w14:textId="3F3036EE" w:rsidR="002C135A" w:rsidRPr="002C135A" w:rsidRDefault="002C135A" w:rsidP="002F10B7">
      <w:pPr>
        <w:spacing w:after="0" w:line="276" w:lineRule="auto"/>
        <w:jc w:val="both"/>
        <w:rPr>
          <w:rFonts w:ascii="Times New Roman" w:hAnsi="Times New Roman" w:cs="Times New Roman"/>
        </w:rPr>
      </w:pPr>
      <w:r w:rsidRPr="002C135A">
        <w:rPr>
          <w:rFonts w:ascii="Times New Roman" w:hAnsi="Times New Roman" w:cs="Times New Roman"/>
        </w:rPr>
        <w:t>(A) Representative mass spectrometry plots showing the KRAS</w:t>
      </w:r>
      <w:r w:rsidRPr="002C135A">
        <w:rPr>
          <w:rFonts w:ascii="Times New Roman" w:hAnsi="Times New Roman" w:cs="Times New Roman"/>
          <w:vertAlign w:val="superscript"/>
        </w:rPr>
        <w:t>G12C</w:t>
      </w:r>
      <w:r w:rsidRPr="002C135A">
        <w:rPr>
          <w:rFonts w:ascii="Times New Roman" w:hAnsi="Times New Roman" w:cs="Times New Roman"/>
        </w:rPr>
        <w:t xml:space="preserve"> or KRAS</w:t>
      </w:r>
      <w:r w:rsidRPr="002C135A">
        <w:rPr>
          <w:rFonts w:ascii="Times New Roman" w:hAnsi="Times New Roman" w:cs="Times New Roman"/>
          <w:vertAlign w:val="superscript"/>
        </w:rPr>
        <w:t>WT</w:t>
      </w:r>
      <w:r w:rsidRPr="002C135A">
        <w:rPr>
          <w:rFonts w:ascii="Times New Roman" w:hAnsi="Times New Roman" w:cs="Times New Roman"/>
        </w:rPr>
        <w:t xml:space="preserve"> peptides detected in NCI-H358 cell lysates. Peptides from NCI-H358 cell lysates treated with compound for 16 hours shown in red. Peptides from internal standard lysate shown in blue. With increasing concentration of AZD4625 the red peak diminishes in the KRAS</w:t>
      </w:r>
      <w:r w:rsidRPr="002C135A">
        <w:rPr>
          <w:rFonts w:ascii="Times New Roman" w:hAnsi="Times New Roman" w:cs="Times New Roman"/>
          <w:vertAlign w:val="superscript"/>
        </w:rPr>
        <w:t xml:space="preserve">G12C </w:t>
      </w:r>
      <w:r w:rsidRPr="002C135A">
        <w:rPr>
          <w:rFonts w:ascii="Times New Roman" w:hAnsi="Times New Roman" w:cs="Times New Roman"/>
        </w:rPr>
        <w:t>panel due to binding of the compound, while in the KRAS</w:t>
      </w:r>
      <w:r w:rsidRPr="002C135A">
        <w:rPr>
          <w:rFonts w:ascii="Times New Roman" w:hAnsi="Times New Roman" w:cs="Times New Roman"/>
          <w:vertAlign w:val="superscript"/>
        </w:rPr>
        <w:t>WT</w:t>
      </w:r>
      <w:r w:rsidRPr="002C135A">
        <w:rPr>
          <w:rFonts w:ascii="Times New Roman" w:hAnsi="Times New Roman" w:cs="Times New Roman"/>
        </w:rPr>
        <w:t xml:space="preserve"> panel the red peak remains constant indicating the peptide is not bound by AZD4625.</w:t>
      </w:r>
      <w:r w:rsidR="00870D8C">
        <w:rPr>
          <w:rFonts w:ascii="Times New Roman" w:hAnsi="Times New Roman" w:cs="Times New Roman"/>
        </w:rPr>
        <w:t xml:space="preserve"> </w:t>
      </w:r>
      <w:r w:rsidRPr="002C135A">
        <w:rPr>
          <w:rFonts w:ascii="Times New Roman" w:hAnsi="Times New Roman" w:cs="Times New Roman"/>
        </w:rPr>
        <w:t>(B) Western blot analysis of lysates from NCI-H358 cells treated with AZD4625 for 16 hours. Active KRAS was determined by assessing the levels of KRAS bound to the RBD of CRAF.</w:t>
      </w:r>
    </w:p>
    <w:p w14:paraId="3BE899DB" w14:textId="37B8235A" w:rsidR="002F10B7" w:rsidRPr="002F10B7" w:rsidRDefault="002E489B">
      <w:pPr>
        <w:rPr>
          <w:rFonts w:ascii="Times New Roman" w:hAnsi="Times New Roman" w:cs="Times New Roman"/>
        </w:rPr>
      </w:pPr>
      <w:r w:rsidRPr="00217F3F">
        <w:rPr>
          <w:rFonts w:ascii="Times New Roman" w:hAnsi="Times New Roman" w:cs="Times New Roman"/>
          <w:noProof/>
        </w:rPr>
        <w:drawing>
          <wp:anchor distT="0" distB="0" distL="114300" distR="114300" simplePos="0" relativeHeight="251661312" behindDoc="0" locked="0" layoutInCell="1" allowOverlap="1" wp14:anchorId="5B1B9F03" wp14:editId="544AED7A">
            <wp:simplePos x="0" y="0"/>
            <wp:positionH relativeFrom="column">
              <wp:align>center</wp:align>
            </wp:positionH>
            <wp:positionV relativeFrom="paragraph">
              <wp:posOffset>115570</wp:posOffset>
            </wp:positionV>
            <wp:extent cx="7462800" cy="47124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62800" cy="4712400"/>
                    </a:xfrm>
                    <a:prstGeom prst="rect">
                      <a:avLst/>
                    </a:prstGeom>
                    <a:noFill/>
                  </pic:spPr>
                </pic:pic>
              </a:graphicData>
            </a:graphic>
            <wp14:sizeRelH relativeFrom="margin">
              <wp14:pctWidth>0</wp14:pctWidth>
            </wp14:sizeRelH>
            <wp14:sizeRelV relativeFrom="margin">
              <wp14:pctHeight>0</wp14:pctHeight>
            </wp14:sizeRelV>
          </wp:anchor>
        </w:drawing>
      </w:r>
      <w:r w:rsidR="002F10B7">
        <w:rPr>
          <w:rFonts w:ascii="Times New Roman" w:hAnsi="Times New Roman" w:cs="Times New Roman"/>
          <w:b/>
          <w:bCs/>
          <w:noProof/>
        </w:rPr>
        <w:br w:type="page"/>
      </w:r>
    </w:p>
    <w:p w14:paraId="3782B805" w14:textId="531684B4" w:rsidR="002C135A" w:rsidRPr="00217F3F" w:rsidRDefault="002C135A" w:rsidP="002F10B7">
      <w:pPr>
        <w:spacing w:after="0" w:line="276" w:lineRule="auto"/>
        <w:jc w:val="both"/>
        <w:rPr>
          <w:rFonts w:ascii="Times New Roman" w:hAnsi="Times New Roman" w:cs="Times New Roman"/>
          <w:b/>
          <w:bCs/>
          <w:noProof/>
        </w:rPr>
      </w:pPr>
      <w:r w:rsidRPr="002C135A">
        <w:rPr>
          <w:rFonts w:ascii="Times New Roman" w:hAnsi="Times New Roman" w:cs="Times New Roman"/>
          <w:b/>
          <w:bCs/>
          <w:noProof/>
        </w:rPr>
        <w:lastRenderedPageBreak/>
        <w:t xml:space="preserve">Supplementary Figure </w:t>
      </w:r>
      <w:r w:rsidR="00A31E3E">
        <w:rPr>
          <w:rFonts w:ascii="Times New Roman" w:hAnsi="Times New Roman" w:cs="Times New Roman"/>
          <w:b/>
          <w:bCs/>
          <w:noProof/>
        </w:rPr>
        <w:t>S</w:t>
      </w:r>
      <w:r w:rsidR="0078045C">
        <w:rPr>
          <w:rFonts w:ascii="Times New Roman" w:hAnsi="Times New Roman" w:cs="Times New Roman"/>
          <w:b/>
          <w:bCs/>
          <w:noProof/>
        </w:rPr>
        <w:t>3</w:t>
      </w:r>
      <w:r w:rsidRPr="002C135A">
        <w:rPr>
          <w:rFonts w:ascii="Times New Roman" w:hAnsi="Times New Roman" w:cs="Times New Roman"/>
          <w:b/>
          <w:bCs/>
          <w:noProof/>
        </w:rPr>
        <w:t>.</w:t>
      </w:r>
      <w:r w:rsidRPr="00217F3F">
        <w:rPr>
          <w:rFonts w:ascii="Times New Roman" w:hAnsi="Times New Roman" w:cs="Times New Roman"/>
          <w:b/>
          <w:bCs/>
          <w:noProof/>
        </w:rPr>
        <w:t xml:space="preserve"> Target engagement and RAS pathway modulation by AZD4625 across </w:t>
      </w:r>
      <w:r w:rsidRPr="00217F3F">
        <w:rPr>
          <w:rFonts w:ascii="Times New Roman" w:hAnsi="Times New Roman" w:cs="Times New Roman"/>
          <w:b/>
          <w:bCs/>
          <w:i/>
          <w:iCs/>
          <w:noProof/>
        </w:rPr>
        <w:t>KRAS</w:t>
      </w:r>
      <w:r w:rsidRPr="00217F3F">
        <w:rPr>
          <w:rFonts w:ascii="Times New Roman" w:hAnsi="Times New Roman" w:cs="Times New Roman"/>
          <w:b/>
          <w:bCs/>
          <w:noProof/>
          <w:vertAlign w:val="superscript"/>
        </w:rPr>
        <w:t xml:space="preserve">G12C </w:t>
      </w:r>
      <w:r w:rsidRPr="00217F3F">
        <w:rPr>
          <w:rFonts w:ascii="Times New Roman" w:hAnsi="Times New Roman" w:cs="Times New Roman"/>
          <w:b/>
          <w:bCs/>
          <w:noProof/>
        </w:rPr>
        <w:t>models</w:t>
      </w:r>
    </w:p>
    <w:p w14:paraId="60905661" w14:textId="6248380D" w:rsidR="002C135A" w:rsidRPr="002C135A" w:rsidRDefault="002C135A" w:rsidP="002F10B7">
      <w:pPr>
        <w:spacing w:after="0" w:line="276" w:lineRule="auto"/>
        <w:jc w:val="both"/>
        <w:rPr>
          <w:rFonts w:ascii="Times New Roman" w:hAnsi="Times New Roman" w:cs="Times New Roman"/>
          <w:b/>
          <w:bCs/>
          <w:noProof/>
        </w:rPr>
      </w:pPr>
      <w:r w:rsidRPr="002C135A">
        <w:rPr>
          <w:rFonts w:ascii="Times New Roman" w:hAnsi="Times New Roman" w:cs="Times New Roman"/>
          <w:noProof/>
        </w:rPr>
        <w:t xml:space="preserve">AZD4625 target engagement measured by mass spectrometry and biomarker modulation by </w:t>
      </w:r>
      <w:r w:rsidR="00467887">
        <w:rPr>
          <w:rFonts w:ascii="Times New Roman" w:hAnsi="Times New Roman" w:cs="Times New Roman"/>
          <w:noProof/>
        </w:rPr>
        <w:t>w</w:t>
      </w:r>
      <w:r w:rsidRPr="002C135A">
        <w:rPr>
          <w:rFonts w:ascii="Times New Roman" w:hAnsi="Times New Roman" w:cs="Times New Roman"/>
          <w:noProof/>
        </w:rPr>
        <w:t xml:space="preserve">estern blot in cell lysates from HOP62, NCI-H358, HCC44, NCI-H23 or NCI-H1792 </w:t>
      </w:r>
      <w:r w:rsidRPr="002C135A">
        <w:rPr>
          <w:rFonts w:ascii="Times New Roman" w:hAnsi="Times New Roman" w:cs="Times New Roman"/>
          <w:i/>
          <w:iCs/>
          <w:noProof/>
        </w:rPr>
        <w:t>KRAS</w:t>
      </w:r>
      <w:r w:rsidRPr="002C135A">
        <w:rPr>
          <w:rFonts w:ascii="Times New Roman" w:hAnsi="Times New Roman" w:cs="Times New Roman"/>
          <w:noProof/>
          <w:vertAlign w:val="superscript"/>
        </w:rPr>
        <w:t>G12C</w:t>
      </w:r>
      <w:r w:rsidRPr="002C135A">
        <w:rPr>
          <w:rFonts w:ascii="Times New Roman" w:hAnsi="Times New Roman" w:cs="Times New Roman"/>
          <w:noProof/>
        </w:rPr>
        <w:t xml:space="preserve"> mutant cell lines treated with DMSO, 0.1 or 1</w:t>
      </w:r>
      <w:r w:rsidR="005C7C12">
        <w:rPr>
          <w:rFonts w:ascii="Times New Roman" w:hAnsi="Times New Roman" w:cs="Times New Roman"/>
          <w:noProof/>
        </w:rPr>
        <w:t xml:space="preserve"> </w:t>
      </w:r>
      <w:r w:rsidRPr="002C135A">
        <w:rPr>
          <w:rFonts w:ascii="Symbol" w:eastAsia="Symbol" w:hAnsi="Symbol" w:cs="Symbol"/>
        </w:rPr>
        <w:sym w:font="Symbol" w:char="F06D"/>
      </w:r>
      <w:r w:rsidRPr="002C135A">
        <w:rPr>
          <w:rFonts w:ascii="Times New Roman" w:hAnsi="Times New Roman" w:cs="Times New Roman"/>
          <w:noProof/>
        </w:rPr>
        <w:t>M of AZD4625 for 6 or 48 hours.  Target engagement and biomarker modulation was measured from the same samples.</w:t>
      </w:r>
    </w:p>
    <w:p w14:paraId="44099FE4" w14:textId="4CF79301" w:rsidR="002C135A" w:rsidRPr="00217F3F" w:rsidRDefault="00243397">
      <w:pPr>
        <w:rPr>
          <w:rFonts w:ascii="Times New Roman" w:hAnsi="Times New Roman" w:cs="Times New Roman"/>
          <w:noProof/>
        </w:rPr>
      </w:pPr>
      <w:r w:rsidRPr="00217F3F">
        <w:rPr>
          <w:rFonts w:ascii="Times New Roman" w:hAnsi="Times New Roman" w:cs="Times New Roman"/>
          <w:noProof/>
        </w:rPr>
        <w:drawing>
          <wp:anchor distT="0" distB="0" distL="114300" distR="114300" simplePos="0" relativeHeight="251660288" behindDoc="0" locked="0" layoutInCell="1" allowOverlap="1" wp14:anchorId="0798CBDC" wp14:editId="59854E0A">
            <wp:simplePos x="0" y="0"/>
            <wp:positionH relativeFrom="column">
              <wp:align>center</wp:align>
            </wp:positionH>
            <wp:positionV relativeFrom="paragraph">
              <wp:posOffset>276225</wp:posOffset>
            </wp:positionV>
            <wp:extent cx="8820000" cy="4233600"/>
            <wp:effectExtent l="0" t="0" r="63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20000" cy="4233600"/>
                    </a:xfrm>
                    <a:prstGeom prst="rect">
                      <a:avLst/>
                    </a:prstGeom>
                    <a:noFill/>
                  </pic:spPr>
                </pic:pic>
              </a:graphicData>
            </a:graphic>
            <wp14:sizeRelH relativeFrom="margin">
              <wp14:pctWidth>0</wp14:pctWidth>
            </wp14:sizeRelH>
            <wp14:sizeRelV relativeFrom="margin">
              <wp14:pctHeight>0</wp14:pctHeight>
            </wp14:sizeRelV>
          </wp:anchor>
        </w:drawing>
      </w:r>
    </w:p>
    <w:p w14:paraId="1C5D9C13" w14:textId="4BB72AF3" w:rsidR="002C135A" w:rsidRPr="00217F3F" w:rsidRDefault="002C135A">
      <w:pPr>
        <w:rPr>
          <w:rFonts w:ascii="Times New Roman" w:hAnsi="Times New Roman" w:cs="Times New Roman"/>
          <w:noProof/>
        </w:rPr>
      </w:pPr>
    </w:p>
    <w:p w14:paraId="1D1BBA03" w14:textId="7F8ED7F5" w:rsidR="002C135A" w:rsidRPr="00217F3F" w:rsidRDefault="002C135A">
      <w:pPr>
        <w:rPr>
          <w:rFonts w:ascii="Times New Roman" w:hAnsi="Times New Roman" w:cs="Times New Roman"/>
        </w:rPr>
      </w:pPr>
      <w:r w:rsidRPr="00217F3F">
        <w:rPr>
          <w:rFonts w:ascii="Times New Roman" w:hAnsi="Times New Roman" w:cs="Times New Roman"/>
        </w:rPr>
        <w:br w:type="page"/>
      </w:r>
    </w:p>
    <w:p w14:paraId="17FE647A" w14:textId="03311B48" w:rsidR="00411B24" w:rsidRPr="002F10B7" w:rsidRDefault="00411B24" w:rsidP="002F10B7">
      <w:pPr>
        <w:spacing w:after="0" w:line="276" w:lineRule="auto"/>
        <w:rPr>
          <w:rFonts w:ascii="Times New Roman" w:hAnsi="Times New Roman" w:cs="Times New Roman"/>
          <w:b/>
          <w:bCs/>
        </w:rPr>
      </w:pPr>
      <w:r w:rsidRPr="002F10B7">
        <w:rPr>
          <w:rFonts w:ascii="Times New Roman" w:hAnsi="Times New Roman" w:cs="Times New Roman"/>
          <w:b/>
          <w:bCs/>
        </w:rPr>
        <w:lastRenderedPageBreak/>
        <w:t xml:space="preserve">Supplementary Figure </w:t>
      </w:r>
      <w:r w:rsidR="00A31E3E" w:rsidRPr="002F10B7">
        <w:rPr>
          <w:rFonts w:ascii="Times New Roman" w:hAnsi="Times New Roman" w:cs="Times New Roman"/>
          <w:b/>
          <w:bCs/>
        </w:rPr>
        <w:t>S</w:t>
      </w:r>
      <w:r w:rsidR="00B375FC">
        <w:rPr>
          <w:rFonts w:ascii="Times New Roman" w:hAnsi="Times New Roman" w:cs="Times New Roman"/>
          <w:b/>
          <w:bCs/>
        </w:rPr>
        <w:t>4</w:t>
      </w:r>
      <w:r w:rsidRPr="002F10B7">
        <w:rPr>
          <w:rFonts w:ascii="Times New Roman" w:hAnsi="Times New Roman" w:cs="Times New Roman"/>
          <w:b/>
          <w:bCs/>
        </w:rPr>
        <w:t xml:space="preserve">. </w:t>
      </w:r>
      <w:r w:rsidRPr="002F10B7">
        <w:rPr>
          <w:rFonts w:ascii="Times New Roman" w:hAnsi="Times New Roman" w:cs="Times New Roman"/>
          <w:b/>
          <w:bCs/>
          <w:i/>
          <w:iCs/>
        </w:rPr>
        <w:t xml:space="preserve">In vitro </w:t>
      </w:r>
      <w:r w:rsidRPr="002F10B7">
        <w:rPr>
          <w:rFonts w:ascii="Times New Roman" w:hAnsi="Times New Roman" w:cs="Times New Roman"/>
          <w:b/>
          <w:bCs/>
        </w:rPr>
        <w:t>anti-proliferative activity of AZD4625, sotorasib (AMG510) and adagrasib (MRTX849)</w:t>
      </w:r>
    </w:p>
    <w:p w14:paraId="156150B3" w14:textId="5985FC8B" w:rsidR="00411B24" w:rsidRPr="002F10B7" w:rsidRDefault="00411B24" w:rsidP="002F10B7">
      <w:pPr>
        <w:spacing w:after="0" w:line="276" w:lineRule="auto"/>
        <w:rPr>
          <w:rFonts w:ascii="Times New Roman" w:hAnsi="Times New Roman" w:cs="Times New Roman"/>
        </w:rPr>
      </w:pPr>
      <w:r w:rsidRPr="002F10B7">
        <w:rPr>
          <w:rFonts w:ascii="Times New Roman" w:hAnsi="Times New Roman" w:cs="Times New Roman"/>
        </w:rPr>
        <w:t xml:space="preserve">Anti-proliferative activity of AZD4625, AMG510 and MRTX849 in a panel of </w:t>
      </w:r>
      <w:r w:rsidRPr="002F10B7">
        <w:rPr>
          <w:rFonts w:ascii="Times New Roman" w:hAnsi="Times New Roman" w:cs="Times New Roman"/>
          <w:i/>
          <w:iCs/>
        </w:rPr>
        <w:t>KRAS</w:t>
      </w:r>
      <w:r w:rsidRPr="002F10B7">
        <w:rPr>
          <w:rFonts w:ascii="Times New Roman" w:hAnsi="Times New Roman" w:cs="Times New Roman"/>
          <w:vertAlign w:val="superscript"/>
        </w:rPr>
        <w:t>G12C</w:t>
      </w:r>
      <w:r w:rsidR="0018113D" w:rsidRPr="002F10B7">
        <w:rPr>
          <w:rFonts w:ascii="Times New Roman" w:hAnsi="Times New Roman" w:cs="Times New Roman"/>
        </w:rPr>
        <w:t xml:space="preserve">, </w:t>
      </w:r>
      <w:r w:rsidRPr="002F10B7">
        <w:rPr>
          <w:rFonts w:ascii="Times New Roman" w:hAnsi="Times New Roman" w:cs="Times New Roman"/>
          <w:i/>
          <w:iCs/>
        </w:rPr>
        <w:t>KRAS</w:t>
      </w:r>
      <w:r w:rsidR="0018113D" w:rsidRPr="002F10B7">
        <w:rPr>
          <w:rFonts w:ascii="Times New Roman" w:hAnsi="Times New Roman" w:cs="Times New Roman"/>
          <w:vertAlign w:val="superscript"/>
        </w:rPr>
        <w:t xml:space="preserve">mt (nonG12C) </w:t>
      </w:r>
      <w:r w:rsidR="0018113D" w:rsidRPr="002F10B7">
        <w:rPr>
          <w:rFonts w:ascii="Times New Roman" w:hAnsi="Times New Roman" w:cs="Times New Roman"/>
        </w:rPr>
        <w:t xml:space="preserve">and </w:t>
      </w:r>
      <w:r w:rsidR="0018113D" w:rsidRPr="002F10B7">
        <w:rPr>
          <w:rFonts w:ascii="Times New Roman" w:hAnsi="Times New Roman" w:cs="Times New Roman"/>
          <w:i/>
          <w:iCs/>
        </w:rPr>
        <w:t>KRAS</w:t>
      </w:r>
      <w:r w:rsidR="0018113D" w:rsidRPr="002F10B7">
        <w:rPr>
          <w:rFonts w:ascii="Times New Roman" w:hAnsi="Times New Roman" w:cs="Times New Roman"/>
          <w:vertAlign w:val="superscript"/>
        </w:rPr>
        <w:t>WT</w:t>
      </w:r>
      <w:r w:rsidRPr="002F10B7">
        <w:rPr>
          <w:rFonts w:ascii="Times New Roman" w:hAnsi="Times New Roman" w:cs="Times New Roman"/>
          <w:vertAlign w:val="superscript"/>
        </w:rPr>
        <w:t xml:space="preserve">  </w:t>
      </w:r>
      <w:r w:rsidRPr="002F10B7">
        <w:rPr>
          <w:rFonts w:ascii="Times New Roman" w:hAnsi="Times New Roman" w:cs="Times New Roman"/>
        </w:rPr>
        <w:t>cells. Data represents the geometric mean of GI</w:t>
      </w:r>
      <w:r w:rsidRPr="002F10B7">
        <w:rPr>
          <w:rFonts w:ascii="Times New Roman" w:hAnsi="Times New Roman" w:cs="Times New Roman"/>
          <w:vertAlign w:val="subscript"/>
        </w:rPr>
        <w:t xml:space="preserve">50 </w:t>
      </w:r>
      <w:r w:rsidRPr="002F10B7">
        <w:rPr>
          <w:rFonts w:ascii="Times New Roman" w:hAnsi="Times New Roman" w:cs="Times New Roman"/>
        </w:rPr>
        <w:t>(A) and maximum effect (E</w:t>
      </w:r>
      <w:r w:rsidRPr="002F10B7">
        <w:rPr>
          <w:rFonts w:ascii="Times New Roman" w:hAnsi="Times New Roman" w:cs="Times New Roman"/>
          <w:vertAlign w:val="subscript"/>
        </w:rPr>
        <w:t>max</w:t>
      </w:r>
      <w:r w:rsidRPr="002F10B7">
        <w:rPr>
          <w:rFonts w:ascii="Times New Roman" w:hAnsi="Times New Roman" w:cs="Times New Roman"/>
        </w:rPr>
        <w:t xml:space="preserve">) at 10 </w:t>
      </w:r>
      <w:r w:rsidRPr="002F10B7">
        <w:rPr>
          <w:rFonts w:ascii="Times New Roman" w:eastAsia="Symbol" w:hAnsi="Times New Roman" w:cs="Times New Roman"/>
        </w:rPr>
        <w:sym w:font="Symbol" w:char="F06D"/>
      </w:r>
      <w:r w:rsidRPr="002F10B7">
        <w:rPr>
          <w:rFonts w:ascii="Times New Roman" w:hAnsi="Times New Roman" w:cs="Times New Roman"/>
        </w:rPr>
        <w:t>M of compound (B). Individual cell data and box plot of median, min and max response are shown.  E</w:t>
      </w:r>
      <w:r w:rsidRPr="002F10B7">
        <w:rPr>
          <w:rFonts w:ascii="Times New Roman" w:hAnsi="Times New Roman" w:cs="Times New Roman"/>
          <w:vertAlign w:val="subscript"/>
        </w:rPr>
        <w:t>max</w:t>
      </w:r>
      <w:r w:rsidRPr="002F10B7">
        <w:rPr>
          <w:rFonts w:ascii="Times New Roman" w:hAnsi="Times New Roman" w:cs="Times New Roman"/>
        </w:rPr>
        <w:t xml:space="preserve"> above zero indicates a cytostatic response or growth inhibition and  E</w:t>
      </w:r>
      <w:r w:rsidRPr="002F10B7">
        <w:rPr>
          <w:rFonts w:ascii="Times New Roman" w:hAnsi="Times New Roman" w:cs="Times New Roman"/>
          <w:vertAlign w:val="subscript"/>
        </w:rPr>
        <w:t>max</w:t>
      </w:r>
      <w:r w:rsidRPr="002F10B7">
        <w:rPr>
          <w:rFonts w:ascii="Times New Roman" w:hAnsi="Times New Roman" w:cs="Times New Roman"/>
        </w:rPr>
        <w:t xml:space="preserve"> below zero indicates cytotoxic response or induction of cell death.</w:t>
      </w:r>
    </w:p>
    <w:p w14:paraId="10B5C7DE" w14:textId="04365683" w:rsidR="00B61A88" w:rsidRDefault="00243397">
      <w:pPr>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659264" behindDoc="1" locked="0" layoutInCell="1" allowOverlap="1" wp14:anchorId="2EF2885E" wp14:editId="6A0FC4F9">
            <wp:simplePos x="0" y="0"/>
            <wp:positionH relativeFrom="column">
              <wp:align>center</wp:align>
            </wp:positionH>
            <wp:positionV relativeFrom="paragraph">
              <wp:posOffset>259080</wp:posOffset>
            </wp:positionV>
            <wp:extent cx="3664800" cy="4482000"/>
            <wp:effectExtent l="0" t="0" r="0" b="0"/>
            <wp:wrapTight wrapText="bothSides">
              <wp:wrapPolygon edited="0">
                <wp:start x="225" y="92"/>
                <wp:lineTo x="225" y="643"/>
                <wp:lineTo x="1909" y="1744"/>
                <wp:lineTo x="2470" y="1744"/>
                <wp:lineTo x="1460" y="3672"/>
                <wp:lineTo x="1347" y="6519"/>
                <wp:lineTo x="2807" y="7620"/>
                <wp:lineTo x="3256" y="7620"/>
                <wp:lineTo x="1797" y="8355"/>
                <wp:lineTo x="1797" y="8814"/>
                <wp:lineTo x="3705" y="9089"/>
                <wp:lineTo x="112" y="10558"/>
                <wp:lineTo x="112" y="10925"/>
                <wp:lineTo x="2919" y="12027"/>
                <wp:lineTo x="2358" y="12027"/>
                <wp:lineTo x="2358" y="12486"/>
                <wp:lineTo x="3369" y="13496"/>
                <wp:lineTo x="2583" y="13772"/>
                <wp:lineTo x="2583" y="14139"/>
                <wp:lineTo x="3369" y="14965"/>
                <wp:lineTo x="1797" y="15424"/>
                <wp:lineTo x="1347" y="15791"/>
                <wp:lineTo x="1347" y="16618"/>
                <wp:lineTo x="3144" y="17903"/>
                <wp:lineTo x="2133" y="18913"/>
                <wp:lineTo x="2133" y="19097"/>
                <wp:lineTo x="3369" y="19372"/>
                <wp:lineTo x="3369" y="20107"/>
                <wp:lineTo x="5839" y="20841"/>
                <wp:lineTo x="8085" y="20841"/>
                <wp:lineTo x="8085" y="21208"/>
                <wp:lineTo x="12464" y="21208"/>
                <wp:lineTo x="12576" y="20841"/>
                <wp:lineTo x="15271" y="20841"/>
                <wp:lineTo x="17404" y="20198"/>
                <wp:lineTo x="17517" y="19372"/>
                <wp:lineTo x="17966" y="18270"/>
                <wp:lineTo x="17966" y="17903"/>
                <wp:lineTo x="21110" y="17352"/>
                <wp:lineTo x="21110" y="16893"/>
                <wp:lineTo x="17966" y="16434"/>
                <wp:lineTo x="17966" y="14965"/>
                <wp:lineTo x="21222" y="14414"/>
                <wp:lineTo x="21222" y="14047"/>
                <wp:lineTo x="18078" y="13221"/>
                <wp:lineTo x="17741" y="12762"/>
                <wp:lineTo x="16731" y="12027"/>
                <wp:lineTo x="16955" y="11660"/>
                <wp:lineTo x="14260" y="11385"/>
                <wp:lineTo x="898" y="10558"/>
                <wp:lineTo x="7635" y="10558"/>
                <wp:lineTo x="17180" y="9732"/>
                <wp:lineTo x="17404" y="826"/>
                <wp:lineTo x="15159" y="643"/>
                <wp:lineTo x="786" y="92"/>
                <wp:lineTo x="225" y="92"/>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64800" cy="4482000"/>
                    </a:xfrm>
                    <a:prstGeom prst="rect">
                      <a:avLst/>
                    </a:prstGeom>
                    <a:noFill/>
                  </pic:spPr>
                </pic:pic>
              </a:graphicData>
            </a:graphic>
            <wp14:sizeRelH relativeFrom="margin">
              <wp14:pctWidth>0</wp14:pctWidth>
            </wp14:sizeRelH>
            <wp14:sizeRelV relativeFrom="margin">
              <wp14:pctHeight>0</wp14:pctHeight>
            </wp14:sizeRelV>
          </wp:anchor>
        </w:drawing>
      </w:r>
      <w:r w:rsidR="00B61A88">
        <w:rPr>
          <w:rFonts w:ascii="Times New Roman" w:hAnsi="Times New Roman" w:cs="Times New Roman"/>
          <w:b/>
          <w:bCs/>
        </w:rPr>
        <w:br w:type="page"/>
      </w:r>
    </w:p>
    <w:p w14:paraId="12FCB39E" w14:textId="7D2DD784" w:rsidR="00EE762B" w:rsidRPr="00EE762B" w:rsidRDefault="00EE762B" w:rsidP="007552CE">
      <w:pPr>
        <w:spacing w:after="0" w:line="276" w:lineRule="auto"/>
        <w:rPr>
          <w:rFonts w:ascii="Times New Roman" w:hAnsi="Times New Roman" w:cs="Times New Roman"/>
        </w:rPr>
      </w:pPr>
      <w:r w:rsidRPr="00EE762B">
        <w:rPr>
          <w:rFonts w:ascii="Times New Roman" w:hAnsi="Times New Roman" w:cs="Times New Roman"/>
          <w:b/>
          <w:bCs/>
        </w:rPr>
        <w:lastRenderedPageBreak/>
        <w:t xml:space="preserve">Supplementary Figure </w:t>
      </w:r>
      <w:r w:rsidR="00A31E3E">
        <w:rPr>
          <w:rFonts w:ascii="Times New Roman" w:hAnsi="Times New Roman" w:cs="Times New Roman"/>
          <w:b/>
          <w:bCs/>
        </w:rPr>
        <w:t>S</w:t>
      </w:r>
      <w:r w:rsidR="009D5B4F">
        <w:rPr>
          <w:rFonts w:ascii="Times New Roman" w:hAnsi="Times New Roman" w:cs="Times New Roman"/>
          <w:b/>
          <w:bCs/>
        </w:rPr>
        <w:t>5</w:t>
      </w:r>
      <w:r w:rsidRPr="00EE762B">
        <w:rPr>
          <w:rFonts w:ascii="Times New Roman" w:hAnsi="Times New Roman" w:cs="Times New Roman"/>
          <w:b/>
          <w:bCs/>
        </w:rPr>
        <w:t>. PK and PD</w:t>
      </w:r>
      <w:r w:rsidRPr="00217F3F">
        <w:rPr>
          <w:rFonts w:ascii="Times New Roman" w:hAnsi="Times New Roman" w:cs="Times New Roman"/>
          <w:b/>
          <w:bCs/>
        </w:rPr>
        <w:t xml:space="preserve"> properties</w:t>
      </w:r>
      <w:r w:rsidRPr="00EE762B">
        <w:rPr>
          <w:rFonts w:ascii="Times New Roman" w:hAnsi="Times New Roman" w:cs="Times New Roman"/>
          <w:b/>
          <w:bCs/>
        </w:rPr>
        <w:t xml:space="preserve"> of AZD4625 in preclinical models</w:t>
      </w:r>
    </w:p>
    <w:p w14:paraId="2A1A3859" w14:textId="77777777" w:rsidR="00C73855" w:rsidRDefault="00EE762B" w:rsidP="00EB10C4">
      <w:pPr>
        <w:spacing w:after="0" w:line="276" w:lineRule="auto"/>
        <w:jc w:val="both"/>
        <w:rPr>
          <w:rFonts w:ascii="Times New Roman" w:hAnsi="Times New Roman" w:cs="Times New Roman"/>
        </w:rPr>
      </w:pPr>
      <w:r w:rsidRPr="00EE762B">
        <w:rPr>
          <w:rFonts w:ascii="Times New Roman" w:hAnsi="Times New Roman" w:cs="Times New Roman"/>
        </w:rPr>
        <w:t xml:space="preserve">(A </w:t>
      </w:r>
      <w:r w:rsidR="00AC3D09">
        <w:rPr>
          <w:rFonts w:ascii="Times New Roman" w:hAnsi="Times New Roman" w:cs="Times New Roman"/>
        </w:rPr>
        <w:t>and</w:t>
      </w:r>
      <w:r w:rsidRPr="00EE762B">
        <w:rPr>
          <w:rFonts w:ascii="Times New Roman" w:hAnsi="Times New Roman" w:cs="Times New Roman"/>
        </w:rPr>
        <w:t xml:space="preserve"> B) Free concentrations of AZD4625 in plasma of tumour bearing mice treated orally with a single treatment of the indicated dose of AZD4625. </w:t>
      </w:r>
      <w:r w:rsidR="00643B4F">
        <w:rPr>
          <w:rFonts w:ascii="Times New Roman" w:hAnsi="Times New Roman" w:cs="Times New Roman"/>
        </w:rPr>
        <w:t>Dotted line</w:t>
      </w:r>
      <w:r w:rsidR="00813CC8">
        <w:rPr>
          <w:rFonts w:ascii="Times New Roman" w:hAnsi="Times New Roman" w:cs="Times New Roman"/>
        </w:rPr>
        <w:t>s</w:t>
      </w:r>
      <w:r w:rsidR="00643B4F">
        <w:rPr>
          <w:rFonts w:ascii="Times New Roman" w:hAnsi="Times New Roman" w:cs="Times New Roman"/>
        </w:rPr>
        <w:t xml:space="preserve"> indicate </w:t>
      </w:r>
      <w:r w:rsidR="00813CC8">
        <w:rPr>
          <w:rFonts w:ascii="Times New Roman" w:hAnsi="Times New Roman" w:cs="Times New Roman"/>
        </w:rPr>
        <w:t xml:space="preserve">the </w:t>
      </w:r>
      <w:r w:rsidR="00C77062">
        <w:rPr>
          <w:rFonts w:ascii="Times New Roman" w:hAnsi="Times New Roman" w:cs="Times New Roman"/>
        </w:rPr>
        <w:t>biochemical and cellular IC</w:t>
      </w:r>
      <w:r w:rsidR="00C77062" w:rsidRPr="00057DE7">
        <w:rPr>
          <w:rFonts w:ascii="Times New Roman" w:hAnsi="Times New Roman" w:cs="Times New Roman"/>
          <w:vertAlign w:val="subscript"/>
        </w:rPr>
        <w:t>50</w:t>
      </w:r>
      <w:r w:rsidR="00C77062">
        <w:rPr>
          <w:rFonts w:ascii="Times New Roman" w:hAnsi="Times New Roman" w:cs="Times New Roman"/>
        </w:rPr>
        <w:t xml:space="preserve"> of AZD4625. </w:t>
      </w:r>
      <w:r w:rsidRPr="00EE762B">
        <w:rPr>
          <w:rFonts w:ascii="Times New Roman" w:hAnsi="Times New Roman" w:cs="Times New Roman"/>
        </w:rPr>
        <w:t xml:space="preserve">(C </w:t>
      </w:r>
      <w:r w:rsidR="00AC3D09">
        <w:rPr>
          <w:rFonts w:ascii="Times New Roman" w:hAnsi="Times New Roman" w:cs="Times New Roman"/>
        </w:rPr>
        <w:t>and</w:t>
      </w:r>
      <w:r w:rsidRPr="00EE762B">
        <w:rPr>
          <w:rFonts w:ascii="Times New Roman" w:hAnsi="Times New Roman" w:cs="Times New Roman"/>
        </w:rPr>
        <w:t xml:space="preserve"> D) Western analysis of protein lysates from NCI-H358 or NCI-H2122 xenografts following treatment of tumour bearing mice with a single 100</w:t>
      </w:r>
      <w:r w:rsidR="00C77062">
        <w:rPr>
          <w:rFonts w:ascii="Times New Roman" w:hAnsi="Times New Roman" w:cs="Times New Roman"/>
        </w:rPr>
        <w:t xml:space="preserve"> </w:t>
      </w:r>
      <w:r w:rsidR="00C73FFA">
        <w:rPr>
          <w:rFonts w:ascii="Times New Roman" w:hAnsi="Times New Roman" w:cs="Times New Roman"/>
        </w:rPr>
        <w:t>mg/kg</w:t>
      </w:r>
      <w:r w:rsidRPr="00EE762B">
        <w:rPr>
          <w:rFonts w:ascii="Times New Roman" w:hAnsi="Times New Roman" w:cs="Times New Roman"/>
        </w:rPr>
        <w:t xml:space="preserve"> dose of AZD4625 for 3, 6 24 or 48 hours. Proteins were normalised to vinculin levels</w:t>
      </w:r>
      <w:r w:rsidR="00C15363">
        <w:rPr>
          <w:rFonts w:ascii="Times New Roman" w:hAnsi="Times New Roman" w:cs="Times New Roman"/>
        </w:rPr>
        <w:t xml:space="preserve"> </w:t>
      </w:r>
      <w:r w:rsidR="00AC3D09">
        <w:rPr>
          <w:rFonts w:ascii="Times New Roman" w:hAnsi="Times New Roman" w:cs="Times New Roman"/>
        </w:rPr>
        <w:t>and</w:t>
      </w:r>
      <w:r w:rsidR="00C15363">
        <w:rPr>
          <w:rFonts w:ascii="Times New Roman" w:hAnsi="Times New Roman" w:cs="Times New Roman"/>
        </w:rPr>
        <w:t xml:space="preserve"> relative to time-matched control</w:t>
      </w:r>
      <w:r w:rsidRPr="00EE762B">
        <w:rPr>
          <w:rFonts w:ascii="Times New Roman" w:hAnsi="Times New Roman" w:cs="Times New Roman"/>
        </w:rPr>
        <w:t xml:space="preserve">. Data </w:t>
      </w:r>
      <w:r w:rsidR="00DB3EBF">
        <w:rPr>
          <w:rFonts w:ascii="Times New Roman" w:hAnsi="Times New Roman" w:cs="Times New Roman"/>
        </w:rPr>
        <w:t>represents expression in</w:t>
      </w:r>
      <w:r w:rsidRPr="00EE762B">
        <w:rPr>
          <w:rFonts w:ascii="Times New Roman" w:hAnsi="Times New Roman" w:cs="Times New Roman"/>
        </w:rPr>
        <w:t xml:space="preserve"> tumours from individual animals</w:t>
      </w:r>
      <w:r w:rsidR="001003DA">
        <w:rPr>
          <w:rFonts w:ascii="Times New Roman" w:hAnsi="Times New Roman" w:cs="Times New Roman"/>
        </w:rPr>
        <w:t>,</w:t>
      </w:r>
      <w:r w:rsidRPr="00EE762B">
        <w:rPr>
          <w:rFonts w:ascii="Times New Roman" w:hAnsi="Times New Roman" w:cs="Times New Roman"/>
        </w:rPr>
        <w:t xml:space="preserve"> mean</w:t>
      </w:r>
      <w:r w:rsidR="001003DA">
        <w:rPr>
          <w:rFonts w:ascii="Times New Roman" w:hAnsi="Times New Roman" w:cs="Times New Roman"/>
        </w:rPr>
        <w:t xml:space="preserve"> </w:t>
      </w:r>
      <w:r w:rsidR="00C15363">
        <w:rPr>
          <w:rFonts w:ascii="Times New Roman" w:hAnsi="Times New Roman" w:cs="Times New Roman"/>
        </w:rPr>
        <w:t>and</w:t>
      </w:r>
      <w:r w:rsidRPr="00EE762B">
        <w:rPr>
          <w:rFonts w:ascii="Times New Roman" w:hAnsi="Times New Roman" w:cs="Times New Roman"/>
        </w:rPr>
        <w:t xml:space="preserve"> SEM</w:t>
      </w:r>
      <w:r w:rsidRPr="00217F3F">
        <w:rPr>
          <w:rFonts w:ascii="Times New Roman" w:hAnsi="Times New Roman" w:cs="Times New Roman"/>
        </w:rPr>
        <w:t>.</w:t>
      </w:r>
    </w:p>
    <w:p w14:paraId="218FD005" w14:textId="5AD53922" w:rsidR="002F10B7" w:rsidRPr="00EB10C4" w:rsidRDefault="00C73855" w:rsidP="00EB10C4">
      <w:pPr>
        <w:spacing w:after="0" w:line="276" w:lineRule="auto"/>
        <w:jc w:val="both"/>
        <w:rPr>
          <w:rFonts w:ascii="Times New Roman" w:hAnsi="Times New Roman" w:cs="Times New Roman"/>
        </w:rPr>
      </w:pPr>
      <w:r>
        <w:rPr>
          <w:rFonts w:ascii="Times New Roman" w:hAnsi="Times New Roman" w:cs="Times New Roman"/>
          <w:b/>
          <w:bCs/>
          <w:noProof/>
        </w:rPr>
        <w:drawing>
          <wp:anchor distT="0" distB="0" distL="114300" distR="114300" simplePos="0" relativeHeight="251673600" behindDoc="1" locked="0" layoutInCell="1" allowOverlap="1" wp14:anchorId="1F3A9BF6" wp14:editId="19F3169B">
            <wp:simplePos x="0" y="0"/>
            <wp:positionH relativeFrom="column">
              <wp:align>center</wp:align>
            </wp:positionH>
            <wp:positionV relativeFrom="page">
              <wp:posOffset>1821815</wp:posOffset>
            </wp:positionV>
            <wp:extent cx="9068400" cy="4615200"/>
            <wp:effectExtent l="0" t="0" r="0" b="0"/>
            <wp:wrapTight wrapText="bothSides">
              <wp:wrapPolygon edited="0">
                <wp:start x="136" y="89"/>
                <wp:lineTo x="91" y="713"/>
                <wp:lineTo x="1044" y="1694"/>
                <wp:lineTo x="817" y="1961"/>
                <wp:lineTo x="681" y="2229"/>
                <wp:lineTo x="681" y="6954"/>
                <wp:lineTo x="862" y="7400"/>
                <wp:lineTo x="1316" y="7668"/>
                <wp:lineTo x="6897" y="8827"/>
                <wp:lineTo x="7941" y="8827"/>
                <wp:lineTo x="136" y="9183"/>
                <wp:lineTo x="91" y="10075"/>
                <wp:lineTo x="1180" y="10342"/>
                <wp:lineTo x="681" y="10877"/>
                <wp:lineTo x="681" y="15692"/>
                <wp:lineTo x="817" y="15959"/>
                <wp:lineTo x="1316" y="15959"/>
                <wp:lineTo x="1316" y="16316"/>
                <wp:lineTo x="6489" y="17386"/>
                <wp:lineTo x="7941" y="17386"/>
                <wp:lineTo x="7941" y="19526"/>
                <wp:lineTo x="8350" y="20239"/>
                <wp:lineTo x="8803" y="20506"/>
                <wp:lineTo x="9938" y="21041"/>
                <wp:lineTo x="20466" y="21041"/>
                <wp:lineTo x="20692" y="20239"/>
                <wp:lineTo x="20874" y="19169"/>
                <wp:lineTo x="20874" y="17921"/>
                <wp:lineTo x="20103" y="17386"/>
                <wp:lineTo x="18787" y="17386"/>
                <wp:lineTo x="20239" y="16048"/>
                <wp:lineTo x="20329" y="15068"/>
                <wp:lineTo x="20012" y="14533"/>
                <wp:lineTo x="20965" y="14444"/>
                <wp:lineTo x="20738" y="11680"/>
                <wp:lineTo x="20919" y="9005"/>
                <wp:lineTo x="20602" y="8827"/>
                <wp:lineTo x="18696" y="8827"/>
                <wp:lineTo x="20692" y="8024"/>
                <wp:lineTo x="20692" y="7400"/>
                <wp:lineTo x="20965" y="7133"/>
                <wp:lineTo x="20556" y="5974"/>
                <wp:lineTo x="20738" y="5974"/>
                <wp:lineTo x="20919" y="3566"/>
                <wp:lineTo x="20511" y="3299"/>
                <wp:lineTo x="20783" y="2942"/>
                <wp:lineTo x="19966" y="1694"/>
                <wp:lineTo x="20239" y="1605"/>
                <wp:lineTo x="19785" y="981"/>
                <wp:lineTo x="14612" y="89"/>
                <wp:lineTo x="136" y="89"/>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68400" cy="4615200"/>
                    </a:xfrm>
                    <a:prstGeom prst="rect">
                      <a:avLst/>
                    </a:prstGeom>
                    <a:noFill/>
                  </pic:spPr>
                </pic:pic>
              </a:graphicData>
            </a:graphic>
            <wp14:sizeRelH relativeFrom="margin">
              <wp14:pctWidth>0</wp14:pctWidth>
            </wp14:sizeRelH>
            <wp14:sizeRelV relativeFrom="margin">
              <wp14:pctHeight>0</wp14:pctHeight>
            </wp14:sizeRelV>
          </wp:anchor>
        </w:drawing>
      </w:r>
      <w:r w:rsidR="002F10B7">
        <w:rPr>
          <w:rFonts w:ascii="Times New Roman" w:hAnsi="Times New Roman" w:cs="Times New Roman"/>
          <w:b/>
          <w:bCs/>
        </w:rPr>
        <w:br w:type="page"/>
      </w:r>
    </w:p>
    <w:p w14:paraId="2E3B1A1B" w14:textId="11DB81E9" w:rsidR="00EE762B" w:rsidRPr="00EE762B" w:rsidRDefault="00EE762B" w:rsidP="002F10B7">
      <w:pPr>
        <w:spacing w:after="0" w:line="276" w:lineRule="auto"/>
        <w:jc w:val="both"/>
        <w:rPr>
          <w:rFonts w:ascii="Times New Roman" w:hAnsi="Times New Roman" w:cs="Times New Roman"/>
        </w:rPr>
      </w:pPr>
      <w:r w:rsidRPr="00EE762B">
        <w:rPr>
          <w:rFonts w:ascii="Times New Roman" w:hAnsi="Times New Roman" w:cs="Times New Roman"/>
          <w:b/>
          <w:bCs/>
        </w:rPr>
        <w:lastRenderedPageBreak/>
        <w:t xml:space="preserve">Supplementary Figure </w:t>
      </w:r>
      <w:r w:rsidR="00A31E3E">
        <w:rPr>
          <w:rFonts w:ascii="Times New Roman" w:hAnsi="Times New Roman" w:cs="Times New Roman"/>
          <w:b/>
          <w:bCs/>
        </w:rPr>
        <w:t>S</w:t>
      </w:r>
      <w:r w:rsidR="00A85A34">
        <w:rPr>
          <w:rFonts w:ascii="Times New Roman" w:hAnsi="Times New Roman" w:cs="Times New Roman"/>
          <w:b/>
          <w:bCs/>
        </w:rPr>
        <w:t>6</w:t>
      </w:r>
      <w:r w:rsidRPr="00EE762B">
        <w:rPr>
          <w:rFonts w:ascii="Times New Roman" w:hAnsi="Times New Roman" w:cs="Times New Roman"/>
          <w:b/>
          <w:bCs/>
        </w:rPr>
        <w:t>. Impact of continuous chronic dosing of AZD4625 on bodyweight of tumour bearing mice and</w:t>
      </w:r>
      <w:r w:rsidR="00217F3F" w:rsidRPr="00217F3F">
        <w:rPr>
          <w:rFonts w:ascii="Times New Roman" w:hAnsi="Times New Roman" w:cs="Times New Roman"/>
          <w:b/>
          <w:bCs/>
        </w:rPr>
        <w:t xml:space="preserve"> tumour </w:t>
      </w:r>
      <w:r w:rsidRPr="00EE762B">
        <w:rPr>
          <w:rFonts w:ascii="Times New Roman" w:hAnsi="Times New Roman" w:cs="Times New Roman"/>
          <w:b/>
          <w:bCs/>
        </w:rPr>
        <w:t>MAPK pathway biomarkers</w:t>
      </w:r>
    </w:p>
    <w:p w14:paraId="0E118E8E" w14:textId="634E1DFB" w:rsidR="00217F3F" w:rsidRPr="00217F3F" w:rsidRDefault="00EE762B" w:rsidP="002F10B7">
      <w:pPr>
        <w:spacing w:after="0" w:line="276" w:lineRule="auto"/>
        <w:jc w:val="both"/>
        <w:rPr>
          <w:rFonts w:ascii="Times New Roman" w:hAnsi="Times New Roman" w:cs="Times New Roman"/>
        </w:rPr>
      </w:pPr>
      <w:r w:rsidRPr="00EE762B">
        <w:rPr>
          <w:rFonts w:ascii="Times New Roman" w:hAnsi="Times New Roman" w:cs="Times New Roman"/>
        </w:rPr>
        <w:t xml:space="preserve">(A </w:t>
      </w:r>
      <w:r w:rsidR="00AC3D09">
        <w:rPr>
          <w:rFonts w:ascii="Times New Roman" w:hAnsi="Times New Roman" w:cs="Times New Roman"/>
        </w:rPr>
        <w:t>and</w:t>
      </w:r>
      <w:r w:rsidRPr="00EE762B">
        <w:rPr>
          <w:rFonts w:ascii="Times New Roman" w:hAnsi="Times New Roman" w:cs="Times New Roman"/>
        </w:rPr>
        <w:t xml:space="preserve"> B) Bodyweights of mice bearing NCI-H358 or NCI-H2122 tumours </w:t>
      </w:r>
      <w:r w:rsidR="00794AD3">
        <w:rPr>
          <w:rFonts w:ascii="Times New Roman" w:hAnsi="Times New Roman" w:cs="Times New Roman"/>
        </w:rPr>
        <w:t>with</w:t>
      </w:r>
      <w:r w:rsidRPr="00EE762B">
        <w:rPr>
          <w:rFonts w:ascii="Times New Roman" w:hAnsi="Times New Roman" w:cs="Times New Roman"/>
        </w:rPr>
        <w:t xml:space="preserve"> continuous daily dosing of AZD4625. (C) MAPK pathway inhibition in NCI-H358 tumour samples taken 6 hours post-last dose at the end of the efficacy study (24 daily doses). (D) MAPK pathway inhibition in NCI-H2122 tumour samples taken 3 hours post-last dose at the end of efficacy study (21 daily doses). Expression of </w:t>
      </w:r>
      <w:r w:rsidRPr="00EE762B">
        <w:rPr>
          <w:rFonts w:ascii="Times New Roman" w:hAnsi="Times New Roman" w:cs="Times New Roman"/>
          <w:i/>
          <w:iCs/>
        </w:rPr>
        <w:t>DUSP6</w:t>
      </w:r>
      <w:r w:rsidRPr="00EE762B">
        <w:rPr>
          <w:rFonts w:ascii="Times New Roman" w:hAnsi="Times New Roman" w:cs="Times New Roman"/>
        </w:rPr>
        <w:t xml:space="preserve"> </w:t>
      </w:r>
      <w:r w:rsidR="00AC3D09">
        <w:rPr>
          <w:rFonts w:ascii="Times New Roman" w:hAnsi="Times New Roman" w:cs="Times New Roman"/>
        </w:rPr>
        <w:t>and</w:t>
      </w:r>
      <w:r w:rsidRPr="00EE762B">
        <w:rPr>
          <w:rFonts w:ascii="Times New Roman" w:hAnsi="Times New Roman" w:cs="Times New Roman"/>
        </w:rPr>
        <w:t xml:space="preserve"> </w:t>
      </w:r>
      <w:r w:rsidRPr="00EE762B">
        <w:rPr>
          <w:rFonts w:ascii="Times New Roman" w:hAnsi="Times New Roman" w:cs="Times New Roman"/>
          <w:i/>
          <w:iCs/>
        </w:rPr>
        <w:t>FOSL1</w:t>
      </w:r>
      <w:r w:rsidRPr="00EE762B">
        <w:rPr>
          <w:rFonts w:ascii="Times New Roman" w:hAnsi="Times New Roman" w:cs="Times New Roman"/>
        </w:rPr>
        <w:t xml:space="preserve"> were normalised to </w:t>
      </w:r>
      <w:r w:rsidRPr="00EE762B">
        <w:rPr>
          <w:rFonts w:ascii="Times New Roman" w:hAnsi="Times New Roman" w:cs="Times New Roman"/>
          <w:i/>
          <w:iCs/>
        </w:rPr>
        <w:t xml:space="preserve">POLR2A </w:t>
      </w:r>
      <w:r w:rsidRPr="00EE762B">
        <w:rPr>
          <w:rFonts w:ascii="Times New Roman" w:hAnsi="Times New Roman" w:cs="Times New Roman"/>
        </w:rPr>
        <w:t xml:space="preserve">and relative to the vehicle control. </w:t>
      </w:r>
    </w:p>
    <w:p w14:paraId="74F7681A" w14:textId="66D6DE9A" w:rsidR="00217F3F" w:rsidRPr="00217F3F" w:rsidRDefault="00BE77E9">
      <w:pPr>
        <w:rPr>
          <w:rFonts w:ascii="Times New Roman" w:hAnsi="Times New Roman" w:cs="Times New Roman"/>
        </w:rPr>
      </w:pPr>
      <w:r>
        <w:rPr>
          <w:rFonts w:ascii="Times New Roman" w:hAnsi="Times New Roman" w:cs="Times New Roman"/>
          <w:noProof/>
        </w:rPr>
        <w:drawing>
          <wp:anchor distT="0" distB="0" distL="114300" distR="114300" simplePos="0" relativeHeight="251669504" behindDoc="1" locked="0" layoutInCell="1" allowOverlap="1" wp14:anchorId="5C26967B" wp14:editId="0C5B2567">
            <wp:simplePos x="0" y="0"/>
            <wp:positionH relativeFrom="column">
              <wp:align>center</wp:align>
            </wp:positionH>
            <wp:positionV relativeFrom="page">
              <wp:posOffset>1637665</wp:posOffset>
            </wp:positionV>
            <wp:extent cx="7056000" cy="49716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56000" cy="4971600"/>
                    </a:xfrm>
                    <a:prstGeom prst="rect">
                      <a:avLst/>
                    </a:prstGeom>
                    <a:noFill/>
                  </pic:spPr>
                </pic:pic>
              </a:graphicData>
            </a:graphic>
            <wp14:sizeRelH relativeFrom="margin">
              <wp14:pctWidth>0</wp14:pctWidth>
            </wp14:sizeRelH>
            <wp14:sizeRelV relativeFrom="margin">
              <wp14:pctHeight>0</wp14:pctHeight>
            </wp14:sizeRelV>
          </wp:anchor>
        </w:drawing>
      </w:r>
      <w:r w:rsidR="00217F3F" w:rsidRPr="00217F3F">
        <w:rPr>
          <w:rFonts w:ascii="Times New Roman" w:hAnsi="Times New Roman" w:cs="Times New Roman"/>
        </w:rPr>
        <w:br w:type="page"/>
      </w:r>
    </w:p>
    <w:p w14:paraId="3B08EB27" w14:textId="39ECB1C0" w:rsidR="00217F3F" w:rsidRPr="00217F3F" w:rsidRDefault="00217F3F" w:rsidP="001762D3">
      <w:pPr>
        <w:spacing w:after="0" w:line="276" w:lineRule="auto"/>
        <w:jc w:val="both"/>
        <w:rPr>
          <w:rFonts w:ascii="Times New Roman" w:hAnsi="Times New Roman" w:cs="Times New Roman"/>
        </w:rPr>
      </w:pPr>
      <w:r w:rsidRPr="00217F3F">
        <w:rPr>
          <w:rFonts w:ascii="Times New Roman" w:hAnsi="Times New Roman" w:cs="Times New Roman"/>
          <w:b/>
          <w:bCs/>
        </w:rPr>
        <w:lastRenderedPageBreak/>
        <w:t xml:space="preserve">Supplementary Figure </w:t>
      </w:r>
      <w:r w:rsidR="00A31E3E">
        <w:rPr>
          <w:rFonts w:ascii="Times New Roman" w:hAnsi="Times New Roman" w:cs="Times New Roman"/>
          <w:b/>
          <w:bCs/>
        </w:rPr>
        <w:t>S</w:t>
      </w:r>
      <w:r w:rsidR="00161651">
        <w:rPr>
          <w:rFonts w:ascii="Times New Roman" w:hAnsi="Times New Roman" w:cs="Times New Roman"/>
          <w:b/>
          <w:bCs/>
        </w:rPr>
        <w:t>7</w:t>
      </w:r>
      <w:r w:rsidR="00FA4B99">
        <w:rPr>
          <w:rFonts w:ascii="Times New Roman" w:hAnsi="Times New Roman" w:cs="Times New Roman"/>
          <w:b/>
          <w:bCs/>
        </w:rPr>
        <w:t>.</w:t>
      </w:r>
      <w:r w:rsidRPr="00217F3F">
        <w:rPr>
          <w:rFonts w:ascii="Times New Roman" w:hAnsi="Times New Roman" w:cs="Times New Roman"/>
          <w:b/>
          <w:bCs/>
        </w:rPr>
        <w:t xml:space="preserve"> Binding of AZD4625 to KRAS</w:t>
      </w:r>
      <w:r w:rsidRPr="00217F3F">
        <w:rPr>
          <w:rFonts w:ascii="Times New Roman" w:hAnsi="Times New Roman" w:cs="Times New Roman"/>
          <w:b/>
          <w:bCs/>
          <w:vertAlign w:val="superscript"/>
        </w:rPr>
        <w:t>G12C</w:t>
      </w:r>
      <w:r w:rsidRPr="00217F3F">
        <w:rPr>
          <w:rFonts w:ascii="Times New Roman" w:hAnsi="Times New Roman" w:cs="Times New Roman"/>
          <w:b/>
          <w:bCs/>
        </w:rPr>
        <w:t xml:space="preserve"> is increased in combination with RTK inhibitors</w:t>
      </w:r>
    </w:p>
    <w:p w14:paraId="6031FB93" w14:textId="246E3AE5" w:rsidR="00217F3F" w:rsidRPr="00217F3F" w:rsidRDefault="00217F3F" w:rsidP="001762D3">
      <w:pPr>
        <w:spacing w:after="0" w:line="276" w:lineRule="auto"/>
        <w:jc w:val="both"/>
        <w:rPr>
          <w:rFonts w:ascii="Times New Roman" w:hAnsi="Times New Roman" w:cs="Times New Roman"/>
        </w:rPr>
      </w:pPr>
      <w:r w:rsidRPr="00217F3F">
        <w:rPr>
          <w:rFonts w:ascii="Times New Roman" w:hAnsi="Times New Roman" w:cs="Times New Roman"/>
        </w:rPr>
        <w:t>Binding of AZD4625 to KRAS</w:t>
      </w:r>
      <w:r w:rsidRPr="00217F3F">
        <w:rPr>
          <w:rFonts w:ascii="Times New Roman" w:hAnsi="Times New Roman" w:cs="Times New Roman"/>
          <w:vertAlign w:val="superscript"/>
        </w:rPr>
        <w:t>G12C</w:t>
      </w:r>
      <w:r w:rsidRPr="00217F3F">
        <w:rPr>
          <w:rFonts w:ascii="Times New Roman" w:hAnsi="Times New Roman" w:cs="Times New Roman"/>
        </w:rPr>
        <w:t xml:space="preserve"> in NCI-H358 cell lysates following treatment with 0.1 μM AZD4625 alone or in combination with 0.04 μM </w:t>
      </w:r>
      <w:r>
        <w:rPr>
          <w:rFonts w:ascii="Times New Roman" w:hAnsi="Times New Roman" w:cs="Times New Roman"/>
        </w:rPr>
        <w:t>a</w:t>
      </w:r>
      <w:r w:rsidRPr="00217F3F">
        <w:rPr>
          <w:rFonts w:ascii="Times New Roman" w:hAnsi="Times New Roman" w:cs="Times New Roman"/>
        </w:rPr>
        <w:t xml:space="preserve">fatinib, 2.5 </w:t>
      </w:r>
      <w:r w:rsidRPr="00217F3F">
        <w:rPr>
          <w:rFonts w:ascii="Symbol" w:eastAsia="Symbol" w:hAnsi="Symbol" w:cs="Symbol"/>
        </w:rPr>
        <w:sym w:font="Symbol" w:char="F06D"/>
      </w:r>
      <w:r w:rsidRPr="00217F3F">
        <w:rPr>
          <w:rFonts w:ascii="Times New Roman" w:hAnsi="Times New Roman" w:cs="Times New Roman"/>
        </w:rPr>
        <w:t>M SHP099 or RMC4550 was measured by mass spectrometry. A decrease in the amounts of unbound G12C peptide demonstrates binding of drug. Statistical comparisons are made to time-matched AZD4625 monotherapy. *** indicates p value ≤ 0.001.</w:t>
      </w:r>
    </w:p>
    <w:p w14:paraId="0849CB50" w14:textId="051EA693" w:rsidR="00217F3F" w:rsidRPr="00EE762B" w:rsidRDefault="00217F3F" w:rsidP="00EE762B">
      <w:pPr>
        <w:spacing w:after="0" w:line="360" w:lineRule="auto"/>
        <w:rPr>
          <w:rFonts w:ascii="Times New Roman" w:hAnsi="Times New Roman" w:cs="Times New Roman"/>
        </w:rPr>
      </w:pPr>
    </w:p>
    <w:p w14:paraId="41236485" w14:textId="2ADDFF5A" w:rsidR="00217F3F" w:rsidRPr="00217F3F" w:rsidRDefault="00217F3F">
      <w:pPr>
        <w:rPr>
          <w:rFonts w:ascii="Times New Roman" w:hAnsi="Times New Roman" w:cs="Times New Roman"/>
        </w:rPr>
      </w:pPr>
    </w:p>
    <w:p w14:paraId="3340B39D" w14:textId="44F0E6D2" w:rsidR="00217F3F" w:rsidRPr="00217F3F" w:rsidRDefault="0040577A">
      <w:pPr>
        <w:rPr>
          <w:rFonts w:ascii="Times New Roman" w:hAnsi="Times New Roman" w:cs="Times New Roman"/>
        </w:rPr>
      </w:pPr>
      <w:r w:rsidRPr="0040577A">
        <w:rPr>
          <w:noProof/>
        </w:rPr>
        <w:drawing>
          <wp:anchor distT="0" distB="0" distL="114300" distR="114300" simplePos="0" relativeHeight="251670528" behindDoc="1" locked="0" layoutInCell="1" allowOverlap="1" wp14:anchorId="091025CF" wp14:editId="0707C897">
            <wp:simplePos x="0" y="0"/>
            <wp:positionH relativeFrom="column">
              <wp:align>center</wp:align>
            </wp:positionH>
            <wp:positionV relativeFrom="page">
              <wp:posOffset>2165350</wp:posOffset>
            </wp:positionV>
            <wp:extent cx="3715200" cy="3225600"/>
            <wp:effectExtent l="0" t="0" r="0" b="0"/>
            <wp:wrapTight wrapText="bothSides">
              <wp:wrapPolygon edited="0">
                <wp:start x="6092" y="638"/>
                <wp:lineTo x="1994" y="1403"/>
                <wp:lineTo x="665" y="1914"/>
                <wp:lineTo x="665" y="13907"/>
                <wp:lineTo x="2658" y="15183"/>
                <wp:lineTo x="3877" y="15183"/>
                <wp:lineTo x="2880" y="15693"/>
                <wp:lineTo x="2880" y="16586"/>
                <wp:lineTo x="3655" y="17224"/>
                <wp:lineTo x="3212" y="19265"/>
                <wp:lineTo x="3212" y="19776"/>
                <wp:lineTo x="4763" y="20413"/>
                <wp:lineTo x="5871" y="20669"/>
                <wp:lineTo x="14068" y="20669"/>
                <wp:lineTo x="18498" y="15183"/>
                <wp:lineTo x="19495" y="13779"/>
                <wp:lineTo x="15840" y="13269"/>
                <wp:lineTo x="11852" y="13014"/>
                <wp:lineTo x="11631" y="11100"/>
                <wp:lineTo x="14732" y="11100"/>
                <wp:lineTo x="18831" y="9952"/>
                <wp:lineTo x="18831" y="8293"/>
                <wp:lineTo x="18388" y="7655"/>
                <wp:lineTo x="17391" y="6634"/>
                <wp:lineTo x="11742" y="4976"/>
                <wp:lineTo x="12738" y="2934"/>
                <wp:lineTo x="16726" y="1531"/>
                <wp:lineTo x="16948" y="893"/>
                <wp:lineTo x="15286" y="638"/>
                <wp:lineTo x="6092" y="638"/>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15200" cy="322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7F3F" w:rsidRPr="00217F3F">
        <w:rPr>
          <w:rFonts w:ascii="Times New Roman" w:hAnsi="Times New Roman" w:cs="Times New Roman"/>
        </w:rPr>
        <w:br w:type="page"/>
      </w:r>
    </w:p>
    <w:p w14:paraId="41EA16C2" w14:textId="415513E1" w:rsidR="009A0E1C" w:rsidRPr="009A0E1C" w:rsidRDefault="009A0E1C" w:rsidP="001762D3">
      <w:pPr>
        <w:spacing w:after="0" w:line="276" w:lineRule="auto"/>
        <w:rPr>
          <w:rFonts w:ascii="Times New Roman" w:hAnsi="Times New Roman" w:cs="Times New Roman"/>
          <w:b/>
          <w:bCs/>
        </w:rPr>
      </w:pPr>
      <w:r w:rsidRPr="009A0E1C">
        <w:rPr>
          <w:rFonts w:ascii="Times New Roman" w:hAnsi="Times New Roman" w:cs="Times New Roman"/>
          <w:b/>
          <w:bCs/>
        </w:rPr>
        <w:lastRenderedPageBreak/>
        <w:t xml:space="preserve">Supplementary Figure </w:t>
      </w:r>
      <w:r w:rsidR="00A31E3E">
        <w:rPr>
          <w:rFonts w:ascii="Times New Roman" w:hAnsi="Times New Roman" w:cs="Times New Roman"/>
          <w:b/>
          <w:bCs/>
        </w:rPr>
        <w:t>S</w:t>
      </w:r>
      <w:r w:rsidR="0015154D">
        <w:rPr>
          <w:rFonts w:ascii="Times New Roman" w:hAnsi="Times New Roman" w:cs="Times New Roman"/>
          <w:b/>
          <w:bCs/>
        </w:rPr>
        <w:t>8</w:t>
      </w:r>
      <w:r w:rsidRPr="009A0E1C">
        <w:rPr>
          <w:rFonts w:ascii="Times New Roman" w:hAnsi="Times New Roman" w:cs="Times New Roman"/>
          <w:b/>
          <w:bCs/>
        </w:rPr>
        <w:t xml:space="preserve">. Impact of AZD4625, afatinib and SHP2 inhibitor monotherapy and combination treatments on </w:t>
      </w:r>
      <w:r w:rsidR="00AC3D09">
        <w:rPr>
          <w:rFonts w:ascii="Times New Roman" w:hAnsi="Times New Roman" w:cs="Times New Roman"/>
          <w:b/>
          <w:bCs/>
        </w:rPr>
        <w:t>mice</w:t>
      </w:r>
      <w:r w:rsidRPr="009A0E1C">
        <w:rPr>
          <w:rFonts w:ascii="Times New Roman" w:hAnsi="Times New Roman" w:cs="Times New Roman"/>
          <w:b/>
          <w:bCs/>
        </w:rPr>
        <w:t xml:space="preserve"> </w:t>
      </w:r>
      <w:r w:rsidR="00AC3D09">
        <w:rPr>
          <w:rFonts w:ascii="Times New Roman" w:hAnsi="Times New Roman" w:cs="Times New Roman"/>
          <w:b/>
          <w:bCs/>
        </w:rPr>
        <w:t>bodyweight</w:t>
      </w:r>
      <w:r w:rsidRPr="009A0E1C">
        <w:rPr>
          <w:rFonts w:ascii="Times New Roman" w:hAnsi="Times New Roman" w:cs="Times New Roman"/>
          <w:b/>
          <w:bCs/>
        </w:rPr>
        <w:t>s</w:t>
      </w:r>
    </w:p>
    <w:p w14:paraId="4C77F57B" w14:textId="3233FA0D" w:rsidR="009A0E1C" w:rsidRPr="009A0E1C" w:rsidRDefault="00AC3D09" w:rsidP="001762D3">
      <w:pPr>
        <w:spacing w:after="0" w:line="276" w:lineRule="auto"/>
        <w:rPr>
          <w:rFonts w:ascii="Times New Roman" w:hAnsi="Times New Roman" w:cs="Times New Roman"/>
        </w:rPr>
      </w:pPr>
      <w:r>
        <w:rPr>
          <w:rFonts w:ascii="Times New Roman" w:hAnsi="Times New Roman" w:cs="Times New Roman"/>
        </w:rPr>
        <w:t>Bodyweight</w:t>
      </w:r>
      <w:r w:rsidR="009A0E1C" w:rsidRPr="009A0E1C">
        <w:rPr>
          <w:rFonts w:ascii="Times New Roman" w:hAnsi="Times New Roman" w:cs="Times New Roman"/>
        </w:rPr>
        <w:t xml:space="preserve"> changes of male nude mice bearing NCI-H358 or LU99 subcutaneous tumours with the indicated treatments. Data shown is mean % change relative to starting </w:t>
      </w:r>
      <w:r>
        <w:rPr>
          <w:rFonts w:ascii="Times New Roman" w:hAnsi="Times New Roman" w:cs="Times New Roman"/>
        </w:rPr>
        <w:t>bodyweight</w:t>
      </w:r>
      <w:r w:rsidR="009A0E1C" w:rsidRPr="009A0E1C">
        <w:rPr>
          <w:rFonts w:ascii="Times New Roman" w:hAnsi="Times New Roman" w:cs="Times New Roman"/>
        </w:rPr>
        <w:t xml:space="preserve">, error bars represent SEM. (A </w:t>
      </w:r>
      <w:r>
        <w:rPr>
          <w:rFonts w:ascii="Times New Roman" w:hAnsi="Times New Roman" w:cs="Times New Roman"/>
        </w:rPr>
        <w:t>and</w:t>
      </w:r>
      <w:r w:rsidR="009A0E1C" w:rsidRPr="009A0E1C">
        <w:rPr>
          <w:rFonts w:ascii="Times New Roman" w:hAnsi="Times New Roman" w:cs="Times New Roman"/>
        </w:rPr>
        <w:t xml:space="preserve"> B) Mice were dosed daily with AZD4625 and/or afatinib. (C </w:t>
      </w:r>
      <w:r>
        <w:rPr>
          <w:rFonts w:ascii="Times New Roman" w:hAnsi="Times New Roman" w:cs="Times New Roman"/>
        </w:rPr>
        <w:t>and</w:t>
      </w:r>
      <w:r w:rsidR="009A0E1C" w:rsidRPr="009A0E1C">
        <w:rPr>
          <w:rFonts w:ascii="Times New Roman" w:hAnsi="Times New Roman" w:cs="Times New Roman"/>
        </w:rPr>
        <w:t xml:space="preserve"> D) Mice were dosed daily with AZD4625 and/or SHP099. </w:t>
      </w:r>
      <w:r w:rsidR="00E0142B">
        <w:rPr>
          <w:rFonts w:ascii="Times New Roman" w:hAnsi="Times New Roman" w:cs="Times New Roman"/>
        </w:rPr>
        <w:t xml:space="preserve">(C) </w:t>
      </w:r>
      <w:r w:rsidR="009A0E1C" w:rsidRPr="009A0E1C">
        <w:rPr>
          <w:rFonts w:ascii="Times New Roman" w:hAnsi="Times New Roman" w:cs="Times New Roman"/>
        </w:rPr>
        <w:t xml:space="preserve">AZD4625 in combination with 100 </w:t>
      </w:r>
      <w:r w:rsidR="00C73FFA">
        <w:rPr>
          <w:rFonts w:ascii="Times New Roman" w:hAnsi="Times New Roman" w:cs="Times New Roman"/>
        </w:rPr>
        <w:t>mg/kg</w:t>
      </w:r>
      <w:r w:rsidR="009A0E1C" w:rsidRPr="009A0E1C">
        <w:rPr>
          <w:rFonts w:ascii="Times New Roman" w:hAnsi="Times New Roman" w:cs="Times New Roman"/>
        </w:rPr>
        <w:t xml:space="preserve"> daily dose of SHP099 caused </w:t>
      </w:r>
      <w:r>
        <w:rPr>
          <w:rFonts w:ascii="Times New Roman" w:hAnsi="Times New Roman" w:cs="Times New Roman"/>
        </w:rPr>
        <w:t>bodyweight</w:t>
      </w:r>
      <w:r w:rsidR="009A0E1C" w:rsidRPr="009A0E1C">
        <w:rPr>
          <w:rFonts w:ascii="Times New Roman" w:hAnsi="Times New Roman" w:cs="Times New Roman"/>
        </w:rPr>
        <w:t xml:space="preserve"> losses and dosing was stopped on day 14. (E </w:t>
      </w:r>
      <w:r>
        <w:rPr>
          <w:rFonts w:ascii="Times New Roman" w:hAnsi="Times New Roman" w:cs="Times New Roman"/>
        </w:rPr>
        <w:t>and</w:t>
      </w:r>
      <w:r w:rsidR="009A0E1C" w:rsidRPr="009A0E1C">
        <w:rPr>
          <w:rFonts w:ascii="Times New Roman" w:hAnsi="Times New Roman" w:cs="Times New Roman"/>
        </w:rPr>
        <w:t xml:space="preserve"> F) Mice were dosed daily with AZD4625 and/or with SHP2 inhibitors daily or scheduled twice weekly as indicated. SHP099 at 100 </w:t>
      </w:r>
      <w:r w:rsidR="00C73FFA">
        <w:rPr>
          <w:rFonts w:ascii="Times New Roman" w:hAnsi="Times New Roman" w:cs="Times New Roman"/>
        </w:rPr>
        <w:t>mg/kg</w:t>
      </w:r>
      <w:r w:rsidR="009A0E1C" w:rsidRPr="009A0E1C">
        <w:rPr>
          <w:rFonts w:ascii="Times New Roman" w:hAnsi="Times New Roman" w:cs="Times New Roman"/>
        </w:rPr>
        <w:t xml:space="preserve"> continuous schedule in the monotherapy and combination groups had some impact on bodyweight so dosing was stopped if  individual animal bodyweight dropped below 15% and dosing re-introduced when bodyweight recovered to -8%.  Dosing of SHP099 was also stopped on days 16 + 17 for all animals in the 100 </w:t>
      </w:r>
      <w:r w:rsidR="00C73FFA">
        <w:rPr>
          <w:rFonts w:ascii="Times New Roman" w:hAnsi="Times New Roman" w:cs="Times New Roman"/>
        </w:rPr>
        <w:t>mg/kg</w:t>
      </w:r>
      <w:r w:rsidR="009A0E1C" w:rsidRPr="009A0E1C">
        <w:rPr>
          <w:rFonts w:ascii="Times New Roman" w:hAnsi="Times New Roman" w:cs="Times New Roman"/>
        </w:rPr>
        <w:t xml:space="preserve"> continually dosing groups.</w:t>
      </w:r>
    </w:p>
    <w:p w14:paraId="4A299D34" w14:textId="3B7646F0" w:rsidR="00EE762B" w:rsidRPr="00217F3F" w:rsidRDefault="009167D5">
      <w:pPr>
        <w:rPr>
          <w:rFonts w:ascii="Times New Roman" w:hAnsi="Times New Roman" w:cs="Times New Roman"/>
        </w:rPr>
      </w:pPr>
      <w:r>
        <w:rPr>
          <w:rFonts w:ascii="Times New Roman" w:hAnsi="Times New Roman" w:cs="Times New Roman"/>
          <w:noProof/>
        </w:rPr>
        <w:drawing>
          <wp:anchor distT="0" distB="0" distL="114300" distR="114300" simplePos="0" relativeHeight="251671552" behindDoc="1" locked="0" layoutInCell="1" allowOverlap="1" wp14:anchorId="1B8B358C" wp14:editId="6FC46843">
            <wp:simplePos x="0" y="0"/>
            <wp:positionH relativeFrom="column">
              <wp:posOffset>949748</wp:posOffset>
            </wp:positionH>
            <wp:positionV relativeFrom="paragraph">
              <wp:posOffset>14605</wp:posOffset>
            </wp:positionV>
            <wp:extent cx="7433310" cy="4629150"/>
            <wp:effectExtent l="0" t="0" r="0" b="0"/>
            <wp:wrapTight wrapText="bothSides">
              <wp:wrapPolygon edited="0">
                <wp:start x="1827" y="89"/>
                <wp:lineTo x="166" y="267"/>
                <wp:lineTo x="111" y="889"/>
                <wp:lineTo x="1273" y="1689"/>
                <wp:lineTo x="1052" y="2400"/>
                <wp:lineTo x="996" y="4978"/>
                <wp:lineTo x="1218" y="6756"/>
                <wp:lineTo x="2159" y="7378"/>
                <wp:lineTo x="1716" y="7556"/>
                <wp:lineTo x="1716" y="9600"/>
                <wp:lineTo x="10794" y="10222"/>
                <wp:lineTo x="111" y="10489"/>
                <wp:lineTo x="55" y="11022"/>
                <wp:lineTo x="1273" y="11644"/>
                <wp:lineTo x="996" y="13067"/>
                <wp:lineTo x="941" y="15911"/>
                <wp:lineTo x="1218" y="17333"/>
                <wp:lineTo x="1218" y="17689"/>
                <wp:lineTo x="1882" y="18756"/>
                <wp:lineTo x="1716" y="18756"/>
                <wp:lineTo x="1605" y="19022"/>
                <wp:lineTo x="1661" y="20444"/>
                <wp:lineTo x="9632" y="21422"/>
                <wp:lineTo x="12677" y="21422"/>
                <wp:lineTo x="20703" y="21156"/>
                <wp:lineTo x="20980" y="20978"/>
                <wp:lineTo x="20316" y="20089"/>
                <wp:lineTo x="18268" y="18756"/>
                <wp:lineTo x="18987" y="18756"/>
                <wp:lineTo x="21146" y="17689"/>
                <wp:lineTo x="21201" y="16622"/>
                <wp:lineTo x="20925" y="16444"/>
                <wp:lineTo x="18766" y="15911"/>
                <wp:lineTo x="21091" y="14578"/>
                <wp:lineTo x="21257" y="13067"/>
                <wp:lineTo x="20260" y="11644"/>
                <wp:lineTo x="20703" y="11111"/>
                <wp:lineTo x="20260" y="10933"/>
                <wp:lineTo x="10794" y="10222"/>
                <wp:lineTo x="20537" y="9867"/>
                <wp:lineTo x="20869" y="9778"/>
                <wp:lineTo x="20094" y="8800"/>
                <wp:lineTo x="19319" y="7378"/>
                <wp:lineTo x="20703" y="7378"/>
                <wp:lineTo x="21201" y="6933"/>
                <wp:lineTo x="21146" y="5956"/>
                <wp:lineTo x="19596" y="4533"/>
                <wp:lineTo x="20925" y="4533"/>
                <wp:lineTo x="21257" y="4267"/>
                <wp:lineTo x="21201" y="2400"/>
                <wp:lineTo x="20426" y="1956"/>
                <wp:lineTo x="18655" y="1689"/>
                <wp:lineTo x="20260" y="889"/>
                <wp:lineTo x="20648" y="444"/>
                <wp:lineTo x="20426" y="89"/>
                <wp:lineTo x="1827" y="8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33310" cy="4629150"/>
                    </a:xfrm>
                    <a:prstGeom prst="rect">
                      <a:avLst/>
                    </a:prstGeom>
                    <a:noFill/>
                  </pic:spPr>
                </pic:pic>
              </a:graphicData>
            </a:graphic>
            <wp14:sizeRelH relativeFrom="margin">
              <wp14:pctWidth>0</wp14:pctWidth>
            </wp14:sizeRelH>
            <wp14:sizeRelV relativeFrom="margin">
              <wp14:pctHeight>0</wp14:pctHeight>
            </wp14:sizeRelV>
          </wp:anchor>
        </w:drawing>
      </w:r>
      <w:r w:rsidR="00EE762B" w:rsidRPr="00217F3F">
        <w:rPr>
          <w:rFonts w:ascii="Times New Roman" w:hAnsi="Times New Roman" w:cs="Times New Roman"/>
        </w:rPr>
        <w:br w:type="page"/>
      </w:r>
    </w:p>
    <w:p w14:paraId="541D6769" w14:textId="2F4D7567" w:rsidR="006E4DDF" w:rsidRPr="006E4DDF" w:rsidRDefault="006E4DDF" w:rsidP="006E4DDF">
      <w:pPr>
        <w:tabs>
          <w:tab w:val="left" w:pos="7604"/>
        </w:tabs>
        <w:spacing w:after="0" w:line="360" w:lineRule="auto"/>
        <w:rPr>
          <w:rFonts w:ascii="Times New Roman" w:hAnsi="Times New Roman" w:cs="Times New Roman"/>
          <w:b/>
          <w:bCs/>
        </w:rPr>
      </w:pPr>
      <w:r w:rsidRPr="006E4DDF">
        <w:rPr>
          <w:rFonts w:ascii="Times New Roman" w:hAnsi="Times New Roman" w:cs="Times New Roman"/>
          <w:b/>
          <w:bCs/>
        </w:rPr>
        <w:lastRenderedPageBreak/>
        <w:t xml:space="preserve">Supplementary Figure </w:t>
      </w:r>
      <w:r w:rsidR="00A31E3E">
        <w:rPr>
          <w:rFonts w:ascii="Times New Roman" w:hAnsi="Times New Roman" w:cs="Times New Roman"/>
          <w:b/>
          <w:bCs/>
        </w:rPr>
        <w:t>S</w:t>
      </w:r>
      <w:r w:rsidR="0028413F">
        <w:rPr>
          <w:rFonts w:ascii="Times New Roman" w:hAnsi="Times New Roman" w:cs="Times New Roman"/>
          <w:b/>
          <w:bCs/>
        </w:rPr>
        <w:t>9</w:t>
      </w:r>
      <w:r w:rsidRPr="006E4DDF">
        <w:rPr>
          <w:rFonts w:ascii="Times New Roman" w:hAnsi="Times New Roman" w:cs="Times New Roman"/>
          <w:b/>
          <w:bCs/>
        </w:rPr>
        <w:t xml:space="preserve">. AZD4625 combinations with RTK pathway inhibitors in colorectal PDX models </w:t>
      </w:r>
      <w:r w:rsidRPr="00AC3D09">
        <w:rPr>
          <w:rFonts w:ascii="Times New Roman" w:hAnsi="Times New Roman" w:cs="Times New Roman"/>
          <w:b/>
          <w:bCs/>
          <w:i/>
          <w:iCs/>
        </w:rPr>
        <w:t>in vivo</w:t>
      </w:r>
    </w:p>
    <w:p w14:paraId="07150422" w14:textId="1D46C3EC" w:rsidR="003D46FF" w:rsidRDefault="006E4DDF" w:rsidP="006E4DDF">
      <w:pPr>
        <w:tabs>
          <w:tab w:val="left" w:pos="7604"/>
        </w:tabs>
        <w:spacing w:after="0" w:line="360" w:lineRule="auto"/>
        <w:rPr>
          <w:rFonts w:ascii="Times New Roman" w:hAnsi="Times New Roman" w:cs="Times New Roman"/>
        </w:rPr>
      </w:pPr>
      <w:r w:rsidRPr="006E4DDF">
        <w:rPr>
          <w:rFonts w:ascii="Times New Roman" w:hAnsi="Times New Roman" w:cs="Times New Roman"/>
        </w:rPr>
        <w:t xml:space="preserve">Relative tumour volume and </w:t>
      </w:r>
      <w:r w:rsidR="00AC3D09">
        <w:rPr>
          <w:rFonts w:ascii="Times New Roman" w:hAnsi="Times New Roman" w:cs="Times New Roman"/>
        </w:rPr>
        <w:t>bodyweight</w:t>
      </w:r>
      <w:r w:rsidRPr="006E4DDF">
        <w:rPr>
          <w:rFonts w:ascii="Times New Roman" w:hAnsi="Times New Roman" w:cs="Times New Roman"/>
        </w:rPr>
        <w:t xml:space="preserve"> changes in female nude mice bearing subcutaneous CTG-1489 or CTG-0387 human colorectal tumours following treatment with AZD4625 in monotherapy or in combination with afatinib, SHP099 or cetuximab as indicated. Data shown is mean and SEM.</w:t>
      </w:r>
    </w:p>
    <w:p w14:paraId="3ED703DC" w14:textId="1D872B51" w:rsidR="001A7C72" w:rsidRDefault="001A7C72" w:rsidP="006E4DDF">
      <w:pPr>
        <w:tabs>
          <w:tab w:val="left" w:pos="7604"/>
        </w:tabs>
        <w:spacing w:after="0" w:line="360" w:lineRule="auto"/>
        <w:rPr>
          <w:rFonts w:ascii="Times New Roman" w:hAnsi="Times New Roman" w:cs="Times New Roman"/>
        </w:rPr>
      </w:pPr>
      <w:r>
        <w:rPr>
          <w:rFonts w:ascii="Times New Roman" w:hAnsi="Times New Roman" w:cs="Times New Roman"/>
          <w:noProof/>
        </w:rPr>
        <w:drawing>
          <wp:inline distT="0" distB="0" distL="0" distR="0" wp14:anchorId="7650A8E2" wp14:editId="08D5DAD4">
            <wp:extent cx="8855711" cy="4715933"/>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69287" cy="4723163"/>
                    </a:xfrm>
                    <a:prstGeom prst="rect">
                      <a:avLst/>
                    </a:prstGeom>
                    <a:noFill/>
                  </pic:spPr>
                </pic:pic>
              </a:graphicData>
            </a:graphic>
          </wp:inline>
        </w:drawing>
      </w:r>
    </w:p>
    <w:p w14:paraId="30CFC786" w14:textId="5BF64EFC" w:rsidR="003D46FF" w:rsidRDefault="003D46FF">
      <w:pPr>
        <w:rPr>
          <w:rFonts w:ascii="Times New Roman" w:hAnsi="Times New Roman" w:cs="Times New Roman"/>
        </w:rPr>
      </w:pPr>
      <w:r>
        <w:rPr>
          <w:rFonts w:ascii="Times New Roman" w:hAnsi="Times New Roman" w:cs="Times New Roman"/>
        </w:rPr>
        <w:br w:type="page"/>
      </w:r>
    </w:p>
    <w:p w14:paraId="49477A42" w14:textId="0E5A13E3" w:rsidR="00217F3F" w:rsidRPr="00217F3F" w:rsidRDefault="00217F3F" w:rsidP="00D108AF">
      <w:pPr>
        <w:spacing w:after="0" w:line="276" w:lineRule="auto"/>
        <w:rPr>
          <w:rFonts w:ascii="Times New Roman" w:hAnsi="Times New Roman" w:cs="Times New Roman"/>
        </w:rPr>
      </w:pPr>
      <w:r w:rsidRPr="00217F3F">
        <w:rPr>
          <w:rFonts w:ascii="Times New Roman" w:hAnsi="Times New Roman" w:cs="Times New Roman"/>
          <w:b/>
          <w:bCs/>
        </w:rPr>
        <w:lastRenderedPageBreak/>
        <w:t xml:space="preserve">Supplementary Figure </w:t>
      </w:r>
      <w:r w:rsidR="00A31E3E">
        <w:rPr>
          <w:rFonts w:ascii="Times New Roman" w:hAnsi="Times New Roman" w:cs="Times New Roman"/>
          <w:b/>
          <w:bCs/>
        </w:rPr>
        <w:t>S</w:t>
      </w:r>
      <w:r w:rsidR="00B61A88">
        <w:rPr>
          <w:rFonts w:ascii="Times New Roman" w:hAnsi="Times New Roman" w:cs="Times New Roman"/>
          <w:b/>
          <w:bCs/>
        </w:rPr>
        <w:t>1</w:t>
      </w:r>
      <w:r w:rsidR="00A31E3E">
        <w:rPr>
          <w:rFonts w:ascii="Times New Roman" w:hAnsi="Times New Roman" w:cs="Times New Roman"/>
          <w:b/>
          <w:bCs/>
        </w:rPr>
        <w:t>0</w:t>
      </w:r>
      <w:r w:rsidRPr="00217F3F">
        <w:rPr>
          <w:rFonts w:ascii="Times New Roman" w:hAnsi="Times New Roman" w:cs="Times New Roman"/>
          <w:b/>
          <w:bCs/>
        </w:rPr>
        <w:t>. Impact of AZD4625, anti-mPD-1 and anti-mPD</w:t>
      </w:r>
      <w:r w:rsidR="0048474F">
        <w:rPr>
          <w:rFonts w:ascii="Times New Roman" w:hAnsi="Times New Roman" w:cs="Times New Roman"/>
          <w:b/>
          <w:bCs/>
        </w:rPr>
        <w:t>-</w:t>
      </w:r>
      <w:r w:rsidRPr="00217F3F">
        <w:rPr>
          <w:rFonts w:ascii="Times New Roman" w:hAnsi="Times New Roman" w:cs="Times New Roman"/>
          <w:b/>
          <w:bCs/>
        </w:rPr>
        <w:t>L1 monotherapy and combination treatments on tumour immune microenvironment genes in the CT26</w:t>
      </w:r>
      <w:r w:rsidRPr="00217F3F">
        <w:rPr>
          <w:rFonts w:ascii="Times New Roman" w:hAnsi="Times New Roman" w:cs="Times New Roman"/>
          <w:b/>
          <w:bCs/>
          <w:vertAlign w:val="superscript"/>
        </w:rPr>
        <w:t>G12C</w:t>
      </w:r>
      <w:r w:rsidRPr="00217F3F">
        <w:rPr>
          <w:rFonts w:ascii="Times New Roman" w:hAnsi="Times New Roman" w:cs="Times New Roman"/>
          <w:b/>
          <w:bCs/>
        </w:rPr>
        <w:t xml:space="preserve"> syngeneic tumour</w:t>
      </w:r>
    </w:p>
    <w:p w14:paraId="562A0613" w14:textId="1666891F" w:rsidR="00217F3F" w:rsidRPr="00217F3F" w:rsidRDefault="00217F3F" w:rsidP="00D108AF">
      <w:pPr>
        <w:tabs>
          <w:tab w:val="left" w:pos="7604"/>
        </w:tabs>
        <w:spacing w:after="0" w:line="276" w:lineRule="auto"/>
        <w:jc w:val="both"/>
        <w:rPr>
          <w:rFonts w:ascii="Times New Roman" w:hAnsi="Times New Roman" w:cs="Times New Roman"/>
        </w:rPr>
      </w:pPr>
      <w:r w:rsidRPr="00217F3F">
        <w:rPr>
          <w:rFonts w:ascii="Times New Roman" w:hAnsi="Times New Roman" w:cs="Times New Roman"/>
        </w:rPr>
        <w:t>CT26</w:t>
      </w:r>
      <w:r w:rsidRPr="00217F3F">
        <w:rPr>
          <w:rFonts w:ascii="Times New Roman" w:hAnsi="Times New Roman" w:cs="Times New Roman"/>
          <w:vertAlign w:val="superscript"/>
        </w:rPr>
        <w:t>G12C</w:t>
      </w:r>
      <w:r w:rsidRPr="00217F3F">
        <w:rPr>
          <w:rFonts w:ascii="Times New Roman" w:hAnsi="Times New Roman" w:cs="Times New Roman"/>
        </w:rPr>
        <w:t xml:space="preserve"> tumour bearing mice were dosed </w:t>
      </w:r>
      <w:r w:rsidR="001E2D70">
        <w:rPr>
          <w:rFonts w:ascii="Times New Roman" w:hAnsi="Times New Roman" w:cs="Times New Roman"/>
        </w:rPr>
        <w:t xml:space="preserve">daily </w:t>
      </w:r>
      <w:r w:rsidRPr="00217F3F">
        <w:rPr>
          <w:rFonts w:ascii="Times New Roman" w:hAnsi="Times New Roman" w:cs="Times New Roman"/>
        </w:rPr>
        <w:t xml:space="preserve">for 3 or 7 days with 100 </w:t>
      </w:r>
      <w:r w:rsidR="00C73FFA">
        <w:rPr>
          <w:rFonts w:ascii="Times New Roman" w:hAnsi="Times New Roman" w:cs="Times New Roman"/>
        </w:rPr>
        <w:t>mg/kg</w:t>
      </w:r>
      <w:r w:rsidRPr="00217F3F">
        <w:rPr>
          <w:rFonts w:ascii="Times New Roman" w:hAnsi="Times New Roman" w:cs="Times New Roman"/>
        </w:rPr>
        <w:t xml:space="preserve"> AZD4625 in monotherapy or combination with anti-mPD-1 or anti-mPD</w:t>
      </w:r>
      <w:r w:rsidR="0048474F">
        <w:rPr>
          <w:rFonts w:ascii="Times New Roman" w:hAnsi="Times New Roman" w:cs="Times New Roman"/>
        </w:rPr>
        <w:t>-</w:t>
      </w:r>
      <w:r w:rsidRPr="00217F3F">
        <w:rPr>
          <w:rFonts w:ascii="Times New Roman" w:hAnsi="Times New Roman" w:cs="Times New Roman"/>
        </w:rPr>
        <w:t>L1 dosed on day 1 and 4. Samples were collected 6 hours post-dose of AZD4625.  Expression of genes associated with (A) immune cell types and (B) immune cell function and (C) modulation of the tumour immune microenvironment. The data shown are the mean –ddct values for treatment groups normalised to house-keeping genes (</w:t>
      </w:r>
      <w:r w:rsidRPr="0048474F">
        <w:rPr>
          <w:rFonts w:ascii="Times New Roman" w:hAnsi="Times New Roman" w:cs="Times New Roman"/>
          <w:i/>
          <w:iCs/>
        </w:rPr>
        <w:t>I</w:t>
      </w:r>
      <w:r w:rsidR="0048474F" w:rsidRPr="0048474F">
        <w:rPr>
          <w:rFonts w:ascii="Times New Roman" w:hAnsi="Times New Roman" w:cs="Times New Roman"/>
          <w:i/>
          <w:iCs/>
        </w:rPr>
        <w:t>po</w:t>
      </w:r>
      <w:r w:rsidRPr="0048474F">
        <w:rPr>
          <w:rFonts w:ascii="Times New Roman" w:hAnsi="Times New Roman" w:cs="Times New Roman"/>
          <w:i/>
          <w:iCs/>
        </w:rPr>
        <w:t>8</w:t>
      </w:r>
      <w:r w:rsidRPr="00217F3F">
        <w:rPr>
          <w:rFonts w:ascii="Times New Roman" w:hAnsi="Times New Roman" w:cs="Times New Roman"/>
        </w:rPr>
        <w:t xml:space="preserve"> </w:t>
      </w:r>
      <w:r w:rsidR="00AC3D09">
        <w:rPr>
          <w:rFonts w:ascii="Times New Roman" w:hAnsi="Times New Roman" w:cs="Times New Roman"/>
        </w:rPr>
        <w:t>and</w:t>
      </w:r>
      <w:r w:rsidRPr="00217F3F">
        <w:rPr>
          <w:rFonts w:ascii="Times New Roman" w:hAnsi="Times New Roman" w:cs="Times New Roman"/>
        </w:rPr>
        <w:t xml:space="preserve"> </w:t>
      </w:r>
      <w:r w:rsidRPr="0048474F">
        <w:rPr>
          <w:rFonts w:ascii="Times New Roman" w:hAnsi="Times New Roman" w:cs="Times New Roman"/>
          <w:i/>
          <w:iCs/>
        </w:rPr>
        <w:t>P</w:t>
      </w:r>
      <w:r w:rsidR="0048474F" w:rsidRPr="0048474F">
        <w:rPr>
          <w:rFonts w:ascii="Times New Roman" w:hAnsi="Times New Roman" w:cs="Times New Roman"/>
          <w:i/>
          <w:iCs/>
        </w:rPr>
        <w:t>olr2a</w:t>
      </w:r>
      <w:r w:rsidRPr="00217F3F">
        <w:rPr>
          <w:rFonts w:ascii="Times New Roman" w:hAnsi="Times New Roman" w:cs="Times New Roman"/>
        </w:rPr>
        <w:t>) and time matched vehicle controls. Asterisks indicate significant changes compared to vehicle control with a p-value of &lt;0.05 (*), &lt;0.01 (**), &lt;0.001 (***).</w:t>
      </w:r>
    </w:p>
    <w:p w14:paraId="2542872E" w14:textId="76A73377" w:rsidR="00217F3F" w:rsidRPr="00217F3F" w:rsidRDefault="00D108AF" w:rsidP="00EE762B">
      <w:pPr>
        <w:tabs>
          <w:tab w:val="left" w:pos="7604"/>
        </w:tabs>
        <w:rPr>
          <w:rFonts w:ascii="Times New Roman" w:hAnsi="Times New Roman" w:cs="Times New Roman"/>
        </w:rPr>
      </w:pPr>
      <w:r>
        <w:rPr>
          <w:rFonts w:ascii="Times New Roman" w:hAnsi="Times New Roman" w:cs="Times New Roman"/>
          <w:noProof/>
        </w:rPr>
        <w:drawing>
          <wp:anchor distT="0" distB="0" distL="114300" distR="114300" simplePos="0" relativeHeight="251667456" behindDoc="0" locked="0" layoutInCell="1" allowOverlap="1" wp14:anchorId="581A6FC7" wp14:editId="1092BEF0">
            <wp:simplePos x="0" y="0"/>
            <wp:positionH relativeFrom="column">
              <wp:posOffset>-42545</wp:posOffset>
            </wp:positionH>
            <wp:positionV relativeFrom="paragraph">
              <wp:posOffset>543560</wp:posOffset>
            </wp:positionV>
            <wp:extent cx="9568800" cy="3790800"/>
            <wp:effectExtent l="0" t="0" r="0" b="63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68800" cy="3790800"/>
                    </a:xfrm>
                    <a:prstGeom prst="rect">
                      <a:avLst/>
                    </a:prstGeom>
                    <a:noFill/>
                  </pic:spPr>
                </pic:pic>
              </a:graphicData>
            </a:graphic>
            <wp14:sizeRelH relativeFrom="margin">
              <wp14:pctWidth>0</wp14:pctWidth>
            </wp14:sizeRelH>
            <wp14:sizeRelV relativeFrom="margin">
              <wp14:pctHeight>0</wp14:pctHeight>
            </wp14:sizeRelV>
          </wp:anchor>
        </w:drawing>
      </w:r>
    </w:p>
    <w:sectPr w:rsidR="00217F3F" w:rsidRPr="00217F3F" w:rsidSect="003D46FF">
      <w:headerReference w:type="default" r:id="rId20"/>
      <w:pgSz w:w="16838" w:h="11906" w:orient="landscape" w:code="9"/>
      <w:pgMar w:top="1418" w:right="1134" w:bottom="1134"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7E0168" w14:textId="77777777" w:rsidR="00C4253E" w:rsidRDefault="00C4253E" w:rsidP="002C135A">
      <w:pPr>
        <w:spacing w:after="0" w:line="240" w:lineRule="auto"/>
      </w:pPr>
      <w:r>
        <w:separator/>
      </w:r>
    </w:p>
  </w:endnote>
  <w:endnote w:type="continuationSeparator" w:id="0">
    <w:p w14:paraId="16374618" w14:textId="77777777" w:rsidR="00C4253E" w:rsidRDefault="00C4253E" w:rsidP="002C135A">
      <w:pPr>
        <w:spacing w:after="0" w:line="240" w:lineRule="auto"/>
      </w:pPr>
      <w:r>
        <w:continuationSeparator/>
      </w:r>
    </w:p>
  </w:endnote>
  <w:endnote w:type="continuationNotice" w:id="1">
    <w:p w14:paraId="54872B68" w14:textId="77777777" w:rsidR="00C4253E" w:rsidRDefault="00C4253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540FF0" w14:textId="77777777" w:rsidR="00C4253E" w:rsidRDefault="00C4253E" w:rsidP="002C135A">
      <w:pPr>
        <w:spacing w:after="0" w:line="240" w:lineRule="auto"/>
      </w:pPr>
      <w:r>
        <w:separator/>
      </w:r>
    </w:p>
  </w:footnote>
  <w:footnote w:type="continuationSeparator" w:id="0">
    <w:p w14:paraId="09F06F1E" w14:textId="77777777" w:rsidR="00C4253E" w:rsidRDefault="00C4253E" w:rsidP="002C135A">
      <w:pPr>
        <w:spacing w:after="0" w:line="240" w:lineRule="auto"/>
      </w:pPr>
      <w:r>
        <w:continuationSeparator/>
      </w:r>
    </w:p>
  </w:footnote>
  <w:footnote w:type="continuationNotice" w:id="1">
    <w:p w14:paraId="1E38A8C8" w14:textId="77777777" w:rsidR="00C4253E" w:rsidRDefault="00C4253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115799" w14:textId="0D6639D9" w:rsidR="002C135A" w:rsidRDefault="002C135A">
    <w:pPr>
      <w:pStyle w:val="Header"/>
    </w:pPr>
    <w:r>
      <w:t>Chakraborty, Hanson, Robinson et al</w:t>
    </w:r>
  </w:p>
  <w:p w14:paraId="1C050B5E" w14:textId="1A0ED66C" w:rsidR="002C135A" w:rsidRPr="002C135A" w:rsidRDefault="002C135A">
    <w:pPr>
      <w:pStyle w:val="Header"/>
      <w:rPr>
        <w:b/>
        <w:bCs/>
      </w:rPr>
    </w:pPr>
    <w:r>
      <w:rPr>
        <w:b/>
        <w:bCs/>
      </w:rPr>
      <w:t>Supplementary Figures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135A"/>
    <w:rsid w:val="00057DE7"/>
    <w:rsid w:val="00094AF7"/>
    <w:rsid w:val="000D00BB"/>
    <w:rsid w:val="000D21B2"/>
    <w:rsid w:val="000E019F"/>
    <w:rsid w:val="000F21E6"/>
    <w:rsid w:val="000F518D"/>
    <w:rsid w:val="001003DA"/>
    <w:rsid w:val="00112084"/>
    <w:rsid w:val="0012430C"/>
    <w:rsid w:val="0013317A"/>
    <w:rsid w:val="0015154D"/>
    <w:rsid w:val="00161651"/>
    <w:rsid w:val="001762D3"/>
    <w:rsid w:val="0018113D"/>
    <w:rsid w:val="0018302A"/>
    <w:rsid w:val="001A7C72"/>
    <w:rsid w:val="001E2D70"/>
    <w:rsid w:val="00211175"/>
    <w:rsid w:val="002169CC"/>
    <w:rsid w:val="00217130"/>
    <w:rsid w:val="00217F3F"/>
    <w:rsid w:val="0023551E"/>
    <w:rsid w:val="002370AD"/>
    <w:rsid w:val="00243397"/>
    <w:rsid w:val="002736B3"/>
    <w:rsid w:val="0028413F"/>
    <w:rsid w:val="002C135A"/>
    <w:rsid w:val="002E44EE"/>
    <w:rsid w:val="002E489B"/>
    <w:rsid w:val="002F10B7"/>
    <w:rsid w:val="00304C41"/>
    <w:rsid w:val="00384745"/>
    <w:rsid w:val="00394515"/>
    <w:rsid w:val="003C581A"/>
    <w:rsid w:val="003D46FF"/>
    <w:rsid w:val="0040577A"/>
    <w:rsid w:val="00411B24"/>
    <w:rsid w:val="0042288E"/>
    <w:rsid w:val="00456275"/>
    <w:rsid w:val="00467887"/>
    <w:rsid w:val="00482BE3"/>
    <w:rsid w:val="0048474F"/>
    <w:rsid w:val="004E5AF5"/>
    <w:rsid w:val="0051101C"/>
    <w:rsid w:val="00530F19"/>
    <w:rsid w:val="00533A96"/>
    <w:rsid w:val="00537577"/>
    <w:rsid w:val="00546A13"/>
    <w:rsid w:val="005769E3"/>
    <w:rsid w:val="005C7C12"/>
    <w:rsid w:val="005E783C"/>
    <w:rsid w:val="00643B4F"/>
    <w:rsid w:val="00682E44"/>
    <w:rsid w:val="006A182F"/>
    <w:rsid w:val="006E4DDF"/>
    <w:rsid w:val="006F505E"/>
    <w:rsid w:val="007052AB"/>
    <w:rsid w:val="00726DEF"/>
    <w:rsid w:val="007552CE"/>
    <w:rsid w:val="0078045C"/>
    <w:rsid w:val="00794AD3"/>
    <w:rsid w:val="007977FB"/>
    <w:rsid w:val="007A18E6"/>
    <w:rsid w:val="007A3170"/>
    <w:rsid w:val="007D7BAB"/>
    <w:rsid w:val="007F2B22"/>
    <w:rsid w:val="00800E5A"/>
    <w:rsid w:val="00813CC8"/>
    <w:rsid w:val="00860E4D"/>
    <w:rsid w:val="00870D8C"/>
    <w:rsid w:val="008867AF"/>
    <w:rsid w:val="008A0D23"/>
    <w:rsid w:val="008A1C7C"/>
    <w:rsid w:val="008C033E"/>
    <w:rsid w:val="008D3CA4"/>
    <w:rsid w:val="008F3665"/>
    <w:rsid w:val="00907A61"/>
    <w:rsid w:val="009167D5"/>
    <w:rsid w:val="00942D4B"/>
    <w:rsid w:val="009A0E1C"/>
    <w:rsid w:val="009B02DC"/>
    <w:rsid w:val="009D5B4F"/>
    <w:rsid w:val="00A22299"/>
    <w:rsid w:val="00A24FF6"/>
    <w:rsid w:val="00A31E3E"/>
    <w:rsid w:val="00A43051"/>
    <w:rsid w:val="00A46869"/>
    <w:rsid w:val="00A62AF8"/>
    <w:rsid w:val="00A85A34"/>
    <w:rsid w:val="00AC3D09"/>
    <w:rsid w:val="00AD59B2"/>
    <w:rsid w:val="00AF349E"/>
    <w:rsid w:val="00B10777"/>
    <w:rsid w:val="00B375FC"/>
    <w:rsid w:val="00B61A88"/>
    <w:rsid w:val="00B977BE"/>
    <w:rsid w:val="00BE77E9"/>
    <w:rsid w:val="00C07A7E"/>
    <w:rsid w:val="00C15363"/>
    <w:rsid w:val="00C15744"/>
    <w:rsid w:val="00C2038D"/>
    <w:rsid w:val="00C26B14"/>
    <w:rsid w:val="00C4253E"/>
    <w:rsid w:val="00C73855"/>
    <w:rsid w:val="00C73FFA"/>
    <w:rsid w:val="00C77062"/>
    <w:rsid w:val="00CB3EE7"/>
    <w:rsid w:val="00CE5A52"/>
    <w:rsid w:val="00CF4AC1"/>
    <w:rsid w:val="00D108AF"/>
    <w:rsid w:val="00D127FF"/>
    <w:rsid w:val="00D65FFB"/>
    <w:rsid w:val="00D87F2B"/>
    <w:rsid w:val="00DB3EBF"/>
    <w:rsid w:val="00DB752D"/>
    <w:rsid w:val="00E0142B"/>
    <w:rsid w:val="00E0678C"/>
    <w:rsid w:val="00E15D7A"/>
    <w:rsid w:val="00E32F42"/>
    <w:rsid w:val="00EB10C4"/>
    <w:rsid w:val="00EE0F9C"/>
    <w:rsid w:val="00EE762B"/>
    <w:rsid w:val="00EF1C8C"/>
    <w:rsid w:val="00F226FB"/>
    <w:rsid w:val="00F52E94"/>
    <w:rsid w:val="00F55787"/>
    <w:rsid w:val="00F70A22"/>
    <w:rsid w:val="00F80F5B"/>
    <w:rsid w:val="00F9579A"/>
    <w:rsid w:val="00FA4B99"/>
    <w:rsid w:val="00FB7547"/>
    <w:rsid w:val="00FC76B9"/>
    <w:rsid w:val="00FE07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CA6602"/>
  <w15:chartTrackingRefBased/>
  <w15:docId w15:val="{DB0B51ED-7374-4E95-BFFC-2C1C2BFAA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13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135A"/>
  </w:style>
  <w:style w:type="paragraph" w:styleId="Footer">
    <w:name w:val="footer"/>
    <w:basedOn w:val="Normal"/>
    <w:link w:val="FooterChar"/>
    <w:uiPriority w:val="99"/>
    <w:unhideWhenUsed/>
    <w:rsid w:val="002C13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13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214400">
      <w:bodyDiv w:val="1"/>
      <w:marLeft w:val="0"/>
      <w:marRight w:val="0"/>
      <w:marTop w:val="0"/>
      <w:marBottom w:val="0"/>
      <w:divBdr>
        <w:top w:val="none" w:sz="0" w:space="0" w:color="auto"/>
        <w:left w:val="none" w:sz="0" w:space="0" w:color="auto"/>
        <w:bottom w:val="none" w:sz="0" w:space="0" w:color="auto"/>
        <w:right w:val="none" w:sz="0" w:space="0" w:color="auto"/>
      </w:divBdr>
    </w:div>
    <w:div w:id="406923885">
      <w:bodyDiv w:val="1"/>
      <w:marLeft w:val="0"/>
      <w:marRight w:val="0"/>
      <w:marTop w:val="0"/>
      <w:marBottom w:val="0"/>
      <w:divBdr>
        <w:top w:val="none" w:sz="0" w:space="0" w:color="auto"/>
        <w:left w:val="none" w:sz="0" w:space="0" w:color="auto"/>
        <w:bottom w:val="none" w:sz="0" w:space="0" w:color="auto"/>
        <w:right w:val="none" w:sz="0" w:space="0" w:color="auto"/>
      </w:divBdr>
    </w:div>
    <w:div w:id="503937307">
      <w:bodyDiv w:val="1"/>
      <w:marLeft w:val="0"/>
      <w:marRight w:val="0"/>
      <w:marTop w:val="0"/>
      <w:marBottom w:val="0"/>
      <w:divBdr>
        <w:top w:val="none" w:sz="0" w:space="0" w:color="auto"/>
        <w:left w:val="none" w:sz="0" w:space="0" w:color="auto"/>
        <w:bottom w:val="none" w:sz="0" w:space="0" w:color="auto"/>
        <w:right w:val="none" w:sz="0" w:space="0" w:color="auto"/>
      </w:divBdr>
    </w:div>
    <w:div w:id="662202136">
      <w:bodyDiv w:val="1"/>
      <w:marLeft w:val="0"/>
      <w:marRight w:val="0"/>
      <w:marTop w:val="0"/>
      <w:marBottom w:val="0"/>
      <w:divBdr>
        <w:top w:val="none" w:sz="0" w:space="0" w:color="auto"/>
        <w:left w:val="none" w:sz="0" w:space="0" w:color="auto"/>
        <w:bottom w:val="none" w:sz="0" w:space="0" w:color="auto"/>
        <w:right w:val="none" w:sz="0" w:space="0" w:color="auto"/>
      </w:divBdr>
    </w:div>
    <w:div w:id="992099156">
      <w:bodyDiv w:val="1"/>
      <w:marLeft w:val="0"/>
      <w:marRight w:val="0"/>
      <w:marTop w:val="0"/>
      <w:marBottom w:val="0"/>
      <w:divBdr>
        <w:top w:val="none" w:sz="0" w:space="0" w:color="auto"/>
        <w:left w:val="none" w:sz="0" w:space="0" w:color="auto"/>
        <w:bottom w:val="none" w:sz="0" w:space="0" w:color="auto"/>
        <w:right w:val="none" w:sz="0" w:space="0" w:color="auto"/>
      </w:divBdr>
    </w:div>
    <w:div w:id="1018920951">
      <w:bodyDiv w:val="1"/>
      <w:marLeft w:val="0"/>
      <w:marRight w:val="0"/>
      <w:marTop w:val="0"/>
      <w:marBottom w:val="0"/>
      <w:divBdr>
        <w:top w:val="none" w:sz="0" w:space="0" w:color="auto"/>
        <w:left w:val="none" w:sz="0" w:space="0" w:color="auto"/>
        <w:bottom w:val="none" w:sz="0" w:space="0" w:color="auto"/>
        <w:right w:val="none" w:sz="0" w:space="0" w:color="auto"/>
      </w:divBdr>
    </w:div>
    <w:div w:id="1185561241">
      <w:bodyDiv w:val="1"/>
      <w:marLeft w:val="0"/>
      <w:marRight w:val="0"/>
      <w:marTop w:val="0"/>
      <w:marBottom w:val="0"/>
      <w:divBdr>
        <w:top w:val="none" w:sz="0" w:space="0" w:color="auto"/>
        <w:left w:val="none" w:sz="0" w:space="0" w:color="auto"/>
        <w:bottom w:val="none" w:sz="0" w:space="0" w:color="auto"/>
        <w:right w:val="none" w:sz="0" w:space="0" w:color="auto"/>
      </w:divBdr>
    </w:div>
    <w:div w:id="1493332334">
      <w:bodyDiv w:val="1"/>
      <w:marLeft w:val="0"/>
      <w:marRight w:val="0"/>
      <w:marTop w:val="0"/>
      <w:marBottom w:val="0"/>
      <w:divBdr>
        <w:top w:val="none" w:sz="0" w:space="0" w:color="auto"/>
        <w:left w:val="none" w:sz="0" w:space="0" w:color="auto"/>
        <w:bottom w:val="none" w:sz="0" w:space="0" w:color="auto"/>
        <w:right w:val="none" w:sz="0" w:space="0" w:color="auto"/>
      </w:divBdr>
    </w:div>
    <w:div w:id="1662657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Keyword xmlns="44a56295-c29e-4898-8136-a54736c65b82" xsi:nil="true"/>
    <Retention xmlns="a53bcc8c-6765-48f4-a05e-9485897ee4b3">Short (&lt; 10 years)</Retention>
    <jb1fe5a07c154fe496c5ef7af0348ce1 xmlns="b00c2015-aaf6-4827-951d-b3732742b6ff">
      <Terms xmlns="http://schemas.microsoft.com/office/infopath/2007/PartnerControls">
        <TermInfo xmlns="http://schemas.microsoft.com/office/infopath/2007/PartnerControls">
          <TermName xmlns="http://schemas.microsoft.com/office/infopath/2007/PartnerControls">A Beta 8490 NG mAb</TermName>
          <TermId xmlns="http://schemas.microsoft.com/office/infopath/2007/PartnerControls">e7f47393-1c0a-48d0-bb47-f5c89dc16785</TermId>
        </TermInfo>
      </Terms>
    </jb1fe5a07c154fe496c5ef7af0348ce1>
    <kf4359bdf8094893b38a241989df6a07 xmlns="b00c2015-aaf6-4827-951d-b3732742b6ff">
      <Terms xmlns="http://schemas.microsoft.com/office/infopath/2007/PartnerControls"/>
    </kf4359bdf8094893b38a241989df6a07>
    <Regulatory xmlns="b00c2015-aaf6-4827-951d-b3732742b6ff">false</Regulatory>
    <TaxKeywordTaxHTField xmlns="b00c2015-aaf6-4827-951d-b3732742b6ff">
      <Terms xmlns="http://schemas.microsoft.com/office/infopath/2007/PartnerControls"/>
    </TaxKeywordTaxHTField>
    <Key_x0020_Project_x0020_Info xmlns="f6f01544-d886-4d65-b340-bdb69850b523" xsi:nil="true"/>
    <Document_Group xmlns="f6f01544-d886-4d65-b340-bdb69850b523">Administration</Document_Group>
    <Discipline_Function xmlns="b00c2015-aaf6-4827-951d-b3732742b6ff">Bioscience</Discipline_Function>
    <Document_x0020_Status xmlns="b00c2015-aaf6-4827-951d-b3732742b6ff" xsi:nil="true"/>
    <TaxCatchAll xmlns="44a56295-c29e-4898-8136-a54736c65b82">
      <Value>13</Value>
    </TaxCatchAll>
    <Descriptions xmlns="44a56295-c29e-4898-8136-a54736c65b82" xsi:nil="true"/>
    <lcf76f155ced4ddcb4097134ff3c332f xmlns="3b9b3580-c3d9-4daf-9273-34c9c206cf6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8C7166FCF50F841A0BD1305FA7BA237" ma:contentTypeVersion="13" ma:contentTypeDescription="Create a new document." ma:contentTypeScope="" ma:versionID="280bbfacdbdfdb3099f880c13e9350b4">
  <xsd:schema xmlns:xsd="http://www.w3.org/2001/XMLSchema" xmlns:xs="http://www.w3.org/2001/XMLSchema" xmlns:p="http://schemas.microsoft.com/office/2006/metadata/properties" xmlns:ns2="44a56295-c29e-4898-8136-a54736c65b82" xmlns:ns3="b00c2015-aaf6-4827-951d-b3732742b6ff" xmlns:ns4="f6f01544-d886-4d65-b340-bdb69850b523" xmlns:ns5="a53bcc8c-6765-48f4-a05e-9485897ee4b3" xmlns:ns6="3b9b3580-c3d9-4daf-9273-34c9c206cf6f" targetNamespace="http://schemas.microsoft.com/office/2006/metadata/properties" ma:root="true" ma:fieldsID="8bc2197c8cac3623634672350f7e883e" ns2:_="" ns3:_="" ns4:_="" ns5:_="" ns6:_="">
    <xsd:import namespace="44a56295-c29e-4898-8136-a54736c65b82"/>
    <xsd:import namespace="b00c2015-aaf6-4827-951d-b3732742b6ff"/>
    <xsd:import namespace="f6f01544-d886-4d65-b340-bdb69850b523"/>
    <xsd:import namespace="a53bcc8c-6765-48f4-a05e-9485897ee4b3"/>
    <xsd:import namespace="3b9b3580-c3d9-4daf-9273-34c9c206cf6f"/>
    <xsd:element name="properties">
      <xsd:complexType>
        <xsd:sequence>
          <xsd:element name="documentManagement">
            <xsd:complexType>
              <xsd:all>
                <xsd:element ref="ns2:Descriptions" minOccurs="0"/>
                <xsd:element ref="ns2:Keyword" minOccurs="0"/>
                <xsd:element ref="ns3:Discipline_Function" minOccurs="0"/>
                <xsd:element ref="ns4:Document_Group" minOccurs="0"/>
                <xsd:element ref="ns3:Regulatory" minOccurs="0"/>
                <xsd:element ref="ns5:Retention" minOccurs="0"/>
                <xsd:element ref="ns4:Key_x0020_Project_x0020_Info" minOccurs="0"/>
                <xsd:element ref="ns3:Document_x0020_Status" minOccurs="0"/>
                <xsd:element ref="ns2:TaxCatchAll" minOccurs="0"/>
                <xsd:element ref="ns3:kf4359bdf8094893b38a241989df6a07" minOccurs="0"/>
                <xsd:element ref="ns3:jb1fe5a07c154fe496c5ef7af0348ce1" minOccurs="0"/>
                <xsd:element ref="ns3:TaxKeywordTaxHTField" minOccurs="0"/>
                <xsd:element ref="ns3:SharedWithUsers" minOccurs="0"/>
                <xsd:element ref="ns3:SharedWithDetails" minOccurs="0"/>
                <xsd:element ref="ns6:MediaServiceMetadata" minOccurs="0"/>
                <xsd:element ref="ns6:MediaServiceFastMetadata" minOccurs="0"/>
                <xsd:element ref="ns6:MediaServiceAutoTags" minOccurs="0"/>
                <xsd:element ref="ns6:MediaServiceOCR" minOccurs="0"/>
                <xsd:element ref="ns6:MediaServiceAutoKeyPoints" minOccurs="0"/>
                <xsd:element ref="ns6:MediaServiceKeyPoints" minOccurs="0"/>
                <xsd:element ref="ns6:MediaServiceGenerationTime" minOccurs="0"/>
                <xsd:element ref="ns6:MediaServiceEventHashCode" minOccurs="0"/>
                <xsd:element ref="ns6:MediaServiceDateTaken" minOccurs="0"/>
                <xsd:element ref="ns6:MediaLengthInSeconds" minOccurs="0"/>
                <xsd:element ref="ns6: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a56295-c29e-4898-8136-a54736c65b82" elementFormDefault="qualified">
    <xsd:import namespace="http://schemas.microsoft.com/office/2006/documentManagement/types"/>
    <xsd:import namespace="http://schemas.microsoft.com/office/infopath/2007/PartnerControls"/>
    <xsd:element name="Descriptions" ma:index="8" nillable="true" ma:displayName="Descriptions" ma:description="Describe your document to make it appear at the top of search results" ma:internalName="Descriptions">
      <xsd:simpleType>
        <xsd:restriction base="dms:Note">
          <xsd:maxLength value="255"/>
        </xsd:restriction>
      </xsd:simpleType>
    </xsd:element>
    <xsd:element name="Keyword" ma:index="9" nillable="true" ma:displayName="Keyword" ma:description="Enter list of terms separated by semi-colon(;)" ma:internalName="Keyword">
      <xsd:simpleType>
        <xsd:restriction base="dms:Text">
          <xsd:maxLength value="255"/>
        </xsd:restriction>
      </xsd:simpleType>
    </xsd:element>
    <xsd:element name="TaxCatchAll" ma:index="17" nillable="true" ma:displayName="Taxonomy Catch All Column" ma:hidden="true" ma:list="{9F1AE328-CEB4-4451-AFB1-0FBC2B860103}" ma:internalName="TaxCatchAll" ma:showField="CatchAllData" ma:web="{ee529630-6f8a-486c-831f-0d3f551e77c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00c2015-aaf6-4827-951d-b3732742b6ff" elementFormDefault="qualified">
    <xsd:import namespace="http://schemas.microsoft.com/office/2006/documentManagement/types"/>
    <xsd:import namespace="http://schemas.microsoft.com/office/infopath/2007/PartnerControls"/>
    <xsd:element name="Discipline_Function" ma:index="10" nillable="true" ma:displayName="Discipline_Function" ma:format="Dropdown" ma:internalName="Discipline_Function">
      <xsd:simpleType>
        <xsd:restriction base="dms:Choice">
          <xsd:enumeration value="AZ CMC"/>
          <xsd:enumeration value="Bioscience"/>
          <xsd:enumeration value="Business Development"/>
          <xsd:enumeration value="Clinical"/>
          <xsd:enumeration value="Discovery Sciences"/>
          <xsd:enumeration value="DMPK"/>
          <xsd:enumeration value="Drug Safety and Metabolism"/>
          <xsd:enumeration value="Intellectual Properties"/>
          <xsd:enumeration value="Medicinal Chemistry"/>
          <xsd:enumeration value="Patient Safety"/>
          <xsd:enumeration value="Personalised Healthcare and Biomarkers"/>
          <xsd:enumeration value="Project Management CPT"/>
          <xsd:enumeration value="Project Management ED"/>
          <xsd:enumeration value="Project Management GPT"/>
          <xsd:enumeration value="Publication"/>
          <xsd:enumeration value="Regulatory"/>
          <xsd:enumeration value="Translational Science"/>
        </xsd:restriction>
      </xsd:simpleType>
    </xsd:element>
    <xsd:element name="Regulatory" ma:index="12" nillable="true" ma:displayName="Regulatory" ma:default="0" ma:description="If this document in final state need to be transferred eTMF, ANGEL or other regulatory system" ma:internalName="Regulatory">
      <xsd:simpleType>
        <xsd:restriction base="dms:Boolean"/>
      </xsd:simpleType>
    </xsd:element>
    <xsd:element name="Document_x0020_Status" ma:index="16" nillable="true" ma:displayName="Document Status" ma:description="Draft - Work in progress&#10;Final - Final version, approved, no more updates&#10;Final, transferred to final storage . Transferred to another system where we store regulatory documents&#10;Superseded - This document is not valid anymore, most likely a new document has replaced as valid, approved version (kept for reference)" ma:format="Dropdown" ma:internalName="Document_x0020_Status">
      <xsd:simpleType>
        <xsd:restriction base="dms:Choice">
          <xsd:enumeration value="Draft"/>
          <xsd:enumeration value="Final"/>
          <xsd:enumeration value="Final, transferred to final storage"/>
          <xsd:enumeration value="Superseded"/>
        </xsd:restriction>
      </xsd:simpleType>
    </xsd:element>
    <xsd:element name="kf4359bdf8094893b38a241989df6a07" ma:index="18" nillable="true" ma:taxonomy="true" ma:internalName="kf4359bdf8094893b38a241989df6a07" ma:taxonomyFieldName="Document_x0020_Type" ma:displayName="Document Type" ma:default="" ma:fieldId="{4f4359bd-f809-4893-b38a-241989df6a07}" ma:sspId="1ee89e71-04cd-405e-9ca3-99e020c1694d" ma:termSetId="f86a26d3-f9bd-4459-91e7-5de88e2d4aaf" ma:anchorId="ac9846ba-4980-4f7e-852d-f964670db94c" ma:open="false" ma:isKeyword="false">
      <xsd:complexType>
        <xsd:sequence>
          <xsd:element ref="pc:Terms" minOccurs="0" maxOccurs="1"/>
        </xsd:sequence>
      </xsd:complexType>
    </xsd:element>
    <xsd:element name="jb1fe5a07c154fe496c5ef7af0348ce1" ma:index="19" nillable="true" ma:taxonomy="true" ma:internalName="jb1fe5a07c154fe496c5ef7af0348ce1" ma:taxonomyFieldName="Drug_x0020_Project" ma:displayName="Drug Project" ma:default="13;#A Beta 8490 NG mAb|e7f47393-1c0a-48d0-bb47-f5c89dc16785" ma:fieldId="{3b1fe5a0-7c15-4fe4-96c5-ef7af0348ce1}" ma:sspId="1ee89e71-04cd-405e-9ca3-99e020c1694d" ma:termSetId="f86a26d3-f9bd-4459-91e7-5de88e2d4aaf" ma:anchorId="280f8236-1db3-4f4d-a27e-55cada90a628" ma:open="false" ma:isKeyword="false">
      <xsd:complexType>
        <xsd:sequence>
          <xsd:element ref="pc:Terms" minOccurs="0" maxOccurs="1"/>
        </xsd:sequence>
      </xsd:complexType>
    </xsd:element>
    <xsd:element name="TaxKeywordTaxHTField" ma:index="20" nillable="true" ma:taxonomy="true" ma:internalName="TaxKeywordTaxHTField" ma:taxonomyFieldName="TaxKeyword" ma:displayName="Enterprise Keywords" ma:fieldId="{23f27201-bee3-471e-b2e7-b64fd8b7ca38}" ma:taxonomyMulti="true" ma:sspId="1ee89e71-04cd-405e-9ca3-99e020c1694d" ma:termSetId="00000000-0000-0000-0000-000000000000" ma:anchorId="00000000-0000-0000-0000-000000000000" ma:open="true" ma:isKeyword="true">
      <xsd:complexType>
        <xsd:sequence>
          <xsd:element ref="pc:Terms" minOccurs="0" maxOccurs="1"/>
        </xsd:sequence>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6f01544-d886-4d65-b340-bdb69850b523" elementFormDefault="qualified">
    <xsd:import namespace="http://schemas.microsoft.com/office/2006/documentManagement/types"/>
    <xsd:import namespace="http://schemas.microsoft.com/office/infopath/2007/PartnerControls"/>
    <xsd:element name="Document_Group" ma:index="11" nillable="true" ma:displayName="Document_Group" ma:default="Administration" ma:format="Dropdown" ma:internalName="Document_Group">
      <xsd:simpleType>
        <xsd:restriction base="dms:Choice">
          <xsd:enumeration value="Administration"/>
          <xsd:enumeration value="Communication &amp; Reports"/>
          <xsd:enumeration value="Governance"/>
          <xsd:enumeration value="Meetings"/>
          <xsd:enumeration value="Objectives"/>
          <xsd:enumeration value="Planning"/>
          <xsd:enumeration value="Project Execution &amp; Control"/>
          <xsd:enumeration value="Slide &amp; Image Bank"/>
          <xsd:enumeration value="Strategy"/>
          <xsd:enumeration value="Target Product Profile"/>
        </xsd:restriction>
      </xsd:simpleType>
    </xsd:element>
    <xsd:element name="Key_x0020_Project_x0020_Info" ma:index="14" nillable="true" ma:displayName="Key Project Info" ma:format="RadioButtons" ma:indexed="true" ma:internalName="Key_x0020_Project_x0020_Info">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a53bcc8c-6765-48f4-a05e-9485897ee4b3" elementFormDefault="qualified">
    <xsd:import namespace="http://schemas.microsoft.com/office/2006/documentManagement/types"/>
    <xsd:import namespace="http://schemas.microsoft.com/office/infopath/2007/PartnerControls"/>
    <xsd:element name="Retention" ma:index="13" nillable="true" ma:displayName="Retention" ma:default="Short (&lt; 10 years)" ma:format="RadioButtons" ma:internalName="Retention" ma:readOnly="false">
      <xsd:simpleType>
        <xsd:restriction base="dms:Choice">
          <xsd:enumeration value="Short (&lt; 10 years)"/>
          <xsd:enumeration value="Long (&gt; 10 years)"/>
        </xsd:restriction>
      </xsd:simpleType>
    </xsd:element>
  </xsd:schema>
  <xsd:schema xmlns:xsd="http://www.w3.org/2001/XMLSchema" xmlns:xs="http://www.w3.org/2001/XMLSchema" xmlns:dms="http://schemas.microsoft.com/office/2006/documentManagement/types" xmlns:pc="http://schemas.microsoft.com/office/infopath/2007/PartnerControls" targetNamespace="3b9b3580-c3d9-4daf-9273-34c9c206cf6f" elementFormDefault="qualified">
    <xsd:import namespace="http://schemas.microsoft.com/office/2006/documentManagement/types"/>
    <xsd:import namespace="http://schemas.microsoft.com/office/infopath/2007/PartnerControls"/>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MediaServiceAutoTags" ma:index="27" nillable="true" ma:displayName="Tags" ma:internalName="MediaServiceAutoTags" ma:readOnly="true">
      <xsd:simpleType>
        <xsd:restriction base="dms:Text"/>
      </xsd:simpleType>
    </xsd:element>
    <xsd:element name="MediaServiceOCR" ma:index="28" nillable="true" ma:displayName="Extracted Text" ma:internalName="MediaServiceOCR" ma:readOnly="true">
      <xsd:simpleType>
        <xsd:restriction base="dms:Note">
          <xsd:maxLength value="255"/>
        </xsd:restriction>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DateTaken" ma:index="33" nillable="true" ma:displayName="MediaServiceDateTaken" ma:hidden="true" ma:internalName="MediaServiceDateTaken" ma:readOnly="true">
      <xsd:simpleType>
        <xsd:restriction base="dms:Text"/>
      </xsd:simpleType>
    </xsd:element>
    <xsd:element name="MediaLengthInSeconds" ma:index="34" nillable="true" ma:displayName="MediaLengthInSeconds" ma:hidden="true"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1ee89e71-04cd-405e-9ca3-99e020c1694d"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1ee89e71-04cd-405e-9ca3-99e020c1694d" ContentTypeId="0x0101" PreviousValue="false"/>
</file>

<file path=customXml/itemProps1.xml><?xml version="1.0" encoding="utf-8"?>
<ds:datastoreItem xmlns:ds="http://schemas.openxmlformats.org/officeDocument/2006/customXml" ds:itemID="{153DB3CE-310D-40AE-BD13-A87722A379F1}">
  <ds:schemaRefs>
    <ds:schemaRef ds:uri="http://schemas.microsoft.com/sharepoint/v3/contenttype/forms"/>
  </ds:schemaRefs>
</ds:datastoreItem>
</file>

<file path=customXml/itemProps2.xml><?xml version="1.0" encoding="utf-8"?>
<ds:datastoreItem xmlns:ds="http://schemas.openxmlformats.org/officeDocument/2006/customXml" ds:itemID="{4754E0AD-C2F7-4C6B-AD32-C4EE7A462247}">
  <ds:schemaRefs>
    <ds:schemaRef ds:uri="http://schemas.microsoft.com/office/2006/metadata/properties"/>
    <ds:schemaRef ds:uri="http://schemas.microsoft.com/office/infopath/2007/PartnerControls"/>
    <ds:schemaRef ds:uri="44a56295-c29e-4898-8136-a54736c65b82"/>
    <ds:schemaRef ds:uri="a53bcc8c-6765-48f4-a05e-9485897ee4b3"/>
    <ds:schemaRef ds:uri="b00c2015-aaf6-4827-951d-b3732742b6ff"/>
    <ds:schemaRef ds:uri="f6f01544-d886-4d65-b340-bdb69850b523"/>
    <ds:schemaRef ds:uri="3b9b3580-c3d9-4daf-9273-34c9c206cf6f"/>
  </ds:schemaRefs>
</ds:datastoreItem>
</file>

<file path=customXml/itemProps3.xml><?xml version="1.0" encoding="utf-8"?>
<ds:datastoreItem xmlns:ds="http://schemas.openxmlformats.org/officeDocument/2006/customXml" ds:itemID="{8B7A4301-6ED7-4BF4-B102-4051DDEF76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a56295-c29e-4898-8136-a54736c65b82"/>
    <ds:schemaRef ds:uri="b00c2015-aaf6-4827-951d-b3732742b6ff"/>
    <ds:schemaRef ds:uri="f6f01544-d886-4d65-b340-bdb69850b523"/>
    <ds:schemaRef ds:uri="a53bcc8c-6765-48f4-a05e-9485897ee4b3"/>
    <ds:schemaRef ds:uri="3b9b3580-c3d9-4daf-9273-34c9c206cf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EB47B3D-A888-41E8-8CD1-C96CB1D44AF3}">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1043</Words>
  <Characters>5949</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 Sarah</dc:creator>
  <cp:keywords/>
  <dc:description/>
  <cp:lastModifiedBy>Ross, Sarah</cp:lastModifiedBy>
  <cp:revision>13</cp:revision>
  <cp:lastPrinted>2022-04-04T12:42:00Z</cp:lastPrinted>
  <dcterms:created xsi:type="dcterms:W3CDTF">2022-07-13T16:56:00Z</dcterms:created>
  <dcterms:modified xsi:type="dcterms:W3CDTF">2022-08-01T07:38:00Z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0x010100D8C7166FCF50F841A0BD1305FA7BA237</vt:lpwstr>
  </property>
  <property fmtid="{D5CDD505-2E9C-101B-9397-08002B2CF9AE}" pid="3" name="TaxKeyword">
    <vt:lpwstr/>
  </property>
  <property fmtid="{D5CDD505-2E9C-101B-9397-08002B2CF9AE}" pid="4" name="Drug Project">
    <vt:lpwstr>13;#A Beta 8490 NG mAb|e7f47393-1c0a-48d0-bb47-f5c89dc16785</vt:lpwstr>
  </property>
  <property fmtid="{D5CDD505-2E9C-101B-9397-08002B2CF9AE}" pid="5" name="Document Type">
    <vt:lpwstr/>
  </property>
  <property fmtid="{D5CDD505-2E9C-101B-9397-08002B2CF9AE}" pid="6" name="MediaServiceImageTags">
    <vt:lpwstr/>
  </property>
</Properties>
</file>