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8EC67" w14:textId="77777777" w:rsidR="00A1075E" w:rsidRDefault="00A1075E" w:rsidP="00A1075E">
      <w:pPr>
        <w:rPr>
          <w:rFonts w:ascii="Times New Roman" w:hAnsi="Times New Roman"/>
          <w:b/>
          <w:bCs/>
        </w:rPr>
      </w:pPr>
      <w:r w:rsidRPr="00B807E6">
        <w:rPr>
          <w:rFonts w:ascii="Times New Roman" w:hAnsi="Times New Roman"/>
          <w:b/>
          <w:bCs/>
        </w:rPr>
        <w:t>Supplementary Methods</w:t>
      </w:r>
    </w:p>
    <w:p w14:paraId="00B1EC29" w14:textId="77777777" w:rsidR="00A1075E" w:rsidRDefault="00A1075E" w:rsidP="00A1075E">
      <w:pPr>
        <w:rPr>
          <w:rFonts w:ascii="Times New Roman" w:hAnsi="Times New Roman"/>
          <w:b/>
          <w:bCs/>
        </w:rPr>
      </w:pPr>
    </w:p>
    <w:p w14:paraId="44BD91F9" w14:textId="4D85381E" w:rsidR="00A1075E" w:rsidRPr="00032F86" w:rsidRDefault="00A1075E" w:rsidP="00A1075E">
      <w:pPr>
        <w:suppressAutoHyphens/>
        <w:rPr>
          <w:rFonts w:ascii="Times New Roman" w:eastAsia="Arial Unicode MS" w:hAnsi="Times New Roman" w:cs="Calibri"/>
          <w:i/>
          <w:color w:val="000000"/>
          <w:kern w:val="1"/>
          <w:lang w:eastAsia="ar-SA"/>
        </w:rPr>
      </w:pPr>
      <w:r w:rsidRPr="00032F86">
        <w:rPr>
          <w:rFonts w:ascii="Times New Roman" w:eastAsia="Arial Unicode MS" w:hAnsi="Times New Roman" w:cs="Calibri"/>
          <w:i/>
          <w:color w:val="000000"/>
          <w:kern w:val="1"/>
          <w:lang w:eastAsia="ar-SA"/>
        </w:rPr>
        <w:t>Cell viability assays:</w:t>
      </w:r>
    </w:p>
    <w:p w14:paraId="2C0FE555" w14:textId="77777777" w:rsidR="00BD2A6B" w:rsidRDefault="00A1075E" w:rsidP="00A1075E">
      <w:pPr>
        <w:pStyle w:val="Heading1"/>
        <w:spacing w:line="240" w:lineRule="auto"/>
        <w:jc w:val="left"/>
        <w:rPr>
          <w:rFonts w:eastAsia="Arial Unicode MS" w:cs="Calibri"/>
          <w:b w:val="0"/>
          <w:bCs/>
          <w:color w:val="000000"/>
          <w:kern w:val="1"/>
          <w:lang w:eastAsia="ar-SA"/>
        </w:rPr>
      </w:pPr>
      <w:r w:rsidRPr="00032F86">
        <w:rPr>
          <w:rFonts w:eastAsia="Arial Unicode MS" w:cs="Calibri"/>
          <w:b w:val="0"/>
          <w:bCs/>
          <w:color w:val="000000"/>
          <w:kern w:val="1"/>
          <w:lang w:eastAsia="ar-SA"/>
        </w:rPr>
        <w:t xml:space="preserve">For viability assays, cells were plated in tissue culture-treated </w:t>
      </w:r>
      <w:proofErr w:type="spellStart"/>
      <w:r w:rsidRPr="00032F86">
        <w:rPr>
          <w:rFonts w:eastAsia="Arial Unicode MS" w:cs="Calibri"/>
          <w:b w:val="0"/>
          <w:bCs/>
          <w:color w:val="000000"/>
          <w:kern w:val="1"/>
          <w:lang w:eastAsia="ar-SA"/>
        </w:rPr>
        <w:t>multiwell</w:t>
      </w:r>
      <w:proofErr w:type="spellEnd"/>
      <w:r w:rsidRPr="00032F86">
        <w:rPr>
          <w:rFonts w:eastAsia="Arial Unicode MS" w:cs="Calibri"/>
          <w:b w:val="0"/>
          <w:bCs/>
          <w:color w:val="000000"/>
          <w:kern w:val="1"/>
          <w:lang w:eastAsia="ar-SA"/>
        </w:rPr>
        <w:t xml:space="preserve"> plates (TPP, </w:t>
      </w:r>
      <w:proofErr w:type="spellStart"/>
      <w:r w:rsidRPr="00032F86">
        <w:rPr>
          <w:rFonts w:eastAsia="Arial Unicode MS" w:cs="Calibri"/>
          <w:b w:val="0"/>
          <w:bCs/>
          <w:color w:val="000000"/>
          <w:kern w:val="1"/>
          <w:lang w:eastAsia="ar-SA"/>
        </w:rPr>
        <w:t>Trasadingen</w:t>
      </w:r>
      <w:proofErr w:type="spellEnd"/>
      <w:r w:rsidRPr="00032F86">
        <w:rPr>
          <w:rFonts w:eastAsia="Arial Unicode MS" w:cs="Calibri"/>
          <w:b w:val="0"/>
          <w:bCs/>
          <w:color w:val="000000"/>
          <w:kern w:val="1"/>
          <w:lang w:eastAsia="ar-SA"/>
        </w:rPr>
        <w:t xml:space="preserve">, Switzerland), left to adhere for 16-24h, treated with serial dilutions of docetaxel, and analyzed at </w:t>
      </w:r>
      <w:r>
        <w:rPr>
          <w:rFonts w:eastAsia="Arial Unicode MS" w:cs="Calibri"/>
          <w:b w:val="0"/>
          <w:bCs/>
          <w:color w:val="000000"/>
          <w:kern w:val="1"/>
          <w:lang w:eastAsia="ar-SA"/>
        </w:rPr>
        <w:t>indicated time point</w:t>
      </w:r>
      <w:r w:rsidRPr="00032F86">
        <w:rPr>
          <w:rFonts w:eastAsia="Arial Unicode MS" w:cs="Calibri"/>
          <w:b w:val="0"/>
          <w:bCs/>
          <w:color w:val="000000"/>
          <w:kern w:val="1"/>
          <w:lang w:eastAsia="ar-SA"/>
        </w:rPr>
        <w:t xml:space="preserve"> for viability by MTT as previously described</w:t>
      </w:r>
      <w:r w:rsidRPr="00B807E6">
        <w:t xml:space="preserve"> </w:t>
      </w:r>
      <w:r>
        <w:rPr>
          <w:b w:val="0"/>
        </w:rPr>
        <w:fldChar w:fldCharType="begin"/>
      </w:r>
      <w:r>
        <w:rPr>
          <w:b w:val="0"/>
        </w:rPr>
        <w:instrText>ADDIN BEC[Xiang et al., 2015, #97840]</w:instrText>
      </w:r>
      <w:r>
        <w:rPr>
          <w:b w:val="0"/>
        </w:rPr>
        <w:fldChar w:fldCharType="separate"/>
      </w:r>
      <w:r>
        <w:rPr>
          <w:b w:val="0"/>
        </w:rPr>
        <w:t>(1)</w:t>
      </w:r>
      <w:r>
        <w:rPr>
          <w:b w:val="0"/>
        </w:rPr>
        <w:fldChar w:fldCharType="end"/>
      </w:r>
      <w:r w:rsidRPr="00032F86">
        <w:rPr>
          <w:rFonts w:eastAsia="Arial Unicode MS" w:cs="Calibri"/>
          <w:b w:val="0"/>
          <w:bCs/>
          <w:color w:val="000000"/>
          <w:kern w:val="1"/>
          <w:lang w:eastAsia="ar-SA"/>
        </w:rPr>
        <w:t xml:space="preserve">. Optical density for 570 and 630 was read with either a </w:t>
      </w:r>
      <w:proofErr w:type="spellStart"/>
      <w:r w:rsidRPr="00032F86">
        <w:rPr>
          <w:rFonts w:eastAsia="Arial Unicode MS" w:cs="Calibri"/>
          <w:b w:val="0"/>
          <w:bCs/>
          <w:color w:val="000000"/>
          <w:kern w:val="1"/>
          <w:lang w:eastAsia="ar-SA"/>
        </w:rPr>
        <w:t>SpectraMax</w:t>
      </w:r>
      <w:proofErr w:type="spellEnd"/>
      <w:r w:rsidRPr="00032F86">
        <w:rPr>
          <w:rFonts w:eastAsia="Arial Unicode MS" w:cs="Calibri"/>
          <w:b w:val="0"/>
          <w:bCs/>
          <w:color w:val="000000"/>
          <w:kern w:val="1"/>
          <w:lang w:eastAsia="ar-SA"/>
        </w:rPr>
        <w:t xml:space="preserve"> M5e plate reader (Molecular Devices, Sunnyvale, CA) or a Synergy HT plate reader (</w:t>
      </w:r>
      <w:proofErr w:type="spellStart"/>
      <w:r w:rsidRPr="00032F86">
        <w:rPr>
          <w:rFonts w:eastAsia="Arial Unicode MS" w:cs="Calibri"/>
          <w:b w:val="0"/>
          <w:bCs/>
          <w:color w:val="000000"/>
          <w:kern w:val="1"/>
          <w:lang w:eastAsia="ar-SA"/>
        </w:rPr>
        <w:t>BioTek</w:t>
      </w:r>
      <w:proofErr w:type="spellEnd"/>
      <w:r w:rsidRPr="00032F86">
        <w:rPr>
          <w:rFonts w:eastAsia="Arial Unicode MS" w:cs="Calibri"/>
          <w:b w:val="0"/>
          <w:bCs/>
          <w:color w:val="000000"/>
          <w:kern w:val="1"/>
          <w:lang w:eastAsia="ar-SA"/>
        </w:rPr>
        <w:t>/Agilent)</w:t>
      </w:r>
      <w:r>
        <w:rPr>
          <w:rFonts w:eastAsia="Arial Unicode MS" w:cs="Calibri"/>
          <w:b w:val="0"/>
          <w:bCs/>
          <w:color w:val="000000"/>
          <w:kern w:val="1"/>
          <w:lang w:eastAsia="ar-SA"/>
        </w:rPr>
        <w:t>,</w:t>
      </w:r>
      <w:r w:rsidRPr="00032F86">
        <w:rPr>
          <w:rFonts w:eastAsia="Arial Unicode MS" w:cs="Calibri"/>
          <w:b w:val="0"/>
          <w:bCs/>
          <w:color w:val="000000"/>
          <w:kern w:val="1"/>
          <w:lang w:eastAsia="ar-SA"/>
        </w:rPr>
        <w:t xml:space="preserve"> and the OD570-630 of each technical replicate was divided by the average of untreated samples of the same line to obtain % viability. Where indicated, logIC50 was statistically determined using </w:t>
      </w:r>
      <w:r w:rsidRPr="00032F86">
        <w:rPr>
          <w:b w:val="0"/>
          <w:bCs/>
        </w:rPr>
        <w:t>nonlinear fit by least squares regression (four parameter, variable slope) in Prism 8.</w:t>
      </w:r>
      <w:r w:rsidRPr="00032F86">
        <w:rPr>
          <w:rFonts w:eastAsia="Arial Unicode MS" w:cs="Calibri"/>
          <w:b w:val="0"/>
          <w:bCs/>
          <w:color w:val="000000"/>
          <w:kern w:val="1"/>
          <w:lang w:eastAsia="ar-SA"/>
        </w:rPr>
        <w:t xml:space="preserve"> </w:t>
      </w:r>
    </w:p>
    <w:p w14:paraId="0A4BFD6E" w14:textId="77777777" w:rsidR="00A1075E" w:rsidRPr="00032F86" w:rsidRDefault="00A1075E" w:rsidP="00A1075E">
      <w:pPr>
        <w:suppressAutoHyphens/>
        <w:rPr>
          <w:rFonts w:ascii="Times New Roman" w:hAnsi="Times New Roman"/>
          <w:i/>
          <w:iCs/>
        </w:rPr>
      </w:pPr>
    </w:p>
    <w:p w14:paraId="20461F2F" w14:textId="77777777" w:rsidR="00A1075E" w:rsidRPr="00032F86" w:rsidRDefault="00A1075E" w:rsidP="00A1075E">
      <w:pPr>
        <w:suppressAutoHyphens/>
        <w:rPr>
          <w:rFonts w:ascii="Times New Roman" w:hAnsi="Times New Roman"/>
        </w:rPr>
      </w:pPr>
      <w:r w:rsidRPr="00032F86">
        <w:rPr>
          <w:rFonts w:ascii="Times New Roman" w:hAnsi="Times New Roman"/>
          <w:i/>
          <w:iCs/>
        </w:rPr>
        <w:t>Murine bone marrow stromal cell co-culture</w:t>
      </w:r>
    </w:p>
    <w:p w14:paraId="3D2706B8" w14:textId="65E29457" w:rsidR="00A1075E" w:rsidRPr="00032F86" w:rsidRDefault="00A1075E" w:rsidP="00A1075E">
      <w:pPr>
        <w:pStyle w:val="Heading1"/>
        <w:spacing w:line="240" w:lineRule="auto"/>
        <w:jc w:val="left"/>
        <w:rPr>
          <w:rFonts w:eastAsia="Arial Unicode MS" w:cs="Calibri"/>
          <w:b w:val="0"/>
          <w:color w:val="000000"/>
          <w:kern w:val="1"/>
          <w:lang w:eastAsia="ar-SA"/>
        </w:rPr>
      </w:pPr>
      <w:r w:rsidRPr="00032F86">
        <w:rPr>
          <w:b w:val="0"/>
        </w:rPr>
        <w:t>For co-culture assays, murine</w:t>
      </w:r>
      <w:r w:rsidR="00BD2A6B">
        <w:rPr>
          <w:b w:val="0"/>
        </w:rPr>
        <w:t xml:space="preserve"> primary</w:t>
      </w:r>
      <w:r w:rsidRPr="00032F86">
        <w:rPr>
          <w:b w:val="0"/>
        </w:rPr>
        <w:t xml:space="preserve"> bone marrow stromal cells (BMSCs) were harvested from pelvic or leg bones and cultured as previously described</w:t>
      </w:r>
      <w:r w:rsidRPr="00B807E6">
        <w:t xml:space="preserve"> </w:t>
      </w:r>
      <w:r>
        <w:rPr>
          <w:b w:val="0"/>
        </w:rPr>
        <w:fldChar w:fldCharType="begin"/>
      </w:r>
      <w:r>
        <w:rPr>
          <w:b w:val="0"/>
        </w:rPr>
        <w:instrText>ADDIN BEC[Fontana et al., 2017, #35090]</w:instrText>
      </w:r>
      <w:r>
        <w:rPr>
          <w:b w:val="0"/>
        </w:rPr>
        <w:fldChar w:fldCharType="separate"/>
      </w:r>
      <w:r>
        <w:rPr>
          <w:b w:val="0"/>
        </w:rPr>
        <w:t>(2)</w:t>
      </w:r>
      <w:r>
        <w:rPr>
          <w:b w:val="0"/>
        </w:rPr>
        <w:fldChar w:fldCharType="end"/>
      </w:r>
      <w:r w:rsidRPr="00032F86">
        <w:rPr>
          <w:b w:val="0"/>
        </w:rPr>
        <w:t xml:space="preserve">. </w:t>
      </w:r>
      <w:r w:rsidRPr="00032F86">
        <w:rPr>
          <w:rFonts w:eastAsia="Arial Unicode MS" w:cs="Calibri"/>
          <w:b w:val="0"/>
          <w:color w:val="000000"/>
          <w:kern w:val="1"/>
          <w:lang w:eastAsia="ar-SA"/>
        </w:rPr>
        <w:t>Breast cancer cells (0.5-1x10</w:t>
      </w:r>
      <w:r w:rsidRPr="00032F86">
        <w:rPr>
          <w:rFonts w:eastAsia="Arial Unicode MS" w:cs="Calibri"/>
          <w:b w:val="0"/>
          <w:color w:val="000000"/>
          <w:kern w:val="1"/>
          <w:vertAlign w:val="superscript"/>
          <w:lang w:eastAsia="ar-SA"/>
        </w:rPr>
        <w:t>4</w:t>
      </w:r>
      <w:r w:rsidRPr="00032F86">
        <w:rPr>
          <w:rFonts w:eastAsia="Arial Unicode MS" w:cs="Calibri"/>
          <w:b w:val="0"/>
          <w:color w:val="000000"/>
          <w:kern w:val="1"/>
          <w:lang w:eastAsia="ar-SA"/>
        </w:rPr>
        <w:t>/well) were parachuted on</w:t>
      </w:r>
      <w:r w:rsidR="00BD2A6B">
        <w:rPr>
          <w:rFonts w:eastAsia="Arial Unicode MS" w:cs="Calibri"/>
          <w:b w:val="0"/>
          <w:color w:val="000000"/>
          <w:kern w:val="1"/>
          <w:lang w:eastAsia="ar-SA"/>
        </w:rPr>
        <w:t>to</w:t>
      </w:r>
      <w:r w:rsidRPr="00032F86">
        <w:rPr>
          <w:rFonts w:eastAsia="Arial Unicode MS" w:cs="Calibri"/>
          <w:b w:val="0"/>
          <w:color w:val="000000"/>
          <w:kern w:val="1"/>
          <w:lang w:eastAsia="ar-SA"/>
        </w:rPr>
        <w:t xml:space="preserve"> confluent BMSC in 96</w:t>
      </w:r>
      <w:r>
        <w:rPr>
          <w:rFonts w:eastAsia="Arial Unicode MS" w:cs="Calibri"/>
          <w:b w:val="0"/>
          <w:color w:val="000000"/>
          <w:kern w:val="1"/>
          <w:lang w:eastAsia="ar-SA"/>
        </w:rPr>
        <w:t>-</w:t>
      </w:r>
      <w:r w:rsidRPr="00032F86">
        <w:rPr>
          <w:rFonts w:eastAsia="Arial Unicode MS" w:cs="Calibri"/>
          <w:b w:val="0"/>
          <w:color w:val="000000"/>
          <w:kern w:val="1"/>
          <w:lang w:eastAsia="ar-SA"/>
        </w:rPr>
        <w:t>w</w:t>
      </w:r>
      <w:r>
        <w:rPr>
          <w:rFonts w:eastAsia="Arial Unicode MS" w:cs="Calibri"/>
          <w:b w:val="0"/>
          <w:color w:val="000000"/>
          <w:kern w:val="1"/>
          <w:lang w:eastAsia="ar-SA"/>
        </w:rPr>
        <w:t>ell</w:t>
      </w:r>
      <w:r w:rsidRPr="00032F86">
        <w:rPr>
          <w:rFonts w:eastAsia="Arial Unicode MS" w:cs="Calibri"/>
          <w:b w:val="0"/>
          <w:color w:val="000000"/>
          <w:kern w:val="1"/>
          <w:lang w:eastAsia="ar-SA"/>
        </w:rPr>
        <w:t xml:space="preserve"> tissue culture-treated plates (TPP) and left to adhere overnight. Co-cultures were then treated with serial dilution of docetaxel (0.8 </w:t>
      </w:r>
      <w:proofErr w:type="spellStart"/>
      <w:r w:rsidRPr="00032F86">
        <w:rPr>
          <w:rFonts w:eastAsia="Arial Unicode MS" w:cs="Calibri"/>
          <w:b w:val="0"/>
          <w:color w:val="000000"/>
          <w:kern w:val="1"/>
          <w:lang w:eastAsia="ar-SA"/>
        </w:rPr>
        <w:t>nM</w:t>
      </w:r>
      <w:proofErr w:type="spellEnd"/>
      <w:r w:rsidRPr="00032F86">
        <w:rPr>
          <w:rFonts w:eastAsia="Arial Unicode MS" w:cs="Calibri"/>
          <w:b w:val="0"/>
          <w:color w:val="000000"/>
          <w:kern w:val="1"/>
          <w:lang w:eastAsia="ar-SA"/>
        </w:rPr>
        <w:t xml:space="preserve"> to 1</w:t>
      </w:r>
      <w:r w:rsidRPr="00032F86">
        <w:rPr>
          <w:rFonts w:eastAsia="Arial Unicode MS" w:cs="Calibri"/>
          <w:b w:val="0"/>
          <w:color w:val="000000"/>
          <w:kern w:val="1"/>
          <w:lang w:eastAsia="ar-SA"/>
        </w:rPr>
        <w:sym w:font="Symbol" w:char="F06D"/>
      </w:r>
      <w:r w:rsidRPr="00032F86">
        <w:rPr>
          <w:rFonts w:eastAsia="Arial Unicode MS" w:cs="Calibri"/>
          <w:b w:val="0"/>
          <w:color w:val="000000"/>
          <w:kern w:val="1"/>
          <w:lang w:eastAsia="ar-SA"/>
        </w:rPr>
        <w:t xml:space="preserve">M in media) and analyzed by MTT after 72h. </w:t>
      </w:r>
      <w:r w:rsidRPr="00B807E6">
        <w:rPr>
          <w:rFonts w:eastAsia="Arial Unicode MS" w:cs="Calibri"/>
          <w:b w:val="0"/>
          <w:iCs/>
          <w:color w:val="000000"/>
          <w:kern w:val="1"/>
          <w:lang w:eastAsia="ar-SA"/>
        </w:rPr>
        <w:t>BMSC alone showed no reduction of formazan fixation at the doses in use, so OD750-630 was normalized by cell line as described</w:t>
      </w:r>
      <w:r>
        <w:rPr>
          <w:rFonts w:eastAsia="Arial Unicode MS" w:cs="Calibri"/>
          <w:b w:val="0"/>
          <w:color w:val="000000"/>
          <w:kern w:val="1"/>
          <w:lang w:eastAsia="ar-SA"/>
        </w:rPr>
        <w:t>.</w:t>
      </w:r>
      <w:r w:rsidRPr="00032F86">
        <w:rPr>
          <w:rFonts w:eastAsia="Arial Unicode MS" w:cs="Calibri"/>
          <w:b w:val="0"/>
          <w:color w:val="000000"/>
          <w:kern w:val="1"/>
          <w:lang w:eastAsia="ar-SA"/>
        </w:rPr>
        <w:t xml:space="preserve"> </w:t>
      </w:r>
    </w:p>
    <w:p w14:paraId="1D39A6F9" w14:textId="77777777" w:rsidR="00A1075E" w:rsidRDefault="00A1075E" w:rsidP="00A1075E">
      <w:pPr>
        <w:suppressAutoHyphens/>
        <w:rPr>
          <w:rFonts w:ascii="Times New Roman" w:hAnsi="Times New Roman"/>
          <w:i/>
          <w:iCs/>
        </w:rPr>
      </w:pPr>
    </w:p>
    <w:p w14:paraId="47C76809" w14:textId="77777777" w:rsidR="00A1075E" w:rsidRPr="00032F86" w:rsidRDefault="00A1075E" w:rsidP="00A1075E">
      <w:pPr>
        <w:suppressAutoHyphens/>
        <w:rPr>
          <w:rFonts w:ascii="Times New Roman" w:hAnsi="Times New Roman"/>
        </w:rPr>
      </w:pPr>
      <w:r w:rsidRPr="00032F86">
        <w:rPr>
          <w:rFonts w:ascii="Times New Roman" w:hAnsi="Times New Roman"/>
          <w:i/>
          <w:iCs/>
        </w:rPr>
        <w:t>Galuminox imaging of radical oxygen species</w:t>
      </w:r>
    </w:p>
    <w:p w14:paraId="47EF0958" w14:textId="4061A9D8" w:rsidR="00A1075E" w:rsidRPr="00032F86" w:rsidRDefault="00A1075E" w:rsidP="00A1075E">
      <w:pPr>
        <w:suppressAutoHyphens/>
        <w:rPr>
          <w:rFonts w:ascii="Times New Roman" w:hAnsi="Times New Roman"/>
        </w:rPr>
      </w:pPr>
      <w:r w:rsidRPr="00032F86">
        <w:rPr>
          <w:rFonts w:ascii="Times New Roman" w:hAnsi="Times New Roman"/>
        </w:rPr>
        <w:t xml:space="preserve">Live cell fluorescence imaging studies were performed at Washington University Center for Cellular Imaging (WUCCI). For imaging studies, β3WT and β3KO 4T1 cells were plated onto borosilicate 8-well chambered </w:t>
      </w:r>
      <w:proofErr w:type="spellStart"/>
      <w:r w:rsidRPr="00032F86">
        <w:rPr>
          <w:rFonts w:ascii="Times New Roman" w:hAnsi="Times New Roman"/>
        </w:rPr>
        <w:t>coverglass</w:t>
      </w:r>
      <w:proofErr w:type="spellEnd"/>
      <w:r w:rsidRPr="00032F86">
        <w:rPr>
          <w:rFonts w:ascii="Times New Roman" w:hAnsi="Times New Roman"/>
        </w:rPr>
        <w:t xml:space="preserve"> (</w:t>
      </w:r>
      <w:proofErr w:type="spellStart"/>
      <w:r w:rsidRPr="00032F86">
        <w:rPr>
          <w:rFonts w:ascii="Times New Roman" w:hAnsi="Times New Roman"/>
        </w:rPr>
        <w:t>Labtek</w:t>
      </w:r>
      <w:proofErr w:type="spellEnd"/>
      <w:r w:rsidRPr="00032F86">
        <w:rPr>
          <w:rFonts w:ascii="Times New Roman" w:hAnsi="Times New Roman"/>
        </w:rPr>
        <w:t>), allowed to grow to approximately 50% confluence at 37°C under 5% CO2 atmosphere in culture media (200μL),</w:t>
      </w:r>
      <w:r>
        <w:rPr>
          <w:rFonts w:ascii="Times New Roman" w:hAnsi="Times New Roman"/>
        </w:rPr>
        <w:t xml:space="preserve"> </w:t>
      </w:r>
      <w:r w:rsidRPr="00032F86">
        <w:rPr>
          <w:rFonts w:ascii="Times New Roman" w:hAnsi="Times New Roman"/>
        </w:rPr>
        <w:t>and treated with DTX (10nM) for 24h. Following DTX treatments, all wells were rinsed with fresh media. For evaluating impact of ROS, cells were incubated either with Galuminox (20μM), a mitochondrial ROS sensitive metalloprobe</w:t>
      </w:r>
      <w:r w:rsidRPr="00B807E6">
        <w:t xml:space="preserve"> </w:t>
      </w:r>
      <w:r>
        <w:fldChar w:fldCharType="begin"/>
      </w:r>
      <w:r>
        <w:instrText>ADDIN BEC[Sivapackiam et al., 2020, #12949]</w:instrText>
      </w:r>
      <w:r>
        <w:fldChar w:fldCharType="separate"/>
      </w:r>
      <w:r>
        <w:t>(3)</w:t>
      </w:r>
      <w:r>
        <w:fldChar w:fldCharType="end"/>
      </w:r>
      <w:r>
        <w:rPr>
          <w:rFonts w:ascii="Times New Roman" w:hAnsi="Times New Roman"/>
        </w:rPr>
        <w:t>,</w:t>
      </w:r>
      <w:r w:rsidRPr="00032F86">
        <w:rPr>
          <w:rFonts w:ascii="Times New Roman" w:hAnsi="Times New Roman"/>
        </w:rPr>
        <w:t xml:space="preserve"> or media alone at 37°C for 1h under continuous influx of 5% CO2. After 1h, cellular accumulation studies were performed </w:t>
      </w:r>
      <w:r>
        <w:rPr>
          <w:rFonts w:ascii="Times New Roman" w:hAnsi="Times New Roman"/>
        </w:rPr>
        <w:t>with</w:t>
      </w:r>
      <w:r w:rsidRPr="00032F86">
        <w:rPr>
          <w:rFonts w:ascii="Times New Roman" w:hAnsi="Times New Roman"/>
        </w:rPr>
        <w:t xml:space="preserve"> an inverted Nikon A1Rsi laser scanning confocal microscope using a 60</w:t>
      </w:r>
      <w:r>
        <w:rPr>
          <w:rFonts w:ascii="Times New Roman" w:hAnsi="Times New Roman"/>
        </w:rPr>
        <w:t>x</w:t>
      </w:r>
      <w:r w:rsidRPr="00032F86">
        <w:rPr>
          <w:rFonts w:ascii="Times New Roman" w:hAnsi="Times New Roman"/>
        </w:rPr>
        <w:t xml:space="preserve"> oil objective lens (Nikon Instruments Inc., NY, USA)</w:t>
      </w:r>
      <w:r>
        <w:rPr>
          <w:rFonts w:ascii="Times New Roman" w:hAnsi="Times New Roman"/>
        </w:rPr>
        <w:t>.</w:t>
      </w:r>
      <w:r w:rsidRPr="00032F86">
        <w:rPr>
          <w:rFonts w:ascii="Times New Roman" w:hAnsi="Times New Roman"/>
        </w:rPr>
        <w:t xml:space="preserve"> 405 nm lasers w</w:t>
      </w:r>
      <w:r>
        <w:rPr>
          <w:rFonts w:ascii="Times New Roman" w:hAnsi="Times New Roman"/>
        </w:rPr>
        <w:t>ere</w:t>
      </w:r>
      <w:r w:rsidRPr="00032F86">
        <w:rPr>
          <w:rFonts w:ascii="Times New Roman" w:hAnsi="Times New Roman"/>
        </w:rPr>
        <w:t xml:space="preserve"> used for the detection of Galuminox. Throughout the data acquisition process, cells were maintained at 37 °C with 5% CO2, controlled by a Tokai Hit stage-top incubation system (Shizuoka, Japan). Acquisition was performed using Nikon NIS-Elements software (Nikon Instruments Inc., NY, USA.). Images were processed and analyzed using the ImageJ software package (NIH</w:t>
      </w:r>
      <w:r>
        <w:rPr>
          <w:rFonts w:ascii="Times New Roman" w:hAnsi="Times New Roman"/>
        </w:rPr>
        <w:t xml:space="preserve">, Bethesda, Maryland; </w:t>
      </w:r>
      <w:r w:rsidRPr="00053157">
        <w:rPr>
          <w:rFonts w:ascii="Times New Roman" w:hAnsi="Times New Roman"/>
        </w:rPr>
        <w:t>RRID:SCR_003070</w:t>
      </w:r>
      <w:r w:rsidRPr="00032F86">
        <w:rPr>
          <w:rFonts w:ascii="Times New Roman" w:hAnsi="Times New Roman"/>
        </w:rPr>
        <w:t xml:space="preserve">). Regions of </w:t>
      </w:r>
      <w:r>
        <w:rPr>
          <w:rFonts w:ascii="Times New Roman" w:hAnsi="Times New Roman"/>
        </w:rPr>
        <w:t>i</w:t>
      </w:r>
      <w:r w:rsidRPr="00032F86">
        <w:rPr>
          <w:rFonts w:ascii="Times New Roman" w:hAnsi="Times New Roman"/>
        </w:rPr>
        <w:t>nterest were manually drawn around cells, the uptake of Galuminox was quantified (wherein corrected total cellular fluorescence (CTCF) = integrated density–(area of selected cell × mean fluorescence of background readings)</w:t>
      </w:r>
      <w:r>
        <w:rPr>
          <w:rFonts w:ascii="Times New Roman" w:hAnsi="Times New Roman"/>
        </w:rPr>
        <w:t>)</w:t>
      </w:r>
      <w:r w:rsidRPr="00032F86">
        <w:rPr>
          <w:rFonts w:ascii="Times New Roman" w:hAnsi="Times New Roman"/>
        </w:rPr>
        <w:t xml:space="preserve"> using protocols described elsewhere</w:t>
      </w:r>
      <w:r>
        <w:rPr>
          <w:rFonts w:ascii="Times New Roman" w:hAnsi="Times New Roman"/>
        </w:rPr>
        <w:t xml:space="preserve"> </w:t>
      </w:r>
      <w:r>
        <w:fldChar w:fldCharType="begin"/>
      </w:r>
      <w:r>
        <w:instrText>ADDIN BEC[Jakic et al., 2017, #38492][Sivapackiam et al., 2019, #36300]</w:instrText>
      </w:r>
      <w:r>
        <w:fldChar w:fldCharType="separate"/>
      </w:r>
      <w:r>
        <w:t>(4, 5)</w:t>
      </w:r>
      <w:r>
        <w:fldChar w:fldCharType="end"/>
      </w:r>
      <w:r>
        <w:rPr>
          <w:rFonts w:ascii="Times New Roman" w:hAnsi="Times New Roman"/>
        </w:rPr>
        <w:t>.</w:t>
      </w:r>
    </w:p>
    <w:p w14:paraId="7E576CD0" w14:textId="77777777" w:rsidR="00A1075E" w:rsidRPr="00032F86" w:rsidRDefault="00A1075E" w:rsidP="00A1075E">
      <w:pPr>
        <w:pStyle w:val="Heading1"/>
        <w:spacing w:line="240" w:lineRule="auto"/>
        <w:jc w:val="left"/>
        <w:rPr>
          <w:b w:val="0"/>
          <w:bCs/>
        </w:rPr>
      </w:pPr>
    </w:p>
    <w:p w14:paraId="7AF665E3" w14:textId="77777777" w:rsidR="00A1075E" w:rsidRPr="00032F86" w:rsidRDefault="00A1075E" w:rsidP="00A1075E">
      <w:pPr>
        <w:keepNext/>
        <w:suppressAutoHyphens/>
        <w:outlineLvl w:val="1"/>
        <w:rPr>
          <w:rFonts w:ascii="Times New Roman" w:hAnsi="Times New Roman"/>
          <w:i/>
          <w:iCs/>
        </w:rPr>
      </w:pPr>
      <w:r w:rsidRPr="00032F86">
        <w:rPr>
          <w:rFonts w:ascii="Times New Roman" w:hAnsi="Times New Roman"/>
          <w:i/>
          <w:iCs/>
        </w:rPr>
        <w:t>Bioluminescence imaging and radiography</w:t>
      </w:r>
    </w:p>
    <w:p w14:paraId="59AFBF42" w14:textId="77777777" w:rsidR="00A1075E" w:rsidRDefault="00A1075E" w:rsidP="00A1075E">
      <w:pPr>
        <w:keepNext/>
        <w:suppressAutoHyphens/>
        <w:outlineLvl w:val="1"/>
        <w:rPr>
          <w:rFonts w:ascii="Times New Roman" w:hAnsi="Times New Roman"/>
        </w:rPr>
      </w:pPr>
      <w:r w:rsidRPr="00032F86">
        <w:rPr>
          <w:rFonts w:ascii="Times New Roman" w:hAnsi="Times New Roman"/>
          <w:i/>
          <w:iCs/>
        </w:rPr>
        <w:t>In vivo</w:t>
      </w:r>
      <w:r w:rsidRPr="00032F86">
        <w:rPr>
          <w:rFonts w:ascii="Times New Roman" w:hAnsi="Times New Roman"/>
        </w:rPr>
        <w:t xml:space="preserve"> bioluminescence imaging was performed on the days indicated </w:t>
      </w:r>
      <w:r>
        <w:rPr>
          <w:rFonts w:ascii="Times New Roman" w:hAnsi="Times New Roman"/>
        </w:rPr>
        <w:t>using</w:t>
      </w:r>
      <w:r w:rsidRPr="00032F86">
        <w:rPr>
          <w:rFonts w:ascii="Times New Roman" w:hAnsi="Times New Roman"/>
        </w:rPr>
        <w:t xml:space="preserve"> an IVIS Lumina (PerkinElmer, Waltham, MA; Living Image </w:t>
      </w:r>
      <w:r>
        <w:rPr>
          <w:rFonts w:ascii="Times New Roman" w:hAnsi="Times New Roman"/>
        </w:rPr>
        <w:t>4.2</w:t>
      </w:r>
      <w:r w:rsidRPr="00032F86">
        <w:rPr>
          <w:rFonts w:ascii="Times New Roman" w:hAnsi="Times New Roman"/>
        </w:rPr>
        <w:t xml:space="preserve">), 5min to 1sec exposure, bin2-8, FOV12.5cm, f/stop1, open filter).  Mice were injected intraperitoneally with D-luciferin (150mg/kg in PBS; Gold Biotechnology, St. Louis, MO) and imaged using isoflurane anesthesia (2% vaporized in O2). </w:t>
      </w:r>
      <w:r>
        <w:rPr>
          <w:rFonts w:ascii="Times New Roman" w:hAnsi="Times New Roman"/>
        </w:rPr>
        <w:t>M</w:t>
      </w:r>
      <w:r w:rsidRPr="00032F86">
        <w:rPr>
          <w:rFonts w:ascii="Times New Roman" w:hAnsi="Times New Roman"/>
        </w:rPr>
        <w:t xml:space="preserve">ice were </w:t>
      </w:r>
      <w:r>
        <w:rPr>
          <w:rFonts w:ascii="Times New Roman" w:hAnsi="Times New Roman"/>
        </w:rPr>
        <w:t>euthanized</w:t>
      </w:r>
      <w:r w:rsidRPr="00032F86">
        <w:rPr>
          <w:rFonts w:ascii="Times New Roman" w:hAnsi="Times New Roman"/>
        </w:rPr>
        <w:t xml:space="preserve"> immediately after </w:t>
      </w:r>
      <w:r w:rsidRPr="00032F86">
        <w:rPr>
          <w:rFonts w:ascii="Times New Roman" w:hAnsi="Times New Roman"/>
          <w:i/>
          <w:iCs/>
        </w:rPr>
        <w:t>in vivo</w:t>
      </w:r>
      <w:r w:rsidRPr="00032F86">
        <w:rPr>
          <w:rFonts w:ascii="Times New Roman" w:hAnsi="Times New Roman"/>
        </w:rPr>
        <w:t xml:space="preserve"> confirmation of successful intraperitoneal administration of D-luciferin. Organs of interest were then dissected out and imaged separately. </w:t>
      </w:r>
      <w:r w:rsidRPr="00032F86">
        <w:rPr>
          <w:rFonts w:ascii="Times New Roman" w:hAnsi="Times New Roman"/>
        </w:rPr>
        <w:lastRenderedPageBreak/>
        <w:t>Total photon flux (photons/sec) was measured from fixed regions of interest (ROIs) using Living Image 2.6</w:t>
      </w:r>
      <w:r>
        <w:rPr>
          <w:rFonts w:ascii="Times New Roman" w:hAnsi="Times New Roman"/>
        </w:rPr>
        <w:t xml:space="preserve"> (</w:t>
      </w:r>
      <w:r w:rsidRPr="00480E7B">
        <w:rPr>
          <w:rFonts w:ascii="Times New Roman" w:hAnsi="Times New Roman"/>
        </w:rPr>
        <w:t>RRID:SCR_014247</w:t>
      </w:r>
      <w:r>
        <w:rPr>
          <w:rFonts w:ascii="Times New Roman" w:hAnsi="Times New Roman"/>
        </w:rPr>
        <w:t>)</w:t>
      </w:r>
      <w:r w:rsidRPr="00032F86">
        <w:rPr>
          <w:rFonts w:ascii="Times New Roman" w:hAnsi="Times New Roman"/>
        </w:rPr>
        <w:t>.</w:t>
      </w:r>
      <w:r>
        <w:rPr>
          <w:rFonts w:ascii="Times New Roman" w:hAnsi="Times New Roman"/>
        </w:rPr>
        <w:t xml:space="preserve"> Investigators were blinded to treatment groups during BLI analyses.</w:t>
      </w:r>
    </w:p>
    <w:p w14:paraId="46492250" w14:textId="77777777" w:rsidR="00A1075E" w:rsidRDefault="00A1075E" w:rsidP="00A1075E">
      <w:pPr>
        <w:keepNext/>
        <w:suppressAutoHyphens/>
        <w:outlineLvl w:val="1"/>
        <w:rPr>
          <w:rFonts w:ascii="Times New Roman" w:hAnsi="Times New Roman"/>
        </w:rPr>
      </w:pPr>
    </w:p>
    <w:p w14:paraId="7EB64102" w14:textId="77777777" w:rsidR="00A1075E" w:rsidRPr="00032F86" w:rsidRDefault="00A1075E" w:rsidP="00A1075E">
      <w:pPr>
        <w:keepNext/>
        <w:suppressAutoHyphens/>
        <w:outlineLvl w:val="1"/>
        <w:rPr>
          <w:rFonts w:ascii="Times New Roman" w:hAnsi="Times New Roman"/>
        </w:rPr>
      </w:pPr>
      <w:r w:rsidRPr="00032F86">
        <w:rPr>
          <w:rFonts w:ascii="Times New Roman" w:hAnsi="Times New Roman"/>
        </w:rPr>
        <w:t>Osteolytic lesions were imaged by X-Ray imaging system (</w:t>
      </w:r>
      <w:proofErr w:type="spellStart"/>
      <w:r w:rsidRPr="00032F86">
        <w:rPr>
          <w:rFonts w:ascii="Times New Roman" w:hAnsi="Times New Roman"/>
        </w:rPr>
        <w:t>Faxitron</w:t>
      </w:r>
      <w:proofErr w:type="spellEnd"/>
      <w:r w:rsidRPr="00032F86">
        <w:rPr>
          <w:rFonts w:ascii="Times New Roman" w:hAnsi="Times New Roman"/>
        </w:rPr>
        <w:t>). Tibiofemoral lesion area was quantified using ImageJ (NIH, Bethesda, Maryland</w:t>
      </w:r>
      <w:r>
        <w:rPr>
          <w:rFonts w:ascii="Times New Roman" w:hAnsi="Times New Roman"/>
        </w:rPr>
        <w:t xml:space="preserve">; </w:t>
      </w:r>
      <w:r w:rsidRPr="00053157">
        <w:rPr>
          <w:rFonts w:ascii="Times New Roman" w:hAnsi="Times New Roman"/>
        </w:rPr>
        <w:t>RRID:SCR_003070</w:t>
      </w:r>
      <w:r w:rsidRPr="00032F86">
        <w:rPr>
          <w:rFonts w:ascii="Times New Roman" w:hAnsi="Times New Roman"/>
        </w:rPr>
        <w:t>)</w:t>
      </w:r>
      <w:r>
        <w:rPr>
          <w:rFonts w:ascii="Times New Roman" w:hAnsi="Times New Roman"/>
        </w:rPr>
        <w:t xml:space="preserve"> with investigators blinded to treatment group.</w:t>
      </w:r>
    </w:p>
    <w:p w14:paraId="30E8E3C9" w14:textId="77777777" w:rsidR="00A1075E" w:rsidRPr="00032F86" w:rsidRDefault="00A1075E" w:rsidP="00A1075E">
      <w:pPr>
        <w:keepNext/>
        <w:suppressAutoHyphens/>
        <w:outlineLvl w:val="1"/>
        <w:rPr>
          <w:rFonts w:ascii="Times New Roman" w:hAnsi="Times New Roman"/>
        </w:rPr>
      </w:pPr>
    </w:p>
    <w:p w14:paraId="71776BCF" w14:textId="77777777" w:rsidR="00A1075E" w:rsidRPr="00032F86" w:rsidRDefault="00A1075E" w:rsidP="00A1075E">
      <w:pPr>
        <w:keepNext/>
        <w:suppressAutoHyphens/>
        <w:outlineLvl w:val="1"/>
        <w:rPr>
          <w:rFonts w:ascii="Times New Roman" w:hAnsi="Times New Roman"/>
          <w:i/>
        </w:rPr>
      </w:pPr>
      <w:r w:rsidRPr="00032F86">
        <w:rPr>
          <w:rFonts w:ascii="Times New Roman" w:hAnsi="Times New Roman"/>
          <w:i/>
        </w:rPr>
        <w:t>Drug preparation for in vivo studies</w:t>
      </w:r>
    </w:p>
    <w:p w14:paraId="0D6FE395" w14:textId="77777777" w:rsidR="00A1075E" w:rsidRDefault="00A1075E" w:rsidP="00A1075E">
      <w:pPr>
        <w:keepNext/>
        <w:suppressAutoHyphens/>
        <w:outlineLvl w:val="1"/>
        <w:rPr>
          <w:rFonts w:ascii="Times New Roman" w:hAnsi="Times New Roman"/>
        </w:rPr>
      </w:pPr>
      <w:r w:rsidRPr="00032F86">
        <w:rPr>
          <w:rFonts w:ascii="Times New Roman" w:hAnsi="Times New Roman"/>
        </w:rPr>
        <w:t xml:space="preserve">Docetaxel (LC Laboratories) was initially solubilized in 100% ethanol and stored at -20°C. A 10mg/mL working solution was freshly prepared on the day of injection by dilution in a Tween 80/PBS solution (final Tween </w:t>
      </w:r>
      <w:proofErr w:type="gramStart"/>
      <w:r w:rsidRPr="00032F86">
        <w:rPr>
          <w:rFonts w:ascii="Times New Roman" w:hAnsi="Times New Roman"/>
        </w:rPr>
        <w:t>80</w:t>
      </w:r>
      <w:r>
        <w:rPr>
          <w:rFonts w:ascii="Times New Roman" w:hAnsi="Times New Roman"/>
        </w:rPr>
        <w:t xml:space="preserve"> </w:t>
      </w:r>
      <w:r w:rsidRPr="00032F86">
        <w:rPr>
          <w:rFonts w:ascii="Times New Roman" w:hAnsi="Times New Roman"/>
        </w:rPr>
        <w:t>:</w:t>
      </w:r>
      <w:proofErr w:type="gramEnd"/>
      <w:r>
        <w:rPr>
          <w:rFonts w:ascii="Times New Roman" w:hAnsi="Times New Roman"/>
        </w:rPr>
        <w:t xml:space="preserve"> </w:t>
      </w:r>
      <w:r w:rsidRPr="00032F86">
        <w:rPr>
          <w:rFonts w:ascii="Times New Roman" w:hAnsi="Times New Roman"/>
        </w:rPr>
        <w:t>ethanol</w:t>
      </w:r>
      <w:r>
        <w:rPr>
          <w:rFonts w:ascii="Times New Roman" w:hAnsi="Times New Roman"/>
        </w:rPr>
        <w:t xml:space="preserve"> </w:t>
      </w:r>
      <w:r w:rsidRPr="00032F86">
        <w:rPr>
          <w:rFonts w:ascii="Times New Roman" w:hAnsi="Times New Roman"/>
        </w:rPr>
        <w:t>:</w:t>
      </w:r>
      <w:r>
        <w:rPr>
          <w:rFonts w:ascii="Times New Roman" w:hAnsi="Times New Roman"/>
        </w:rPr>
        <w:t xml:space="preserve"> </w:t>
      </w:r>
      <w:r w:rsidRPr="00032F86">
        <w:rPr>
          <w:rFonts w:ascii="Times New Roman" w:hAnsi="Times New Roman"/>
        </w:rPr>
        <w:t xml:space="preserve">PBS ratio of 20:13:67) to prevent precipitation. Finally, working solution was further diluted to 0.9-1mg/mL in PBS. Vehicle control was prepared and diluted in a similar manner using 100% ethanol without docetaxel. </w:t>
      </w:r>
    </w:p>
    <w:p w14:paraId="187A7684" w14:textId="77777777" w:rsidR="00A1075E" w:rsidRDefault="00A1075E" w:rsidP="00A1075E">
      <w:pPr>
        <w:keepNext/>
        <w:suppressAutoHyphens/>
        <w:outlineLvl w:val="1"/>
        <w:rPr>
          <w:rFonts w:ascii="Times New Roman" w:hAnsi="Times New Roman"/>
        </w:rPr>
      </w:pPr>
    </w:p>
    <w:p w14:paraId="2D215FF3" w14:textId="77777777" w:rsidR="00A1075E" w:rsidRPr="00032F86" w:rsidRDefault="00A1075E" w:rsidP="00A1075E">
      <w:pPr>
        <w:keepNext/>
        <w:suppressAutoHyphens/>
        <w:outlineLvl w:val="1"/>
        <w:rPr>
          <w:rFonts w:ascii="Times New Roman" w:hAnsi="Times New Roman"/>
        </w:rPr>
      </w:pPr>
      <w:r w:rsidRPr="00032F86">
        <w:rPr>
          <w:rFonts w:ascii="Times New Roman" w:hAnsi="Times New Roman"/>
        </w:rPr>
        <w:t>Rapamycin (Sigma R0395) was solubilized in 100% ethanol, diluted to a 1mg/mL working solution in 5% PEG400, 5% Tween 80,</w:t>
      </w:r>
      <w:r>
        <w:rPr>
          <w:rFonts w:ascii="Times New Roman" w:hAnsi="Times New Roman"/>
        </w:rPr>
        <w:t xml:space="preserve"> then</w:t>
      </w:r>
      <w:r w:rsidRPr="00032F86">
        <w:rPr>
          <w:rFonts w:ascii="Times New Roman" w:hAnsi="Times New Roman"/>
        </w:rPr>
        <w:t xml:space="preserve"> aliquoted and stored at -20°C. 100% ethanol without rapamycin was prepared and stored in a similar way for mice receiving vehicle control. Aliquots of working solution or equivalent vehicle were freshly thawed on the day of injection and administered 2mg/kg by </w:t>
      </w:r>
      <w:proofErr w:type="spellStart"/>
      <w:r w:rsidRPr="00032F86">
        <w:rPr>
          <w:rFonts w:ascii="Times New Roman" w:hAnsi="Times New Roman"/>
        </w:rPr>
        <w:t>i.p.</w:t>
      </w:r>
      <w:proofErr w:type="spellEnd"/>
      <w:r w:rsidRPr="00032F86">
        <w:rPr>
          <w:rFonts w:ascii="Times New Roman" w:hAnsi="Times New Roman"/>
        </w:rPr>
        <w:t xml:space="preserve"> injection. An equimolar equivalent of nanoparticle encapsulated rapamycin or cargo-free nanoparticle control was administered by tail vein injection for nanoparticle experiments.</w:t>
      </w:r>
    </w:p>
    <w:p w14:paraId="746AB761" w14:textId="77777777" w:rsidR="00A1075E" w:rsidRPr="00032F86" w:rsidRDefault="00A1075E" w:rsidP="00A1075E">
      <w:pPr>
        <w:keepNext/>
        <w:suppressAutoHyphens/>
        <w:outlineLvl w:val="1"/>
        <w:rPr>
          <w:rFonts w:ascii="Times New Roman" w:hAnsi="Times New Roman"/>
        </w:rPr>
      </w:pPr>
    </w:p>
    <w:p w14:paraId="3D09F6BB" w14:textId="77777777" w:rsidR="00A1075E" w:rsidRPr="00032F86" w:rsidRDefault="00A1075E" w:rsidP="00A1075E">
      <w:pPr>
        <w:keepNext/>
        <w:suppressAutoHyphens/>
        <w:outlineLvl w:val="1"/>
        <w:rPr>
          <w:rFonts w:ascii="Times New Roman" w:hAnsi="Times New Roman"/>
          <w:i/>
        </w:rPr>
      </w:pPr>
      <w:r w:rsidRPr="00032F86">
        <w:rPr>
          <w:rFonts w:ascii="Times New Roman" w:hAnsi="Times New Roman"/>
          <w:i/>
        </w:rPr>
        <w:t xml:space="preserve">Bone sample preparation for transmission electron microscopy </w:t>
      </w:r>
    </w:p>
    <w:p w14:paraId="424B2C64" w14:textId="760227B7" w:rsidR="00A1075E" w:rsidRPr="00032F86" w:rsidRDefault="00A1075E" w:rsidP="00A1075E">
      <w:pPr>
        <w:keepNext/>
        <w:suppressAutoHyphens/>
        <w:outlineLvl w:val="1"/>
        <w:rPr>
          <w:rFonts w:ascii="Times New Roman" w:hAnsi="Times New Roman"/>
        </w:rPr>
      </w:pPr>
      <w:r w:rsidRPr="00032F86">
        <w:rPr>
          <w:rFonts w:ascii="Times New Roman" w:hAnsi="Times New Roman"/>
        </w:rPr>
        <w:t>At Day 15 experimental endpoint, mice were euthanized and perfused with heparin-supplemented PBS, followed with a 2.5% glutaraldehyde, 2% paraformaldehyde fixative solution buffered at pH 7.4 by 0.15M cacodylate with 2mM CaCl</w:t>
      </w:r>
      <w:r w:rsidRPr="00032F86">
        <w:rPr>
          <w:rFonts w:ascii="Times New Roman" w:hAnsi="Times New Roman"/>
          <w:vertAlign w:val="subscript"/>
        </w:rPr>
        <w:t xml:space="preserve">2 </w:t>
      </w:r>
      <w:r w:rsidRPr="00032F86">
        <w:rPr>
          <w:rFonts w:ascii="Times New Roman" w:hAnsi="Times New Roman"/>
        </w:rPr>
        <w:t xml:space="preserve">(TEM fixative). Hindlimb bones were dissected out and submerged in TEM fixative overnight at 4°C. </w:t>
      </w:r>
      <w:r>
        <w:rPr>
          <w:rFonts w:ascii="Times New Roman" w:hAnsi="Times New Roman"/>
        </w:rPr>
        <w:t>S</w:t>
      </w:r>
      <w:r w:rsidRPr="00032F86">
        <w:rPr>
          <w:rFonts w:ascii="Times New Roman" w:hAnsi="Times New Roman"/>
        </w:rPr>
        <w:t>amples were then decalcified in 14% M EDTA (pH 7.2)</w:t>
      </w:r>
      <w:r w:rsidR="00BD2A6B">
        <w:rPr>
          <w:rFonts w:ascii="Times New Roman" w:hAnsi="Times New Roman"/>
        </w:rPr>
        <w:t xml:space="preserve"> at 4</w:t>
      </w:r>
      <w:r w:rsidR="00BD2A6B" w:rsidRPr="00BD2A6B">
        <w:rPr>
          <w:rFonts w:ascii="Times New Roman" w:hAnsi="Times New Roman"/>
        </w:rPr>
        <w:t>°</w:t>
      </w:r>
      <w:r w:rsidR="00BD2A6B">
        <w:rPr>
          <w:rFonts w:ascii="Times New Roman" w:hAnsi="Times New Roman"/>
        </w:rPr>
        <w:t>C</w:t>
      </w:r>
      <w:r w:rsidRPr="00032F86">
        <w:rPr>
          <w:rFonts w:ascii="Times New Roman" w:hAnsi="Times New Roman"/>
        </w:rPr>
        <w:t xml:space="preserve"> for 14 days</w:t>
      </w:r>
      <w:r>
        <w:rPr>
          <w:rFonts w:ascii="Times New Roman" w:hAnsi="Times New Roman"/>
        </w:rPr>
        <w:t xml:space="preserve"> with mild agitation and periodic switch into fresh EDTA</w:t>
      </w:r>
      <w:r w:rsidRPr="00032F86">
        <w:rPr>
          <w:rFonts w:ascii="Times New Roman" w:hAnsi="Times New Roman"/>
        </w:rPr>
        <w:t>. Afterwards, samples were rinsed in cacodylate buffer 3 times for 10 minutes each, and subjected to a secondary fixation in 1% osmium tetroxide/1.5% potassium ferrocyanide in cacodylate buffer for one hour, rinsed in ultrapure water 4 times for 10 minutes each, and stained in an aqueous solution of 2% uranyl acetate for one hour. The samples were washed again in ultrapure water 4 times for 10 minutes each and dehydrated in a graded acetone series (10%, 20%, 30%, 50%, 70%, 90%, 100% x4) for 15 minutes in each step. Tissues were then infiltrated with microwave assistance (</w:t>
      </w:r>
      <w:proofErr w:type="spellStart"/>
      <w:r w:rsidRPr="00032F86">
        <w:rPr>
          <w:rFonts w:ascii="Times New Roman" w:hAnsi="Times New Roman"/>
        </w:rPr>
        <w:t>Pelco</w:t>
      </w:r>
      <w:proofErr w:type="spellEnd"/>
      <w:r w:rsidRPr="00032F86">
        <w:rPr>
          <w:rFonts w:ascii="Times New Roman" w:hAnsi="Times New Roman"/>
        </w:rPr>
        <w:t xml:space="preserve"> </w:t>
      </w:r>
      <w:proofErr w:type="spellStart"/>
      <w:r w:rsidRPr="00032F86">
        <w:rPr>
          <w:rFonts w:ascii="Times New Roman" w:hAnsi="Times New Roman"/>
        </w:rPr>
        <w:t>BioWave</w:t>
      </w:r>
      <w:proofErr w:type="spellEnd"/>
      <w:r w:rsidRPr="00032F86">
        <w:rPr>
          <w:rFonts w:ascii="Times New Roman" w:hAnsi="Times New Roman"/>
        </w:rPr>
        <w:t xml:space="preserve"> Pro, Redding, CA) into </w:t>
      </w:r>
      <w:proofErr w:type="spellStart"/>
      <w:r w:rsidRPr="00032F86">
        <w:rPr>
          <w:rFonts w:ascii="Times New Roman" w:hAnsi="Times New Roman"/>
        </w:rPr>
        <w:t>Spurr’s</w:t>
      </w:r>
      <w:proofErr w:type="spellEnd"/>
      <w:r w:rsidRPr="00032F86">
        <w:rPr>
          <w:rFonts w:ascii="Times New Roman" w:hAnsi="Times New Roman"/>
        </w:rPr>
        <w:t xml:space="preserve"> resin and cured in an oven at 60˚C for 80 hours.</w:t>
      </w:r>
    </w:p>
    <w:p w14:paraId="58F2C49B" w14:textId="77777777" w:rsidR="00A1075E" w:rsidRPr="00032F86" w:rsidRDefault="00A1075E" w:rsidP="00A1075E">
      <w:pPr>
        <w:pStyle w:val="Heading1"/>
        <w:spacing w:line="240" w:lineRule="auto"/>
        <w:jc w:val="left"/>
        <w:rPr>
          <w:b w:val="0"/>
          <w:bCs/>
        </w:rPr>
      </w:pPr>
    </w:p>
    <w:p w14:paraId="746D44B3" w14:textId="77777777" w:rsidR="00A1075E" w:rsidRPr="00032F86" w:rsidRDefault="00A1075E" w:rsidP="00A1075E">
      <w:pPr>
        <w:keepNext/>
        <w:suppressAutoHyphens/>
        <w:outlineLvl w:val="1"/>
        <w:rPr>
          <w:rFonts w:ascii="Times New Roman" w:hAnsi="Times New Roman"/>
        </w:rPr>
      </w:pPr>
      <w:r w:rsidRPr="00032F86">
        <w:rPr>
          <w:rFonts w:ascii="Times New Roman" w:hAnsi="Times New Roman"/>
          <w:i/>
          <w:iCs/>
        </w:rPr>
        <w:t>Flow cytometric analysis</w:t>
      </w:r>
    </w:p>
    <w:p w14:paraId="1EF1716E" w14:textId="77777777" w:rsidR="00A1075E" w:rsidRDefault="00A1075E" w:rsidP="00A1075E">
      <w:pPr>
        <w:keepNext/>
        <w:suppressAutoHyphens/>
        <w:outlineLvl w:val="1"/>
        <w:rPr>
          <w:rFonts w:ascii="Times New Roman" w:hAnsi="Times New Roman"/>
        </w:rPr>
      </w:pPr>
      <w:r w:rsidRPr="00032F86">
        <w:rPr>
          <w:rFonts w:ascii="Times New Roman" w:hAnsi="Times New Roman"/>
          <w:i/>
          <w:iCs/>
        </w:rPr>
        <w:t>In vitro</w:t>
      </w:r>
      <w:r w:rsidRPr="00032F86">
        <w:rPr>
          <w:rFonts w:ascii="Times New Roman" w:hAnsi="Times New Roman"/>
        </w:rPr>
        <w:t xml:space="preserve"> tumor cells were lifted with 1x </w:t>
      </w:r>
      <w:proofErr w:type="spellStart"/>
      <w:r w:rsidRPr="00032F86">
        <w:rPr>
          <w:rFonts w:ascii="Times New Roman" w:hAnsi="Times New Roman"/>
        </w:rPr>
        <w:t>Versene</w:t>
      </w:r>
      <w:proofErr w:type="spellEnd"/>
      <w:r w:rsidRPr="00032F86">
        <w:rPr>
          <w:rFonts w:ascii="Times New Roman" w:hAnsi="Times New Roman"/>
        </w:rPr>
        <w:t xml:space="preserve"> (</w:t>
      </w:r>
      <w:r>
        <w:rPr>
          <w:rFonts w:ascii="Times New Roman" w:hAnsi="Times New Roman"/>
        </w:rPr>
        <w:t xml:space="preserve">Gibco: </w:t>
      </w:r>
      <w:r w:rsidRPr="00F7715F">
        <w:rPr>
          <w:rFonts w:ascii="Times New Roman" w:hAnsi="Times New Roman"/>
        </w:rPr>
        <w:t>15040066</w:t>
      </w:r>
      <w:r w:rsidRPr="00032F86">
        <w:rPr>
          <w:rFonts w:ascii="Times New Roman" w:hAnsi="Times New Roman"/>
        </w:rPr>
        <w:t xml:space="preserve">) unless otherwise indicated. For </w:t>
      </w:r>
      <w:r w:rsidRPr="00032F86">
        <w:rPr>
          <w:rFonts w:ascii="Times New Roman" w:hAnsi="Times New Roman"/>
          <w:i/>
          <w:iCs/>
        </w:rPr>
        <w:t>ex vivo</w:t>
      </w:r>
      <w:r w:rsidRPr="00032F86">
        <w:rPr>
          <w:rFonts w:ascii="Times New Roman" w:hAnsi="Times New Roman"/>
        </w:rPr>
        <w:t xml:space="preserve"> analysis of murine bone metastases, hindlimb bones were dissected and the </w:t>
      </w:r>
      <w:r>
        <w:rPr>
          <w:rFonts w:ascii="Times New Roman" w:hAnsi="Times New Roman"/>
        </w:rPr>
        <w:t>tibiofemoral</w:t>
      </w:r>
      <w:r w:rsidRPr="00032F86">
        <w:rPr>
          <w:rFonts w:ascii="Times New Roman" w:hAnsi="Times New Roman"/>
        </w:rPr>
        <w:t xml:space="preserve"> joint isolated and finely crushed with surgical scissors. Manually processed samples were further digested in collagenase A (Roche) and DNase I (Sigma-Aldrich) at 37°</w:t>
      </w:r>
      <w:r>
        <w:rPr>
          <w:rFonts w:ascii="Times New Roman" w:hAnsi="Times New Roman"/>
        </w:rPr>
        <w:t>C</w:t>
      </w:r>
      <w:r w:rsidRPr="00032F86">
        <w:rPr>
          <w:rFonts w:ascii="Times New Roman" w:hAnsi="Times New Roman"/>
        </w:rPr>
        <w:t xml:space="preserve"> for 1 hour with agitation. Digested samples were strained through 70μm</w:t>
      </w:r>
      <w:r>
        <w:rPr>
          <w:rFonts w:ascii="Times New Roman" w:hAnsi="Times New Roman"/>
        </w:rPr>
        <w:t xml:space="preserve"> Falcon</w:t>
      </w:r>
      <w:r w:rsidRPr="00032F86">
        <w:rPr>
          <w:rFonts w:ascii="Times New Roman" w:hAnsi="Times New Roman"/>
        </w:rPr>
        <w:t xml:space="preserve"> nylon filters (</w:t>
      </w:r>
      <w:r>
        <w:rPr>
          <w:rFonts w:ascii="Times New Roman" w:hAnsi="Times New Roman"/>
        </w:rPr>
        <w:t xml:space="preserve">Corning: </w:t>
      </w:r>
      <w:r w:rsidRPr="00C2176D">
        <w:rPr>
          <w:rFonts w:ascii="Times New Roman" w:hAnsi="Times New Roman"/>
        </w:rPr>
        <w:t>352350</w:t>
      </w:r>
      <w:r w:rsidRPr="00032F86">
        <w:rPr>
          <w:rFonts w:ascii="Times New Roman" w:hAnsi="Times New Roman"/>
        </w:rPr>
        <w:t>) and prepared as single cell suspensions in 5% FBS PBS with 1mM EDTA</w:t>
      </w:r>
      <w:r>
        <w:rPr>
          <w:rFonts w:ascii="Times New Roman" w:hAnsi="Times New Roman"/>
        </w:rPr>
        <w:t xml:space="preserve"> (Corning)</w:t>
      </w:r>
      <w:r w:rsidRPr="00032F86">
        <w:rPr>
          <w:rFonts w:ascii="Times New Roman" w:hAnsi="Times New Roman"/>
        </w:rPr>
        <w:t xml:space="preserve">. Cells were stained with either PE- or AlexaFluor-647-conjugated anti-mouse integrin β3 (1:200, </w:t>
      </w:r>
      <w:r w:rsidRPr="00032F86">
        <w:rPr>
          <w:rFonts w:ascii="Times New Roman" w:hAnsi="Times New Roman"/>
        </w:rPr>
        <w:lastRenderedPageBreak/>
        <w:t>clone: 2C9.G2, BD Pharmingen</w:t>
      </w:r>
      <w:r>
        <w:rPr>
          <w:rFonts w:ascii="Times New Roman" w:hAnsi="Times New Roman"/>
        </w:rPr>
        <w:t xml:space="preserve">; PE </w:t>
      </w:r>
      <w:r w:rsidRPr="00EB7D60">
        <w:rPr>
          <w:rFonts w:ascii="Times New Roman" w:hAnsi="Times New Roman"/>
        </w:rPr>
        <w:t>RRID:AB_394800</w:t>
      </w:r>
      <w:r>
        <w:rPr>
          <w:rFonts w:ascii="Times New Roman" w:hAnsi="Times New Roman"/>
        </w:rPr>
        <w:t xml:space="preserve">; AF647 </w:t>
      </w:r>
      <w:r w:rsidRPr="00EB7D60">
        <w:rPr>
          <w:rFonts w:ascii="Times New Roman" w:hAnsi="Times New Roman"/>
        </w:rPr>
        <w:t>RRID:AB_2738255</w:t>
      </w:r>
      <w:r w:rsidRPr="00032F86">
        <w:rPr>
          <w:rFonts w:ascii="Times New Roman" w:hAnsi="Times New Roman"/>
        </w:rPr>
        <w:t xml:space="preserve">), CD45.2, (1:200, clone: 104, </w:t>
      </w:r>
      <w:proofErr w:type="spellStart"/>
      <w:r w:rsidRPr="00032F86">
        <w:rPr>
          <w:rFonts w:ascii="Times New Roman" w:hAnsi="Times New Roman"/>
        </w:rPr>
        <w:t>BioLegend</w:t>
      </w:r>
      <w:proofErr w:type="spellEnd"/>
      <w:r>
        <w:rPr>
          <w:rFonts w:ascii="Times New Roman" w:hAnsi="Times New Roman"/>
        </w:rPr>
        <w:t xml:space="preserve">, </w:t>
      </w:r>
      <w:r w:rsidRPr="00EB7D60">
        <w:rPr>
          <w:rFonts w:ascii="Times New Roman" w:hAnsi="Times New Roman"/>
        </w:rPr>
        <w:t>RRID:AB_492872</w:t>
      </w:r>
      <w:r w:rsidRPr="00032F86">
        <w:rPr>
          <w:rFonts w:ascii="Times New Roman" w:hAnsi="Times New Roman"/>
        </w:rPr>
        <w:t>) and DAPI</w:t>
      </w:r>
      <w:r>
        <w:rPr>
          <w:rFonts w:ascii="Times New Roman" w:hAnsi="Times New Roman"/>
        </w:rPr>
        <w:t xml:space="preserve"> (Sigma: </w:t>
      </w:r>
      <w:r w:rsidRPr="00C2176D">
        <w:rPr>
          <w:rFonts w:ascii="Times New Roman" w:hAnsi="Times New Roman"/>
        </w:rPr>
        <w:t>D9542</w:t>
      </w:r>
      <w:r>
        <w:rPr>
          <w:rFonts w:ascii="Times New Roman" w:hAnsi="Times New Roman"/>
        </w:rPr>
        <w:t>)</w:t>
      </w:r>
      <w:r w:rsidRPr="00032F86">
        <w:rPr>
          <w:rFonts w:ascii="Times New Roman" w:hAnsi="Times New Roman"/>
        </w:rPr>
        <w:t xml:space="preserve"> and acquired on the </w:t>
      </w:r>
      <w:proofErr w:type="spellStart"/>
      <w:r w:rsidRPr="00032F86">
        <w:rPr>
          <w:rFonts w:ascii="Times New Roman" w:hAnsi="Times New Roman"/>
        </w:rPr>
        <w:t>LSRFortessa</w:t>
      </w:r>
      <w:proofErr w:type="spellEnd"/>
      <w:r w:rsidRPr="00032F86">
        <w:rPr>
          <w:rFonts w:ascii="Times New Roman" w:hAnsi="Times New Roman"/>
        </w:rPr>
        <w:t xml:space="preserve"> (BD Biosciences). </w:t>
      </w:r>
      <w:proofErr w:type="spellStart"/>
      <w:r w:rsidRPr="00032F86">
        <w:rPr>
          <w:rFonts w:ascii="Times New Roman" w:hAnsi="Times New Roman"/>
        </w:rPr>
        <w:t>FlowJo</w:t>
      </w:r>
      <w:proofErr w:type="spellEnd"/>
      <w:r w:rsidRPr="00032F86">
        <w:rPr>
          <w:rFonts w:ascii="Times New Roman" w:hAnsi="Times New Roman"/>
        </w:rPr>
        <w:t xml:space="preserve"> (</w:t>
      </w:r>
      <w:proofErr w:type="spellStart"/>
      <w:r w:rsidRPr="00032F86">
        <w:rPr>
          <w:rFonts w:ascii="Times New Roman" w:hAnsi="Times New Roman"/>
        </w:rPr>
        <w:t>TreeStar</w:t>
      </w:r>
      <w:proofErr w:type="spellEnd"/>
      <w:r>
        <w:rPr>
          <w:rFonts w:ascii="Times New Roman" w:hAnsi="Times New Roman"/>
        </w:rPr>
        <w:t xml:space="preserve">, </w:t>
      </w:r>
      <w:r w:rsidRPr="00053157">
        <w:rPr>
          <w:rFonts w:ascii="Times New Roman" w:hAnsi="Times New Roman"/>
        </w:rPr>
        <w:t>RRID:SCR_008520</w:t>
      </w:r>
      <w:r w:rsidRPr="00032F86">
        <w:rPr>
          <w:rFonts w:ascii="Times New Roman" w:hAnsi="Times New Roman"/>
        </w:rPr>
        <w:t>) was used for data analysis and representative flow plot generation.</w:t>
      </w:r>
    </w:p>
    <w:p w14:paraId="2F9939BE" w14:textId="77777777" w:rsidR="00A1075E" w:rsidRDefault="00A1075E" w:rsidP="00A1075E">
      <w:pPr>
        <w:keepNext/>
        <w:suppressAutoHyphens/>
        <w:outlineLvl w:val="1"/>
        <w:rPr>
          <w:rFonts w:ascii="Times New Roman" w:hAnsi="Times New Roman"/>
        </w:rPr>
      </w:pPr>
    </w:p>
    <w:p w14:paraId="2448EB04" w14:textId="77777777" w:rsidR="00A1075E" w:rsidRPr="00D14B38" w:rsidRDefault="00A1075E" w:rsidP="00A1075E">
      <w:pPr>
        <w:rPr>
          <w:rFonts w:ascii="Times New Roman" w:hAnsi="Times New Roman"/>
        </w:rPr>
      </w:pPr>
      <w:r w:rsidRPr="00032F86">
        <w:rPr>
          <w:rFonts w:ascii="Times New Roman" w:hAnsi="Times New Roman"/>
        </w:rPr>
        <w:t>Protein synthesis</w:t>
      </w:r>
      <w:r>
        <w:rPr>
          <w:rFonts w:ascii="Times New Roman" w:hAnsi="Times New Roman"/>
        </w:rPr>
        <w:t xml:space="preserve"> assays</w:t>
      </w:r>
      <w:r w:rsidRPr="00032F86">
        <w:rPr>
          <w:rFonts w:ascii="Times New Roman" w:hAnsi="Times New Roman"/>
        </w:rPr>
        <w:t xml:space="preserve"> w</w:t>
      </w:r>
      <w:r>
        <w:rPr>
          <w:rFonts w:ascii="Times New Roman" w:hAnsi="Times New Roman"/>
        </w:rPr>
        <w:t>ere</w:t>
      </w:r>
      <w:r w:rsidRPr="00032F86">
        <w:rPr>
          <w:rFonts w:ascii="Times New Roman" w:hAnsi="Times New Roman"/>
        </w:rPr>
        <w:t xml:space="preserve"> performed by</w:t>
      </w:r>
      <w:r>
        <w:rPr>
          <w:rFonts w:ascii="Times New Roman" w:hAnsi="Times New Roman"/>
        </w:rPr>
        <w:t xml:space="preserve"> incubation of cells with</w:t>
      </w:r>
      <w:r w:rsidRPr="00032F86">
        <w:rPr>
          <w:rFonts w:ascii="Times New Roman" w:hAnsi="Times New Roman"/>
        </w:rPr>
        <w:t xml:space="preserve"> the synthetic methionine analog Click-</w:t>
      </w:r>
      <w:proofErr w:type="spellStart"/>
      <w:r w:rsidRPr="00032F86">
        <w:rPr>
          <w:rFonts w:ascii="Times New Roman" w:hAnsi="Times New Roman"/>
        </w:rPr>
        <w:t>iT</w:t>
      </w:r>
      <w:proofErr w:type="spellEnd"/>
      <w:r w:rsidRPr="00032F86">
        <w:rPr>
          <w:rFonts w:ascii="Times New Roman" w:hAnsi="Times New Roman"/>
        </w:rPr>
        <w:t>® HPG (L-homopropargylglycine) in methionine-free Dulbecco’s Modified Eagle Medium (</w:t>
      </w:r>
      <w:r>
        <w:rPr>
          <w:rFonts w:ascii="Times New Roman" w:hAnsi="Times New Roman"/>
        </w:rPr>
        <w:t xml:space="preserve">DMEM, </w:t>
      </w:r>
      <w:r w:rsidRPr="00032F86">
        <w:rPr>
          <w:rFonts w:ascii="Times New Roman" w:hAnsi="Times New Roman"/>
        </w:rPr>
        <w:t>Gibco</w:t>
      </w:r>
      <w:r>
        <w:rPr>
          <w:rFonts w:ascii="Times New Roman" w:hAnsi="Times New Roman"/>
        </w:rPr>
        <w:t>:</w:t>
      </w:r>
      <w:r w:rsidRPr="00032F86">
        <w:rPr>
          <w:rFonts w:ascii="Times New Roman" w:hAnsi="Times New Roman"/>
        </w:rPr>
        <w:t xml:space="preserve"> 21013) supplemented with 200uM L-</w:t>
      </w:r>
      <w:proofErr w:type="spellStart"/>
      <w:r w:rsidRPr="00032F86">
        <w:rPr>
          <w:rFonts w:ascii="Times New Roman" w:hAnsi="Times New Roman"/>
        </w:rPr>
        <w:t>cyteine</w:t>
      </w:r>
      <w:proofErr w:type="spellEnd"/>
      <w:r w:rsidRPr="00032F86">
        <w:rPr>
          <w:rFonts w:ascii="Times New Roman" w:hAnsi="Times New Roman"/>
        </w:rPr>
        <w:t xml:space="preserve"> (Sigma</w:t>
      </w:r>
      <w:r>
        <w:rPr>
          <w:rFonts w:ascii="Times New Roman" w:hAnsi="Times New Roman"/>
        </w:rPr>
        <w:t xml:space="preserve">: </w:t>
      </w:r>
      <w:r w:rsidRPr="00D14B38">
        <w:rPr>
          <w:rFonts w:ascii="Times New Roman" w:hAnsi="Times New Roman"/>
        </w:rPr>
        <w:t>1.02452</w:t>
      </w:r>
      <w:r w:rsidRPr="00032F86">
        <w:rPr>
          <w:rFonts w:ascii="Times New Roman" w:hAnsi="Times New Roman"/>
        </w:rPr>
        <w:t>), 2mM glutamate (Agilent</w:t>
      </w:r>
      <w:r>
        <w:rPr>
          <w:rFonts w:ascii="Times New Roman" w:hAnsi="Times New Roman"/>
        </w:rPr>
        <w:t xml:space="preserve">: </w:t>
      </w:r>
      <w:r w:rsidRPr="00D14B38">
        <w:rPr>
          <w:rFonts w:ascii="Times New Roman" w:hAnsi="Times New Roman"/>
        </w:rPr>
        <w:t>103579-100</w:t>
      </w:r>
      <w:r w:rsidRPr="00032F86">
        <w:rPr>
          <w:rFonts w:ascii="Times New Roman" w:hAnsi="Times New Roman"/>
        </w:rPr>
        <w:t>), and 1mM pyruvate (Agilent</w:t>
      </w:r>
      <w:r>
        <w:rPr>
          <w:rFonts w:ascii="Times New Roman" w:hAnsi="Times New Roman"/>
        </w:rPr>
        <w:t xml:space="preserve">: </w:t>
      </w:r>
      <w:r w:rsidRPr="00D14B38">
        <w:rPr>
          <w:rFonts w:ascii="Times New Roman" w:hAnsi="Times New Roman"/>
        </w:rPr>
        <w:t>103578-100</w:t>
      </w:r>
      <w:r w:rsidRPr="00032F86">
        <w:rPr>
          <w:rFonts w:ascii="Times New Roman" w:hAnsi="Times New Roman"/>
        </w:rPr>
        <w:t>)</w:t>
      </w:r>
      <w:r>
        <w:rPr>
          <w:rFonts w:ascii="Times New Roman" w:hAnsi="Times New Roman"/>
        </w:rPr>
        <w:t xml:space="preserve"> for 30 minutes</w:t>
      </w:r>
      <w:r w:rsidRPr="00032F86">
        <w:rPr>
          <w:rFonts w:ascii="Times New Roman" w:hAnsi="Times New Roman"/>
        </w:rPr>
        <w:t>.</w:t>
      </w:r>
      <w:r>
        <w:rPr>
          <w:rFonts w:ascii="Times New Roman" w:hAnsi="Times New Roman"/>
        </w:rPr>
        <w:t xml:space="preserve"> Cells were lifted with 0.25% trypsin (Gibco: </w:t>
      </w:r>
      <w:r w:rsidRPr="00AB071C">
        <w:rPr>
          <w:rFonts w:ascii="Times New Roman" w:hAnsi="Times New Roman"/>
        </w:rPr>
        <w:t>25200056</w:t>
      </w:r>
      <w:r>
        <w:rPr>
          <w:rFonts w:ascii="Times New Roman" w:hAnsi="Times New Roman"/>
        </w:rPr>
        <w:t>), and i</w:t>
      </w:r>
      <w:r w:rsidRPr="00032F86">
        <w:rPr>
          <w:rFonts w:ascii="Times New Roman" w:hAnsi="Times New Roman"/>
        </w:rPr>
        <w:t>ncorporated Click-</w:t>
      </w:r>
      <w:proofErr w:type="spellStart"/>
      <w:r w:rsidRPr="00032F86">
        <w:rPr>
          <w:rFonts w:ascii="Times New Roman" w:hAnsi="Times New Roman"/>
        </w:rPr>
        <w:t>iT</w:t>
      </w:r>
      <w:proofErr w:type="spellEnd"/>
      <w:r w:rsidRPr="00032F86">
        <w:rPr>
          <w:rFonts w:ascii="Times New Roman" w:hAnsi="Times New Roman"/>
        </w:rPr>
        <w:t>® HPG was further processed for fluorescent readout by flow cytometry using the Invitrogen Click-</w:t>
      </w:r>
      <w:proofErr w:type="spellStart"/>
      <w:r w:rsidRPr="00032F86">
        <w:rPr>
          <w:rFonts w:ascii="Times New Roman" w:hAnsi="Times New Roman"/>
        </w:rPr>
        <w:t>iT</w:t>
      </w:r>
      <w:proofErr w:type="spellEnd"/>
      <w:r w:rsidRPr="00032F86">
        <w:rPr>
          <w:rFonts w:ascii="Times New Roman" w:hAnsi="Times New Roman"/>
        </w:rPr>
        <w:t>® HPG Alexa Fluor 594 Protein Synthesis Assay Kit (</w:t>
      </w:r>
      <w:proofErr w:type="spellStart"/>
      <w:r w:rsidRPr="00032F86">
        <w:rPr>
          <w:rFonts w:ascii="Times New Roman" w:hAnsi="Times New Roman"/>
        </w:rPr>
        <w:t>ThermoFisher</w:t>
      </w:r>
      <w:proofErr w:type="spellEnd"/>
      <w:r>
        <w:rPr>
          <w:rFonts w:ascii="Times New Roman" w:hAnsi="Times New Roman"/>
        </w:rPr>
        <w:t>:</w:t>
      </w:r>
      <w:r w:rsidRPr="00032F86">
        <w:rPr>
          <w:rFonts w:ascii="Times New Roman" w:hAnsi="Times New Roman"/>
        </w:rPr>
        <w:t xml:space="preserve"> C10428) according to manufacturer’s recommendations.</w:t>
      </w:r>
    </w:p>
    <w:p w14:paraId="1C6CCCC0" w14:textId="77777777" w:rsidR="00A1075E" w:rsidRDefault="00A1075E" w:rsidP="00A1075E">
      <w:pPr>
        <w:keepNext/>
        <w:suppressAutoHyphens/>
        <w:outlineLvl w:val="1"/>
        <w:rPr>
          <w:rFonts w:ascii="Times New Roman" w:hAnsi="Times New Roman"/>
        </w:rPr>
      </w:pPr>
    </w:p>
    <w:p w14:paraId="14F7A27E" w14:textId="77777777" w:rsidR="00A1075E" w:rsidRPr="00032F86" w:rsidRDefault="00A1075E" w:rsidP="00A1075E">
      <w:pPr>
        <w:keepNext/>
        <w:suppressAutoHyphens/>
        <w:outlineLvl w:val="1"/>
        <w:rPr>
          <w:rFonts w:ascii="Times New Roman" w:hAnsi="Times New Roman"/>
        </w:rPr>
      </w:pPr>
      <w:r w:rsidRPr="00D9356A">
        <w:rPr>
          <w:rFonts w:ascii="Times New Roman" w:hAnsi="Times New Roman"/>
        </w:rPr>
        <w:t xml:space="preserve">For cell proliferation assays using BrdU incorporation, S-phase entry of proliferating cells was assessed by flow cytometry analysis of 5-bromo-2’-deoxyuridine (BrdU) incorporation overnight using the </w:t>
      </w:r>
      <w:proofErr w:type="spellStart"/>
      <w:r w:rsidRPr="00D9356A">
        <w:rPr>
          <w:rFonts w:ascii="Times New Roman" w:hAnsi="Times New Roman"/>
        </w:rPr>
        <w:t>eBioscience</w:t>
      </w:r>
      <w:proofErr w:type="spellEnd"/>
      <w:r w:rsidRPr="00D9356A">
        <w:rPr>
          <w:rFonts w:ascii="Times New Roman" w:hAnsi="Times New Roman"/>
        </w:rPr>
        <w:t xml:space="preserve"> BrdU Staining Kit for Flow Cytometry FITC (</w:t>
      </w:r>
      <w:proofErr w:type="spellStart"/>
      <w:r w:rsidRPr="00D9356A">
        <w:rPr>
          <w:rFonts w:ascii="Times New Roman" w:hAnsi="Times New Roman"/>
        </w:rPr>
        <w:t>ThermoFisher</w:t>
      </w:r>
      <w:proofErr w:type="spellEnd"/>
      <w:r>
        <w:rPr>
          <w:rFonts w:ascii="Times New Roman" w:hAnsi="Times New Roman"/>
        </w:rPr>
        <w:t xml:space="preserve">: </w:t>
      </w:r>
      <w:r w:rsidRPr="00D9356A">
        <w:rPr>
          <w:rFonts w:ascii="Times New Roman" w:hAnsi="Times New Roman"/>
        </w:rPr>
        <w:t>8811-6600-42), according to manufacturer’s recommendations.</w:t>
      </w:r>
    </w:p>
    <w:p w14:paraId="7B216CD9" w14:textId="77777777" w:rsidR="00A1075E" w:rsidRPr="00032F86" w:rsidRDefault="00A1075E" w:rsidP="00A1075E">
      <w:pPr>
        <w:keepNext/>
        <w:suppressAutoHyphens/>
        <w:outlineLvl w:val="1"/>
        <w:rPr>
          <w:rFonts w:ascii="Times New Roman" w:hAnsi="Times New Roman"/>
        </w:rPr>
      </w:pPr>
    </w:p>
    <w:p w14:paraId="4C59C00F" w14:textId="77777777" w:rsidR="00A1075E" w:rsidRPr="00032F86" w:rsidRDefault="00A1075E" w:rsidP="00A1075E">
      <w:pPr>
        <w:keepNext/>
        <w:suppressAutoHyphens/>
        <w:outlineLvl w:val="1"/>
        <w:rPr>
          <w:rFonts w:ascii="Times New Roman" w:hAnsi="Times New Roman"/>
          <w:i/>
          <w:iCs/>
        </w:rPr>
      </w:pPr>
      <w:r w:rsidRPr="00032F86">
        <w:rPr>
          <w:rFonts w:ascii="Times New Roman" w:hAnsi="Times New Roman"/>
          <w:i/>
          <w:iCs/>
        </w:rPr>
        <w:t>RNA sequencing and analysis</w:t>
      </w:r>
    </w:p>
    <w:p w14:paraId="2A29E9C6" w14:textId="4AAB515F" w:rsidR="00A1075E" w:rsidRPr="00032F86" w:rsidRDefault="00A1075E" w:rsidP="00A1075E">
      <w:pPr>
        <w:rPr>
          <w:rFonts w:ascii="Times New Roman" w:hAnsi="Times New Roman"/>
          <w:color w:val="201F1E"/>
        </w:rPr>
      </w:pPr>
      <w:r w:rsidRPr="00032F86">
        <w:rPr>
          <w:rFonts w:ascii="Times New Roman" w:hAnsi="Times New Roman"/>
          <w:color w:val="201F1E"/>
        </w:rPr>
        <w:t xml:space="preserve">For transcriptomic profiles of β3KO1-BO1 cells, </w:t>
      </w:r>
      <w:r>
        <w:rPr>
          <w:rFonts w:ascii="Times New Roman" w:hAnsi="Times New Roman"/>
          <w:color w:val="201F1E"/>
        </w:rPr>
        <w:t xml:space="preserve">the </w:t>
      </w:r>
      <w:r w:rsidRPr="00032F86">
        <w:rPr>
          <w:rFonts w:ascii="Times New Roman" w:hAnsi="Times New Roman"/>
          <w:color w:val="201F1E"/>
        </w:rPr>
        <w:t>pMx, Δβ3, and hβ3</w:t>
      </w:r>
      <w:r>
        <w:rPr>
          <w:rFonts w:ascii="Times New Roman" w:hAnsi="Times New Roman"/>
          <w:color w:val="201F1E"/>
        </w:rPr>
        <w:t xml:space="preserve"> lines</w:t>
      </w:r>
      <w:r w:rsidRPr="00032F86">
        <w:rPr>
          <w:rFonts w:ascii="Times New Roman" w:hAnsi="Times New Roman"/>
          <w:color w:val="201F1E"/>
        </w:rPr>
        <w:t xml:space="preserve"> were cultured in biological triplicate on tissue culture-treated 6-well plates for 24h in the presence of DMSO or 10nM DTX, followed by lysis and RNA extraction using the RNeasy Plus Mini Kit (QIAGEN</w:t>
      </w:r>
      <w:r>
        <w:rPr>
          <w:rFonts w:ascii="Times New Roman" w:hAnsi="Times New Roman"/>
          <w:color w:val="201F1E"/>
        </w:rPr>
        <w:t xml:space="preserve">: </w:t>
      </w:r>
      <w:r w:rsidRPr="00A5730C">
        <w:rPr>
          <w:rFonts w:ascii="Times New Roman" w:hAnsi="Times New Roman"/>
          <w:color w:val="201F1E"/>
        </w:rPr>
        <w:t>74134</w:t>
      </w:r>
      <w:r w:rsidRPr="00032F86">
        <w:rPr>
          <w:rFonts w:ascii="Times New Roman" w:hAnsi="Times New Roman"/>
          <w:color w:val="201F1E"/>
        </w:rPr>
        <w:t xml:space="preserve">). Total RNA integrity was determined using Agilent Bioanalyzer. Library preparation was performed with 1ug of total RNA. Ribosomal RNA was removed by a hybridization method using </w:t>
      </w:r>
      <w:proofErr w:type="spellStart"/>
      <w:r w:rsidRPr="00032F86">
        <w:rPr>
          <w:rFonts w:ascii="Times New Roman" w:hAnsi="Times New Roman"/>
          <w:color w:val="201F1E"/>
        </w:rPr>
        <w:t>Ribo</w:t>
      </w:r>
      <w:proofErr w:type="spellEnd"/>
      <w:r w:rsidRPr="00032F86">
        <w:rPr>
          <w:rFonts w:ascii="Times New Roman" w:hAnsi="Times New Roman"/>
          <w:color w:val="201F1E"/>
        </w:rPr>
        <w:t>-ZERO kits (Illumina-</w:t>
      </w:r>
      <w:proofErr w:type="spellStart"/>
      <w:r w:rsidRPr="00032F86">
        <w:rPr>
          <w:rFonts w:ascii="Times New Roman" w:hAnsi="Times New Roman"/>
          <w:color w:val="201F1E"/>
        </w:rPr>
        <w:t>EpiCentre</w:t>
      </w:r>
      <w:proofErr w:type="spellEnd"/>
      <w:r w:rsidRPr="00032F86">
        <w:rPr>
          <w:rFonts w:ascii="Times New Roman" w:hAnsi="Times New Roman"/>
          <w:color w:val="201F1E"/>
        </w:rPr>
        <w:t xml:space="preserve">). mRNA was then fragmented and reverse transcribed to yield cDNA using </w:t>
      </w:r>
      <w:proofErr w:type="spellStart"/>
      <w:r w:rsidRPr="00032F86">
        <w:rPr>
          <w:rFonts w:ascii="Times New Roman" w:hAnsi="Times New Roman"/>
          <w:color w:val="201F1E"/>
        </w:rPr>
        <w:t>SuperScript</w:t>
      </w:r>
      <w:proofErr w:type="spellEnd"/>
      <w:r w:rsidRPr="00032F86">
        <w:rPr>
          <w:rFonts w:ascii="Times New Roman" w:hAnsi="Times New Roman"/>
          <w:color w:val="201F1E"/>
        </w:rPr>
        <w:t xml:space="preserve"> III RT enzyme (Life Technologies, per manufacturer’s instructions) and random hexamers. A second strand reaction was performed to yield ds-cDNA. cDNA was blunt ended, had an A base added to the 3’ ends, and then had Illumina sequencing adapters ligated to the ends. Ligated fragments were then amplified for 13 cycles using primers incorporating unique index tags. Fragments were sequenced on an Illumina HiSeq3000 using single end reads extending 50 bases. Sequencing reads were checked for quality using</w:t>
      </w:r>
      <w:r>
        <w:rPr>
          <w:rFonts w:ascii="Times New Roman" w:hAnsi="Times New Roman"/>
          <w:color w:val="201F1E"/>
        </w:rPr>
        <w:t xml:space="preserve"> </w:t>
      </w:r>
      <w:proofErr w:type="spellStart"/>
      <w:r>
        <w:rPr>
          <w:rFonts w:ascii="Times New Roman" w:hAnsi="Times New Roman"/>
          <w:color w:val="201F1E"/>
        </w:rPr>
        <w:t>FastQC</w:t>
      </w:r>
      <w:proofErr w:type="spellEnd"/>
      <w:r w:rsidR="00382E29">
        <w:rPr>
          <w:rFonts w:ascii="Times New Roman" w:hAnsi="Times New Roman"/>
          <w:color w:val="201F1E"/>
        </w:rPr>
        <w:t xml:space="preserve"> (</w:t>
      </w:r>
      <w:r w:rsidR="00382E29" w:rsidRPr="00382E29">
        <w:rPr>
          <w:rFonts w:ascii="Times New Roman" w:hAnsi="Times New Roman"/>
          <w:color w:val="201F1E"/>
        </w:rPr>
        <w:t>RRID:SCR_014583</w:t>
      </w:r>
      <w:r w:rsidR="00382E29">
        <w:rPr>
          <w:rFonts w:ascii="Times New Roman" w:hAnsi="Times New Roman"/>
          <w:color w:val="201F1E"/>
        </w:rPr>
        <w:t>)</w:t>
      </w:r>
      <w:r>
        <w:rPr>
          <w:rFonts w:ascii="Times New Roman" w:hAnsi="Times New Roman"/>
          <w:color w:val="201F1E"/>
        </w:rPr>
        <w:t xml:space="preserve"> </w:t>
      </w:r>
      <w:r>
        <w:fldChar w:fldCharType="begin"/>
      </w:r>
      <w:r>
        <w:instrText>ADDIN BEC[Andrews S., 2010, #36054]</w:instrText>
      </w:r>
      <w:r>
        <w:fldChar w:fldCharType="separate"/>
      </w:r>
      <w:r>
        <w:t>(7)</w:t>
      </w:r>
      <w:r>
        <w:fldChar w:fldCharType="end"/>
      </w:r>
      <w:r w:rsidRPr="00032F86">
        <w:rPr>
          <w:rFonts w:ascii="Times New Roman" w:hAnsi="Times New Roman"/>
          <w:color w:val="201F1E"/>
        </w:rPr>
        <w:t xml:space="preserve"> and aligned to the mouse reference genome (mm10) using the splice-aware alignment tool HISAT2</w:t>
      </w:r>
      <w:r w:rsidR="00382E29">
        <w:rPr>
          <w:rFonts w:ascii="Times New Roman" w:hAnsi="Times New Roman"/>
          <w:color w:val="201F1E"/>
        </w:rPr>
        <w:t xml:space="preserve"> (</w:t>
      </w:r>
      <w:r w:rsidR="00382E29" w:rsidRPr="00382E29">
        <w:rPr>
          <w:rFonts w:ascii="Times New Roman" w:hAnsi="Times New Roman"/>
          <w:color w:val="201F1E"/>
        </w:rPr>
        <w:t>RRID:SCR_015530</w:t>
      </w:r>
      <w:r w:rsidR="00382E29">
        <w:rPr>
          <w:rFonts w:ascii="Times New Roman" w:hAnsi="Times New Roman"/>
          <w:color w:val="201F1E"/>
        </w:rPr>
        <w:t>)</w:t>
      </w:r>
      <w:r>
        <w:rPr>
          <w:rFonts w:ascii="Times New Roman" w:hAnsi="Times New Roman"/>
          <w:color w:val="201F1E"/>
        </w:rPr>
        <w:t xml:space="preserve"> </w:t>
      </w:r>
      <w:r>
        <w:fldChar w:fldCharType="begin"/>
      </w:r>
      <w:r>
        <w:instrText>ADDIN BEC[Kim et al., 2019, #21378]</w:instrText>
      </w:r>
      <w:r>
        <w:fldChar w:fldCharType="separate"/>
      </w:r>
      <w:r>
        <w:t>(8)</w:t>
      </w:r>
      <w:r>
        <w:fldChar w:fldCharType="end"/>
      </w:r>
      <w:r>
        <w:t xml:space="preserve"> </w:t>
      </w:r>
      <w:r w:rsidRPr="00032F86">
        <w:rPr>
          <w:rFonts w:ascii="Times New Roman" w:hAnsi="Times New Roman"/>
          <w:color w:val="201F1E"/>
        </w:rPr>
        <w:t>guided by the transcript annotation downloaded from the UCSC genome browser</w:t>
      </w:r>
      <w:r w:rsidR="00382E29">
        <w:rPr>
          <w:rFonts w:ascii="Times New Roman" w:hAnsi="Times New Roman"/>
          <w:color w:val="201F1E"/>
        </w:rPr>
        <w:t xml:space="preserve"> (</w:t>
      </w:r>
      <w:r w:rsidR="00382E29" w:rsidRPr="00382E29">
        <w:rPr>
          <w:rFonts w:ascii="Times New Roman" w:hAnsi="Times New Roman"/>
          <w:color w:val="201F1E"/>
        </w:rPr>
        <w:t>RRID:SCR_005780</w:t>
      </w:r>
      <w:r w:rsidR="00382E29">
        <w:rPr>
          <w:rFonts w:ascii="Times New Roman" w:hAnsi="Times New Roman"/>
          <w:color w:val="201F1E"/>
        </w:rPr>
        <w:t>)</w:t>
      </w:r>
      <w:r>
        <w:rPr>
          <w:rFonts w:ascii="Times New Roman" w:hAnsi="Times New Roman"/>
          <w:color w:val="201F1E"/>
        </w:rPr>
        <w:t xml:space="preserve"> </w:t>
      </w:r>
      <w:r>
        <w:fldChar w:fldCharType="begin"/>
      </w:r>
      <w:r>
        <w:instrText>ADDIN BEC[Haeussler et al., 2019, #50719]</w:instrText>
      </w:r>
      <w:r>
        <w:fldChar w:fldCharType="separate"/>
      </w:r>
      <w:r>
        <w:t>(9)</w:t>
      </w:r>
      <w:r>
        <w:fldChar w:fldCharType="end"/>
      </w:r>
      <w:r>
        <w:rPr>
          <w:rFonts w:ascii="Times New Roman" w:hAnsi="Times New Roman"/>
          <w:color w:val="201F1E"/>
        </w:rPr>
        <w:t>.</w:t>
      </w:r>
      <w:r w:rsidRPr="00032F86">
        <w:rPr>
          <w:rFonts w:ascii="Times New Roman" w:hAnsi="Times New Roman"/>
          <w:color w:val="201F1E"/>
        </w:rPr>
        <w:t xml:space="preserve"> Subsequently, </w:t>
      </w:r>
      <w:proofErr w:type="spellStart"/>
      <w:r w:rsidRPr="00032F86">
        <w:rPr>
          <w:rFonts w:ascii="Times New Roman" w:hAnsi="Times New Roman"/>
          <w:color w:val="201F1E"/>
        </w:rPr>
        <w:t>featureCount</w:t>
      </w:r>
      <w:r>
        <w:rPr>
          <w:rFonts w:ascii="Times New Roman" w:hAnsi="Times New Roman"/>
          <w:color w:val="201F1E"/>
        </w:rPr>
        <w:t>s</w:t>
      </w:r>
      <w:proofErr w:type="spellEnd"/>
      <w:r w:rsidR="00A878A2">
        <w:rPr>
          <w:rFonts w:ascii="Times New Roman" w:hAnsi="Times New Roman"/>
          <w:color w:val="201F1E"/>
        </w:rPr>
        <w:t xml:space="preserve"> (</w:t>
      </w:r>
      <w:r w:rsidR="00A878A2" w:rsidRPr="00A878A2">
        <w:rPr>
          <w:rFonts w:ascii="Times New Roman" w:hAnsi="Times New Roman"/>
          <w:color w:val="201F1E"/>
        </w:rPr>
        <w:t>RRID:SCR_012919</w:t>
      </w:r>
      <w:r w:rsidR="00A878A2">
        <w:rPr>
          <w:rFonts w:ascii="Times New Roman" w:hAnsi="Times New Roman"/>
          <w:color w:val="201F1E"/>
        </w:rPr>
        <w:t>)</w:t>
      </w:r>
      <w:r>
        <w:rPr>
          <w:rFonts w:ascii="Times New Roman" w:hAnsi="Times New Roman"/>
          <w:color w:val="201F1E"/>
        </w:rPr>
        <w:t xml:space="preserve"> </w:t>
      </w:r>
      <w:r>
        <w:fldChar w:fldCharType="begin"/>
      </w:r>
      <w:r>
        <w:instrText>ADDIN BEC[Liao et al., 2014, #70659]</w:instrText>
      </w:r>
      <w:r>
        <w:fldChar w:fldCharType="separate"/>
      </w:r>
      <w:r>
        <w:t>(10)</w:t>
      </w:r>
      <w:r>
        <w:fldChar w:fldCharType="end"/>
      </w:r>
      <w:r w:rsidRPr="00032F86">
        <w:rPr>
          <w:rFonts w:ascii="Times New Roman" w:hAnsi="Times New Roman"/>
          <w:color w:val="201F1E"/>
        </w:rPr>
        <w:t xml:space="preserve"> was used to quantify the raw count of reads mapped to the transcripts. </w:t>
      </w:r>
    </w:p>
    <w:p w14:paraId="24FA211B" w14:textId="77777777" w:rsidR="00A1075E" w:rsidRPr="00032F86" w:rsidRDefault="00A1075E" w:rsidP="00A1075E">
      <w:pPr>
        <w:rPr>
          <w:rFonts w:ascii="Times New Roman" w:hAnsi="Times New Roman"/>
          <w:color w:val="201F1E"/>
        </w:rPr>
      </w:pPr>
      <w:r w:rsidRPr="00032F86">
        <w:rPr>
          <w:rFonts w:ascii="Calibri" w:hAnsi="Calibri" w:cs="Calibri"/>
          <w:color w:val="1F497D"/>
          <w:sz w:val="22"/>
          <w:szCs w:val="22"/>
          <w:bdr w:val="none" w:sz="0" w:space="0" w:color="auto" w:frame="1"/>
        </w:rPr>
        <w:t> </w:t>
      </w:r>
    </w:p>
    <w:p w14:paraId="2AD4C9EC" w14:textId="34B76D40" w:rsidR="00A1075E" w:rsidRPr="00032F86" w:rsidRDefault="00A1075E" w:rsidP="00A1075E">
      <w:pPr>
        <w:rPr>
          <w:rFonts w:ascii="Times New Roman" w:hAnsi="Times New Roman"/>
          <w:color w:val="201F1E"/>
        </w:rPr>
      </w:pPr>
      <w:r w:rsidRPr="00032F86">
        <w:rPr>
          <w:rFonts w:ascii="Times New Roman" w:hAnsi="Times New Roman"/>
          <w:color w:val="000000" w:themeColor="text1"/>
          <w:bdr w:val="none" w:sz="0" w:space="0" w:color="auto" w:frame="1"/>
        </w:rPr>
        <w:t xml:space="preserve">For transcriptomic profiles of 4T1 lines, β3WT and β3KO were cultured in biological triplicate on poly-L-lysine-coated 6-well petri dishes for 24h in the presence of DMSO or 10nM DTX. After a 48h drug-free recovery period, cells were </w:t>
      </w:r>
      <w:proofErr w:type="gramStart"/>
      <w:r w:rsidRPr="00032F86">
        <w:rPr>
          <w:rFonts w:ascii="Times New Roman" w:hAnsi="Times New Roman"/>
          <w:color w:val="201F1E"/>
        </w:rPr>
        <w:t>lysed</w:t>
      </w:r>
      <w:proofErr w:type="gramEnd"/>
      <w:r w:rsidRPr="00032F86">
        <w:rPr>
          <w:rFonts w:ascii="Times New Roman" w:hAnsi="Times New Roman"/>
          <w:color w:val="201F1E"/>
        </w:rPr>
        <w:t xml:space="preserve"> and RNA extracted using the RNeasy Plus Mini Kit (QIAGEN</w:t>
      </w:r>
      <w:r>
        <w:rPr>
          <w:rFonts w:ascii="Times New Roman" w:hAnsi="Times New Roman"/>
          <w:color w:val="201F1E"/>
        </w:rPr>
        <w:t xml:space="preserve">: </w:t>
      </w:r>
      <w:r w:rsidRPr="005E34CB">
        <w:rPr>
          <w:rFonts w:ascii="Times New Roman" w:hAnsi="Times New Roman"/>
          <w:color w:val="201F1E"/>
        </w:rPr>
        <w:t>74134</w:t>
      </w:r>
      <w:r w:rsidRPr="00032F86">
        <w:rPr>
          <w:rFonts w:ascii="Times New Roman" w:hAnsi="Times New Roman"/>
          <w:color w:val="201F1E"/>
        </w:rPr>
        <w:t xml:space="preserve">). </w:t>
      </w:r>
      <w:r w:rsidRPr="00032F86">
        <w:rPr>
          <w:rFonts w:ascii="Times New Roman" w:hAnsi="Times New Roman"/>
          <w:color w:val="000000" w:themeColor="text1"/>
          <w:bdr w:val="none" w:sz="0" w:space="0" w:color="auto" w:frame="1"/>
        </w:rPr>
        <w:t xml:space="preserve"> </w:t>
      </w:r>
      <w:r>
        <w:rPr>
          <w:rFonts w:ascii="Times New Roman" w:hAnsi="Times New Roman"/>
          <w:color w:val="000000" w:themeColor="text1"/>
        </w:rPr>
        <w:t>T</w:t>
      </w:r>
      <w:r w:rsidRPr="00032F86">
        <w:rPr>
          <w:rFonts w:ascii="Times New Roman" w:hAnsi="Times New Roman"/>
          <w:color w:val="000000" w:themeColor="text1"/>
        </w:rPr>
        <w:t xml:space="preserve">otal </w:t>
      </w:r>
      <w:r w:rsidRPr="00032F86">
        <w:rPr>
          <w:rFonts w:ascii="Times New Roman" w:hAnsi="Times New Roman"/>
          <w:color w:val="201F1E"/>
        </w:rPr>
        <w:t xml:space="preserve">RNA integrity was determined using Agilent 4200 </w:t>
      </w:r>
      <w:proofErr w:type="spellStart"/>
      <w:r w:rsidRPr="00032F86">
        <w:rPr>
          <w:rFonts w:ascii="Times New Roman" w:hAnsi="Times New Roman"/>
          <w:color w:val="201F1E"/>
        </w:rPr>
        <w:t>Tapestation</w:t>
      </w:r>
      <w:proofErr w:type="spellEnd"/>
      <w:r w:rsidRPr="00032F86">
        <w:rPr>
          <w:rFonts w:ascii="Times New Roman" w:hAnsi="Times New Roman"/>
          <w:color w:val="201F1E"/>
        </w:rPr>
        <w:t xml:space="preserve">. Library preparation was performed with 1ug of total RNA. Ribosomal RNA was removed by an RNase-H method using </w:t>
      </w:r>
      <w:proofErr w:type="spellStart"/>
      <w:r w:rsidRPr="00032F86">
        <w:rPr>
          <w:rFonts w:ascii="Times New Roman" w:hAnsi="Times New Roman"/>
          <w:color w:val="201F1E"/>
        </w:rPr>
        <w:t>RiboErase</w:t>
      </w:r>
      <w:proofErr w:type="spellEnd"/>
      <w:r w:rsidRPr="00032F86">
        <w:rPr>
          <w:rFonts w:ascii="Times New Roman" w:hAnsi="Times New Roman"/>
          <w:color w:val="201F1E"/>
        </w:rPr>
        <w:t xml:space="preserve"> kits (Kapa Biosystems). mRNA was then fragmented in reverse transcriptase buffer and heat</w:t>
      </w:r>
      <w:r>
        <w:rPr>
          <w:rFonts w:ascii="Times New Roman" w:hAnsi="Times New Roman"/>
          <w:color w:val="201F1E"/>
        </w:rPr>
        <w:t>ed</w:t>
      </w:r>
      <w:r w:rsidRPr="00032F86">
        <w:rPr>
          <w:rFonts w:ascii="Times New Roman" w:hAnsi="Times New Roman"/>
          <w:color w:val="201F1E"/>
        </w:rPr>
        <w:t xml:space="preserve"> to 94 degrees for 8 minutes. mRNA was reverse transcribed to yield cDNA using </w:t>
      </w:r>
      <w:proofErr w:type="spellStart"/>
      <w:r w:rsidRPr="00032F86">
        <w:rPr>
          <w:rFonts w:ascii="Times New Roman" w:hAnsi="Times New Roman"/>
          <w:color w:val="201F1E"/>
        </w:rPr>
        <w:t>SuperScript</w:t>
      </w:r>
      <w:proofErr w:type="spellEnd"/>
      <w:r w:rsidRPr="00032F86">
        <w:rPr>
          <w:rFonts w:ascii="Times New Roman" w:hAnsi="Times New Roman"/>
          <w:color w:val="201F1E"/>
        </w:rPr>
        <w:t xml:space="preserve"> III RT enzyme (Life Technologies, per </w:t>
      </w:r>
      <w:r w:rsidRPr="00032F86">
        <w:rPr>
          <w:rFonts w:ascii="Times New Roman" w:hAnsi="Times New Roman"/>
          <w:color w:val="201F1E"/>
        </w:rPr>
        <w:lastRenderedPageBreak/>
        <w:t xml:space="preserve">manufacturer’s instructions) and random hexamers. A second strand reaction was performed to yield ds-cDNA. cDNA was blunt ended, had an A base added to the 3’ ends, and then had Illumina sequencing adapters ligated to the ends. Ligated fragments were then amplified for 12 cycles using primers incorporating unique dual index tags. Fragments were sequenced on an Illumina NovaSeq-6000 using paired end reads extending 150 bases. </w:t>
      </w:r>
      <w:proofErr w:type="spellStart"/>
      <w:r w:rsidRPr="00032F86">
        <w:rPr>
          <w:rFonts w:ascii="Times New Roman" w:hAnsi="Times New Roman"/>
          <w:color w:val="201F1E"/>
        </w:rPr>
        <w:t>Basecalls</w:t>
      </w:r>
      <w:proofErr w:type="spellEnd"/>
      <w:r w:rsidRPr="00032F86">
        <w:rPr>
          <w:rFonts w:ascii="Times New Roman" w:hAnsi="Times New Roman"/>
          <w:color w:val="201F1E"/>
        </w:rPr>
        <w:t xml:space="preserve"> and demultiplexing were performed with Illumina’s bcl2fastq software</w:t>
      </w:r>
      <w:r w:rsidR="00AD5A4C">
        <w:rPr>
          <w:rFonts w:ascii="Times New Roman" w:hAnsi="Times New Roman"/>
          <w:color w:val="201F1E"/>
        </w:rPr>
        <w:t xml:space="preserve"> (</w:t>
      </w:r>
      <w:r w:rsidR="00AD5A4C" w:rsidRPr="00AD5A4C">
        <w:rPr>
          <w:rFonts w:ascii="Times New Roman" w:hAnsi="Times New Roman"/>
          <w:color w:val="201F1E"/>
        </w:rPr>
        <w:t>RRID:SCR_015058</w:t>
      </w:r>
      <w:r w:rsidR="00AD5A4C">
        <w:rPr>
          <w:rFonts w:ascii="Times New Roman" w:hAnsi="Times New Roman"/>
          <w:color w:val="201F1E"/>
        </w:rPr>
        <w:t>)</w:t>
      </w:r>
      <w:r w:rsidRPr="00032F86">
        <w:rPr>
          <w:rFonts w:ascii="Times New Roman" w:hAnsi="Times New Roman"/>
          <w:color w:val="201F1E"/>
        </w:rPr>
        <w:t xml:space="preserve"> and a custom python demultiplexing program with a maximum of one mismatch in the indexing read.  RNA-</w:t>
      </w:r>
      <w:r>
        <w:rPr>
          <w:rFonts w:ascii="Times New Roman" w:hAnsi="Times New Roman"/>
          <w:color w:val="201F1E"/>
        </w:rPr>
        <w:t>S</w:t>
      </w:r>
      <w:r w:rsidRPr="00032F86">
        <w:rPr>
          <w:rFonts w:ascii="Times New Roman" w:hAnsi="Times New Roman"/>
          <w:color w:val="201F1E"/>
        </w:rPr>
        <w:t xml:space="preserve">eq reads were then aligned to the </w:t>
      </w:r>
      <w:proofErr w:type="spellStart"/>
      <w:r w:rsidRPr="00032F86">
        <w:rPr>
          <w:rFonts w:ascii="Times New Roman" w:hAnsi="Times New Roman"/>
          <w:color w:val="201F1E"/>
        </w:rPr>
        <w:t>Ensembl</w:t>
      </w:r>
      <w:proofErr w:type="spellEnd"/>
      <w:r w:rsidRPr="00032F86">
        <w:rPr>
          <w:rFonts w:ascii="Times New Roman" w:hAnsi="Times New Roman"/>
          <w:color w:val="201F1E"/>
        </w:rPr>
        <w:t xml:space="preserve"> release 76 primary assembly with STAR version 2.5.1a</w:t>
      </w:r>
      <w:r w:rsidR="00AD5A4C">
        <w:rPr>
          <w:rFonts w:ascii="Times New Roman" w:hAnsi="Times New Roman"/>
          <w:color w:val="201F1E"/>
        </w:rPr>
        <w:t xml:space="preserve"> (</w:t>
      </w:r>
      <w:r w:rsidR="00AD5A4C" w:rsidRPr="00AD5A4C">
        <w:rPr>
          <w:rFonts w:ascii="Times New Roman" w:hAnsi="Times New Roman"/>
          <w:color w:val="201F1E"/>
        </w:rPr>
        <w:t>RRID:SCR_015899</w:t>
      </w:r>
      <w:r w:rsidR="00AD5A4C">
        <w:rPr>
          <w:rFonts w:ascii="Times New Roman" w:hAnsi="Times New Roman"/>
          <w:color w:val="201F1E"/>
        </w:rPr>
        <w:t>)</w:t>
      </w:r>
      <w:r w:rsidRPr="00032F86">
        <w:rPr>
          <w:rFonts w:ascii="Times New Roman" w:hAnsi="Times New Roman"/>
        </w:rPr>
        <w:t xml:space="preserve"> </w:t>
      </w:r>
      <w:r>
        <w:fldChar w:fldCharType="begin"/>
      </w:r>
      <w:r>
        <w:instrText>ADDIN BEC[Dobin et al., 2013, #37869]</w:instrText>
      </w:r>
      <w:r>
        <w:fldChar w:fldCharType="separate"/>
      </w:r>
      <w:r>
        <w:t>(11)</w:t>
      </w:r>
      <w:r>
        <w:fldChar w:fldCharType="end"/>
      </w:r>
      <w:r w:rsidRPr="00032F86">
        <w:rPr>
          <w:rFonts w:ascii="Times New Roman" w:hAnsi="Times New Roman"/>
          <w:color w:val="201F1E"/>
        </w:rPr>
        <w:t xml:space="preserve">.  Gene counts were derived from the number of uniquely aligned unambiguous reads by </w:t>
      </w:r>
      <w:proofErr w:type="spellStart"/>
      <w:proofErr w:type="gramStart"/>
      <w:r w:rsidRPr="00032F86">
        <w:rPr>
          <w:rFonts w:ascii="Times New Roman" w:hAnsi="Times New Roman"/>
          <w:color w:val="201F1E"/>
        </w:rPr>
        <w:t>Subread:featureCount</w:t>
      </w:r>
      <w:proofErr w:type="spellEnd"/>
      <w:proofErr w:type="gramEnd"/>
      <w:r w:rsidRPr="00032F86">
        <w:rPr>
          <w:rFonts w:ascii="Times New Roman" w:hAnsi="Times New Roman"/>
          <w:color w:val="201F1E"/>
        </w:rPr>
        <w:t xml:space="preserve"> version 1.4.6-p5</w:t>
      </w:r>
      <w:r w:rsidR="00AD5A4C">
        <w:rPr>
          <w:rFonts w:ascii="Times New Roman" w:hAnsi="Times New Roman"/>
          <w:color w:val="201F1E"/>
        </w:rPr>
        <w:t xml:space="preserve"> </w:t>
      </w:r>
      <w:r w:rsidR="00AD5A4C" w:rsidRPr="00AD5A4C">
        <w:rPr>
          <w:rFonts w:ascii="Times New Roman" w:hAnsi="Times New Roman"/>
          <w:color w:val="201F1E"/>
        </w:rPr>
        <w:t>RRID:SCR_012919</w:t>
      </w:r>
      <w:r w:rsidR="00AD5A4C">
        <w:rPr>
          <w:rFonts w:ascii="Times New Roman" w:hAnsi="Times New Roman"/>
          <w:color w:val="201F1E"/>
        </w:rPr>
        <w:t>)</w:t>
      </w:r>
      <w:r w:rsidRPr="00032F86">
        <w:rPr>
          <w:rFonts w:ascii="Times New Roman" w:hAnsi="Times New Roman"/>
        </w:rPr>
        <w:t xml:space="preserve"> </w:t>
      </w:r>
      <w:r>
        <w:fldChar w:fldCharType="begin"/>
      </w:r>
      <w:r>
        <w:instrText>ADDIN BEC[Liao et al., 2014, #70659]</w:instrText>
      </w:r>
      <w:r>
        <w:fldChar w:fldCharType="separate"/>
      </w:r>
      <w:r>
        <w:t>(10)</w:t>
      </w:r>
      <w:r>
        <w:fldChar w:fldCharType="end"/>
      </w:r>
      <w:r w:rsidRPr="00032F86">
        <w:rPr>
          <w:rFonts w:ascii="Times New Roman" w:hAnsi="Times New Roman"/>
          <w:color w:val="201F1E"/>
        </w:rPr>
        <w:t xml:space="preserve">. Isoform expression of known </w:t>
      </w:r>
      <w:proofErr w:type="spellStart"/>
      <w:r w:rsidRPr="00032F86">
        <w:rPr>
          <w:rFonts w:ascii="Times New Roman" w:hAnsi="Times New Roman"/>
          <w:color w:val="201F1E"/>
        </w:rPr>
        <w:t>Ensembl</w:t>
      </w:r>
      <w:proofErr w:type="spellEnd"/>
      <w:r w:rsidRPr="00032F86">
        <w:rPr>
          <w:rFonts w:ascii="Times New Roman" w:hAnsi="Times New Roman"/>
          <w:color w:val="201F1E"/>
        </w:rPr>
        <w:t xml:space="preserve"> transcripts w</w:t>
      </w:r>
      <w:r>
        <w:rPr>
          <w:rFonts w:ascii="Times New Roman" w:hAnsi="Times New Roman"/>
          <w:color w:val="201F1E"/>
        </w:rPr>
        <w:t>as</w:t>
      </w:r>
      <w:r w:rsidRPr="00032F86">
        <w:rPr>
          <w:rFonts w:ascii="Times New Roman" w:hAnsi="Times New Roman"/>
          <w:color w:val="201F1E"/>
        </w:rPr>
        <w:t xml:space="preserve"> estimated with Salmon version 0.8.2</w:t>
      </w:r>
      <w:r w:rsidR="00AD5A4C">
        <w:rPr>
          <w:rFonts w:ascii="Times New Roman" w:hAnsi="Times New Roman"/>
          <w:color w:val="201F1E"/>
        </w:rPr>
        <w:t xml:space="preserve"> (</w:t>
      </w:r>
      <w:r w:rsidR="00AD5A4C" w:rsidRPr="00AD5A4C">
        <w:rPr>
          <w:rFonts w:ascii="Times New Roman" w:hAnsi="Times New Roman"/>
          <w:color w:val="201F1E"/>
        </w:rPr>
        <w:t>RRID:SCR_017036</w:t>
      </w:r>
      <w:r w:rsidR="00AD5A4C">
        <w:rPr>
          <w:rFonts w:ascii="Times New Roman" w:hAnsi="Times New Roman"/>
          <w:color w:val="201F1E"/>
        </w:rPr>
        <w:t>)</w:t>
      </w:r>
      <w:r>
        <w:rPr>
          <w:rFonts w:ascii="Times New Roman" w:hAnsi="Times New Roman"/>
          <w:color w:val="201F1E"/>
        </w:rPr>
        <w:t xml:space="preserve"> </w:t>
      </w:r>
      <w:r>
        <w:fldChar w:fldCharType="begin"/>
      </w:r>
      <w:r>
        <w:instrText>ADDIN BEC[Patro et al., 2017, #73083]</w:instrText>
      </w:r>
      <w:r>
        <w:fldChar w:fldCharType="separate"/>
      </w:r>
      <w:r>
        <w:t>(12)</w:t>
      </w:r>
      <w:r>
        <w:fldChar w:fldCharType="end"/>
      </w:r>
      <w:r w:rsidRPr="00032F86">
        <w:rPr>
          <w:rFonts w:ascii="Times New Roman" w:hAnsi="Times New Roman"/>
          <w:color w:val="201F1E"/>
        </w:rPr>
        <w:t xml:space="preserve">.  Sequencing performance was assessed for the total number of aligned reads, total number of uniquely aligned reads, and features detected.  The ribosomal fraction, known junction saturation, and read distribution over known gene models were quantified with </w:t>
      </w:r>
      <w:proofErr w:type="spellStart"/>
      <w:r w:rsidRPr="00032F86">
        <w:rPr>
          <w:rFonts w:ascii="Times New Roman" w:hAnsi="Times New Roman"/>
          <w:color w:val="201F1E"/>
        </w:rPr>
        <w:t>RSeQC</w:t>
      </w:r>
      <w:proofErr w:type="spellEnd"/>
      <w:r w:rsidRPr="00032F86">
        <w:rPr>
          <w:rFonts w:ascii="Times New Roman" w:hAnsi="Times New Roman"/>
          <w:color w:val="201F1E"/>
        </w:rPr>
        <w:t xml:space="preserve"> version 2.6.2</w:t>
      </w:r>
      <w:r w:rsidR="00AD5A4C">
        <w:rPr>
          <w:rFonts w:ascii="Times New Roman" w:hAnsi="Times New Roman"/>
          <w:color w:val="201F1E"/>
        </w:rPr>
        <w:t xml:space="preserve"> (</w:t>
      </w:r>
      <w:r w:rsidR="00AD5A4C" w:rsidRPr="00AD5A4C">
        <w:rPr>
          <w:rFonts w:ascii="Times New Roman" w:hAnsi="Times New Roman"/>
          <w:color w:val="201F1E"/>
        </w:rPr>
        <w:t>RRID:SCR_005275</w:t>
      </w:r>
      <w:r w:rsidR="00AD5A4C">
        <w:rPr>
          <w:rFonts w:ascii="Times New Roman" w:hAnsi="Times New Roman"/>
          <w:color w:val="201F1E"/>
        </w:rPr>
        <w:t>)</w:t>
      </w:r>
      <w:r>
        <w:t xml:space="preserve"> </w:t>
      </w:r>
      <w:r>
        <w:fldChar w:fldCharType="begin"/>
      </w:r>
      <w:r>
        <w:instrText>ADDIN BEC[Wang et al., 2012, #85104]</w:instrText>
      </w:r>
      <w:r>
        <w:fldChar w:fldCharType="separate"/>
      </w:r>
      <w:r>
        <w:t>(13)</w:t>
      </w:r>
      <w:r>
        <w:fldChar w:fldCharType="end"/>
      </w:r>
      <w:r w:rsidRPr="00032F86">
        <w:rPr>
          <w:rFonts w:ascii="Times New Roman" w:hAnsi="Times New Roman"/>
          <w:color w:val="201F1E"/>
        </w:rPr>
        <w:t>.</w:t>
      </w:r>
    </w:p>
    <w:p w14:paraId="405336A8" w14:textId="77777777" w:rsidR="00A1075E" w:rsidRPr="00032F86" w:rsidRDefault="00A1075E" w:rsidP="00A1075E">
      <w:pPr>
        <w:rPr>
          <w:rFonts w:ascii="Times New Roman" w:hAnsi="Times New Roman"/>
          <w:color w:val="201F1E"/>
        </w:rPr>
      </w:pPr>
    </w:p>
    <w:p w14:paraId="53648F4A" w14:textId="0481B096" w:rsidR="00A1075E" w:rsidRPr="00032F86" w:rsidRDefault="00A1075E" w:rsidP="00A1075E">
      <w:pPr>
        <w:rPr>
          <w:rFonts w:ascii="Times New Roman" w:hAnsi="Times New Roman"/>
          <w:color w:val="201F1E"/>
        </w:rPr>
      </w:pPr>
      <w:r w:rsidRPr="00032F86">
        <w:rPr>
          <w:rFonts w:ascii="Times New Roman" w:hAnsi="Times New Roman"/>
          <w:color w:val="201F1E"/>
        </w:rPr>
        <w:t xml:space="preserve">For both projects, </w:t>
      </w:r>
      <w:r>
        <w:rPr>
          <w:rFonts w:ascii="Times New Roman" w:hAnsi="Times New Roman"/>
          <w:color w:val="201F1E"/>
        </w:rPr>
        <w:t xml:space="preserve">gene </w:t>
      </w:r>
      <w:r w:rsidRPr="00032F86">
        <w:rPr>
          <w:rFonts w:ascii="Times New Roman" w:hAnsi="Times New Roman"/>
          <w:color w:val="201F1E"/>
        </w:rPr>
        <w:t xml:space="preserve">counts were used for expression normalization and differential expression analysis using </w:t>
      </w:r>
      <w:proofErr w:type="spellStart"/>
      <w:r w:rsidRPr="00032F86">
        <w:rPr>
          <w:rFonts w:ascii="Times New Roman" w:hAnsi="Times New Roman"/>
          <w:color w:val="201F1E"/>
        </w:rPr>
        <w:t>edgeR</w:t>
      </w:r>
      <w:proofErr w:type="spellEnd"/>
      <w:r w:rsidR="00AD5A4C">
        <w:rPr>
          <w:rFonts w:ascii="Times New Roman" w:hAnsi="Times New Roman"/>
          <w:color w:val="201F1E"/>
        </w:rPr>
        <w:t xml:space="preserve"> (</w:t>
      </w:r>
      <w:r w:rsidR="00AD5A4C" w:rsidRPr="00AD5A4C">
        <w:rPr>
          <w:rFonts w:ascii="Times New Roman" w:hAnsi="Times New Roman"/>
          <w:color w:val="201F1E"/>
        </w:rPr>
        <w:t>RRID:SCR_012802</w:t>
      </w:r>
      <w:r w:rsidR="00AD5A4C">
        <w:rPr>
          <w:rFonts w:ascii="Times New Roman" w:hAnsi="Times New Roman"/>
          <w:color w:val="201F1E"/>
        </w:rPr>
        <w:t>)</w:t>
      </w:r>
      <w:r>
        <w:t xml:space="preserve"> </w:t>
      </w:r>
      <w:r>
        <w:fldChar w:fldCharType="begin"/>
      </w:r>
      <w:r>
        <w:instrText>ADDIN BEC[Robinson et al., 2010, #89812]</w:instrText>
      </w:r>
      <w:r>
        <w:fldChar w:fldCharType="separate"/>
      </w:r>
      <w:r>
        <w:t>(14)</w:t>
      </w:r>
      <w:r>
        <w:fldChar w:fldCharType="end"/>
      </w:r>
      <w:r w:rsidRPr="00032F86">
        <w:rPr>
          <w:rFonts w:ascii="Times New Roman" w:hAnsi="Times New Roman"/>
          <w:color w:val="201F1E"/>
        </w:rPr>
        <w:t>. Ranked lists of normalized expression values were then imported into GSEA</w:t>
      </w:r>
      <w:r>
        <w:rPr>
          <w:rFonts w:ascii="Times New Roman" w:hAnsi="Times New Roman"/>
          <w:color w:val="201F1E"/>
        </w:rPr>
        <w:t xml:space="preserve"> v4.0.1 (Broad Institute, </w:t>
      </w:r>
      <w:r w:rsidRPr="004621C6">
        <w:rPr>
          <w:rFonts w:ascii="Times New Roman" w:hAnsi="Times New Roman"/>
          <w:color w:val="201F1E"/>
        </w:rPr>
        <w:t>RRID:SCR_003199</w:t>
      </w:r>
      <w:r>
        <w:rPr>
          <w:rFonts w:ascii="Times New Roman" w:hAnsi="Times New Roman"/>
          <w:color w:val="201F1E"/>
        </w:rPr>
        <w:t>)</w:t>
      </w:r>
      <w:r>
        <w:rPr>
          <w:rFonts w:ascii="Times New Roman" w:hAnsi="Times New Roman"/>
        </w:rPr>
        <w:t xml:space="preserve"> </w:t>
      </w:r>
      <w:r>
        <w:fldChar w:fldCharType="begin"/>
      </w:r>
      <w:r>
        <w:instrText>ADDIN BEC[Subramanian et al., 2005, #56619][Mootha et al., 2003, #60898]</w:instrText>
      </w:r>
      <w:r>
        <w:fldChar w:fldCharType="separate"/>
      </w:r>
      <w:r>
        <w:t>(15, 16)</w:t>
      </w:r>
      <w:r>
        <w:fldChar w:fldCharType="end"/>
      </w:r>
      <w:r w:rsidRPr="00032F86">
        <w:rPr>
          <w:rFonts w:ascii="Times New Roman" w:hAnsi="Times New Roman"/>
          <w:color w:val="201F1E"/>
        </w:rPr>
        <w:t xml:space="preserve"> for hallmark gene set enrichment analysis</w:t>
      </w:r>
      <w:r>
        <w:t xml:space="preserve"> </w:t>
      </w:r>
      <w:r>
        <w:fldChar w:fldCharType="begin"/>
      </w:r>
      <w:r>
        <w:instrText>ADDIN BEC[Liberzon et al., 2015, #19514]</w:instrText>
      </w:r>
      <w:r>
        <w:fldChar w:fldCharType="separate"/>
      </w:r>
      <w:r>
        <w:t>(17)</w:t>
      </w:r>
      <w:r>
        <w:fldChar w:fldCharType="end"/>
      </w:r>
      <w:r w:rsidRPr="00032F86">
        <w:rPr>
          <w:rFonts w:ascii="Times New Roman" w:hAnsi="Times New Roman"/>
          <w:color w:val="201F1E"/>
        </w:rPr>
        <w:t xml:space="preserve">. </w:t>
      </w:r>
    </w:p>
    <w:p w14:paraId="53D9F5EE" w14:textId="77777777" w:rsidR="00A1075E" w:rsidRPr="00032F86" w:rsidRDefault="00A1075E" w:rsidP="00A1075E">
      <w:pPr>
        <w:keepNext/>
        <w:suppressAutoHyphens/>
        <w:outlineLvl w:val="1"/>
        <w:rPr>
          <w:rFonts w:ascii="Times New Roman" w:hAnsi="Times New Roman"/>
        </w:rPr>
      </w:pPr>
      <w:r w:rsidRPr="00032F86">
        <w:rPr>
          <w:rFonts w:ascii="Times New Roman" w:hAnsi="Times New Roman"/>
        </w:rPr>
        <w:t xml:space="preserve">        </w:t>
      </w:r>
    </w:p>
    <w:p w14:paraId="6BBC8273" w14:textId="77777777" w:rsidR="00A1075E" w:rsidRPr="00032F86" w:rsidRDefault="00A1075E" w:rsidP="00A1075E">
      <w:pPr>
        <w:keepNext/>
        <w:suppressAutoHyphens/>
        <w:outlineLvl w:val="1"/>
        <w:rPr>
          <w:rFonts w:ascii="Times New Roman" w:hAnsi="Times New Roman"/>
          <w:i/>
          <w:iCs/>
        </w:rPr>
      </w:pPr>
      <w:r w:rsidRPr="00032F86">
        <w:rPr>
          <w:rFonts w:ascii="Times New Roman" w:hAnsi="Times New Roman"/>
          <w:i/>
          <w:iCs/>
        </w:rPr>
        <w:t>Integrin αvβ3 antagonist homing ligand</w:t>
      </w:r>
    </w:p>
    <w:p w14:paraId="39E5718F" w14:textId="77777777" w:rsidR="00A1075E" w:rsidRDefault="00A1075E" w:rsidP="00A1075E">
      <w:pPr>
        <w:keepNext/>
        <w:suppressAutoHyphens/>
        <w:outlineLvl w:val="1"/>
        <w:rPr>
          <w:rFonts w:ascii="Times New Roman" w:hAnsi="Times New Roman"/>
        </w:rPr>
      </w:pPr>
      <w:r w:rsidRPr="00032F86">
        <w:rPr>
          <w:rFonts w:ascii="Times New Roman" w:hAnsi="Times New Roman"/>
        </w:rPr>
        <w:t xml:space="preserve">The vitronectin antagonist specific for activated integrin αvβ3 was a </w:t>
      </w:r>
      <w:proofErr w:type="spellStart"/>
      <w:r w:rsidRPr="00032F86">
        <w:rPr>
          <w:rFonts w:ascii="Times New Roman" w:hAnsi="Times New Roman"/>
        </w:rPr>
        <w:t>quinalone</w:t>
      </w:r>
      <w:proofErr w:type="spellEnd"/>
      <w:r w:rsidRPr="00032F86">
        <w:rPr>
          <w:rFonts w:ascii="Times New Roman" w:hAnsi="Times New Roman"/>
        </w:rPr>
        <w:t xml:space="preserve"> nonpeptide, developed by Bristol-Myers Squibb Medical Imaging (US patent 6,511,648 and related patents) and coupled to phosphatidylethanolamine-polyethylene glycol 2000 (αvβ3-PEG2000-PE, </w:t>
      </w:r>
      <w:r w:rsidRPr="009026FC">
        <w:rPr>
          <w:rFonts w:ascii="Times New Roman" w:hAnsi="Times New Roman"/>
          <w:b/>
          <w:bCs/>
        </w:rPr>
        <w:t>Supplementary Fig. S7A</w:t>
      </w:r>
      <w:r w:rsidRPr="00032F86">
        <w:rPr>
          <w:rFonts w:ascii="Times New Roman" w:hAnsi="Times New Roman"/>
        </w:rPr>
        <w:t>). The antagonist was initially characterized as the 111In-DOTA conjugate RP478 and cyan 5.5 homologue TA145</w:t>
      </w:r>
      <w:r>
        <w:rPr>
          <w:rFonts w:ascii="Times New Roman" w:hAnsi="Times New Roman"/>
        </w:rPr>
        <w:t xml:space="preserve"> </w:t>
      </w:r>
      <w:r>
        <w:fldChar w:fldCharType="begin"/>
      </w:r>
      <w:r>
        <w:instrText>ADDIN BEC[Harris et al., 2003, #28298][Harris et al., 2006, #90542][Harris et al., 2007, #91060]</w:instrText>
      </w:r>
      <w:r>
        <w:fldChar w:fldCharType="separate"/>
      </w:r>
      <w:r>
        <w:t>(18–20)</w:t>
      </w:r>
      <w:r>
        <w:fldChar w:fldCharType="end"/>
      </w:r>
      <w:r>
        <w:rPr>
          <w:rFonts w:ascii="Times New Roman" w:hAnsi="Times New Roman"/>
        </w:rPr>
        <w:t>.</w:t>
      </w:r>
      <w:r w:rsidRPr="00032F86">
        <w:rPr>
          <w:rFonts w:ascii="Times New Roman" w:hAnsi="Times New Roman"/>
        </w:rPr>
        <w:t xml:space="preserve"> </w:t>
      </w:r>
      <w:r>
        <w:rPr>
          <w:rFonts w:ascii="Times New Roman" w:hAnsi="Times New Roman"/>
        </w:rPr>
        <w:t>T</w:t>
      </w:r>
      <w:r w:rsidRPr="00032F86">
        <w:rPr>
          <w:rFonts w:ascii="Times New Roman" w:hAnsi="Times New Roman"/>
        </w:rPr>
        <w:t>he ανβ3 peptidomimetic had a 15-fold preference for the Mn2+-activated receptor</w:t>
      </w:r>
      <w:r>
        <w:t xml:space="preserve"> </w:t>
      </w:r>
      <w:r>
        <w:fldChar w:fldCharType="begin"/>
      </w:r>
      <w:r>
        <w:instrText>ADDIN BEC[Meoli et al., 2004, #32658][Sadeghi et al., 2004, #87715]</w:instrText>
      </w:r>
      <w:r>
        <w:fldChar w:fldCharType="separate"/>
      </w:r>
      <w:r>
        <w:t>(21, 22)</w:t>
      </w:r>
      <w:r>
        <w:fldChar w:fldCharType="end"/>
      </w:r>
      <w:r w:rsidRPr="00032F86">
        <w:rPr>
          <w:rFonts w:ascii="Times New Roman" w:hAnsi="Times New Roman"/>
        </w:rPr>
        <w:t xml:space="preserve"> and an IC50 for ανβ5, α5β1 and </w:t>
      </w:r>
      <w:proofErr w:type="spellStart"/>
      <w:r w:rsidRPr="00032F86">
        <w:rPr>
          <w:rFonts w:ascii="Times New Roman" w:hAnsi="Times New Roman"/>
        </w:rPr>
        <w:t>Gp-IIbIIIa</w:t>
      </w:r>
      <w:proofErr w:type="spellEnd"/>
      <w:r w:rsidRPr="00032F86">
        <w:rPr>
          <w:rFonts w:ascii="Times New Roman" w:hAnsi="Times New Roman"/>
        </w:rPr>
        <w:t xml:space="preserve"> of &gt;10 </w:t>
      </w:r>
      <w:proofErr w:type="spellStart"/>
      <w:r w:rsidRPr="00032F86">
        <w:rPr>
          <w:rFonts w:ascii="Times New Roman" w:hAnsi="Times New Roman"/>
        </w:rPr>
        <w:t>μM</w:t>
      </w:r>
      <w:proofErr w:type="spellEnd"/>
      <w:r w:rsidRPr="00032F86">
        <w:rPr>
          <w:rFonts w:ascii="Times New Roman" w:hAnsi="Times New Roman"/>
        </w:rPr>
        <w:t xml:space="preserve"> (Bristol-Myers Squibb Medical Imaging, </w:t>
      </w:r>
      <w:r>
        <w:rPr>
          <w:rFonts w:ascii="Times New Roman" w:hAnsi="Times New Roman"/>
        </w:rPr>
        <w:t>u</w:t>
      </w:r>
      <w:r w:rsidRPr="00032F86">
        <w:rPr>
          <w:rFonts w:ascii="Times New Roman" w:hAnsi="Times New Roman"/>
        </w:rPr>
        <w:t>npublished data). Integrin αvβ3-targeted nanoparticles have an IC50 of 50pM for the Mn22+ activated integrin αvβ3 receptor (</w:t>
      </w:r>
      <w:proofErr w:type="spellStart"/>
      <w:r w:rsidRPr="00032F86">
        <w:rPr>
          <w:rFonts w:ascii="Times New Roman" w:hAnsi="Times New Roman"/>
        </w:rPr>
        <w:t>Kereos</w:t>
      </w:r>
      <w:proofErr w:type="spellEnd"/>
      <w:r w:rsidRPr="00032F86">
        <w:rPr>
          <w:rFonts w:ascii="Times New Roman" w:hAnsi="Times New Roman"/>
        </w:rPr>
        <w:t xml:space="preserve">, Inc., </w:t>
      </w:r>
      <w:r>
        <w:rPr>
          <w:rFonts w:ascii="Times New Roman" w:hAnsi="Times New Roman"/>
        </w:rPr>
        <w:t>u</w:t>
      </w:r>
      <w:r w:rsidRPr="00032F86">
        <w:rPr>
          <w:rFonts w:ascii="Times New Roman" w:hAnsi="Times New Roman"/>
        </w:rPr>
        <w:t>npublished data). Homing specificity to neovascular sprouts was previously demonstrated in a well-defined Matrigel® plug study using the Rag1</w:t>
      </w:r>
      <w:r w:rsidRPr="009026FC">
        <w:rPr>
          <w:rFonts w:ascii="Times New Roman" w:hAnsi="Times New Roman"/>
          <w:vertAlign w:val="superscript"/>
        </w:rPr>
        <w:t>tm1Mom</w:t>
      </w:r>
      <w:r w:rsidRPr="00032F86">
        <w:rPr>
          <w:rFonts w:ascii="Times New Roman" w:hAnsi="Times New Roman"/>
        </w:rPr>
        <w:t xml:space="preserve"> </w:t>
      </w:r>
      <w:proofErr w:type="spellStart"/>
      <w:r w:rsidRPr="00032F86">
        <w:rPr>
          <w:rFonts w:ascii="Times New Roman" w:hAnsi="Times New Roman"/>
        </w:rPr>
        <w:t>Tg</w:t>
      </w:r>
      <w:proofErr w:type="spellEnd"/>
      <w:r w:rsidRPr="00032F86">
        <w:rPr>
          <w:rFonts w:ascii="Times New Roman" w:hAnsi="Times New Roman"/>
        </w:rPr>
        <w:t>(TIE-2-lacZ)182-Sato mouse (</w:t>
      </w:r>
      <w:r>
        <w:rPr>
          <w:rFonts w:ascii="Times New Roman" w:hAnsi="Times New Roman"/>
        </w:rPr>
        <w:t xml:space="preserve">Jax, </w:t>
      </w:r>
      <w:r w:rsidRPr="00295CBC">
        <w:rPr>
          <w:rFonts w:ascii="Times New Roman" w:hAnsi="Times New Roman"/>
        </w:rPr>
        <w:t>RRID:IMSR_JAX:005707</w:t>
      </w:r>
      <w:r w:rsidRPr="00032F86">
        <w:rPr>
          <w:rFonts w:ascii="Times New Roman" w:hAnsi="Times New Roman"/>
        </w:rPr>
        <w:t>)</w:t>
      </w:r>
      <w:r>
        <w:t xml:space="preserve"> </w:t>
      </w:r>
      <w:r>
        <w:fldChar w:fldCharType="begin"/>
      </w:r>
      <w:r>
        <w:instrText>ADDIN BEC[Pan et al., 2011, #5833]</w:instrText>
      </w:r>
      <w:r>
        <w:fldChar w:fldCharType="separate"/>
      </w:r>
      <w:r>
        <w:t>(23)</w:t>
      </w:r>
      <w:r>
        <w:fldChar w:fldCharType="end"/>
      </w:r>
      <w:r>
        <w:t>.</w:t>
      </w:r>
      <w:r w:rsidRPr="00013F45">
        <w:rPr>
          <w:rFonts w:ascii="Times New Roman" w:hAnsi="Times New Roman"/>
        </w:rPr>
        <w:t xml:space="preserve"> </w:t>
      </w:r>
    </w:p>
    <w:p w14:paraId="3242577D" w14:textId="77777777" w:rsidR="00A1075E" w:rsidRDefault="00A1075E" w:rsidP="00A1075E">
      <w:pPr>
        <w:keepNext/>
        <w:suppressAutoHyphens/>
        <w:outlineLvl w:val="1"/>
        <w:rPr>
          <w:rFonts w:ascii="Times New Roman" w:hAnsi="Times New Roman"/>
        </w:rPr>
      </w:pPr>
    </w:p>
    <w:p w14:paraId="36231666" w14:textId="77777777" w:rsidR="00A1075E" w:rsidRPr="004A1A47" w:rsidRDefault="00A1075E" w:rsidP="00A1075E">
      <w:pPr>
        <w:rPr>
          <w:rFonts w:ascii="Times New Roman" w:hAnsi="Times New Roman"/>
        </w:rPr>
      </w:pPr>
      <w:r>
        <w:rPr>
          <w:rFonts w:ascii="Times New Roman" w:hAnsi="Times New Roman"/>
        </w:rPr>
        <w:br w:type="page"/>
      </w:r>
      <w:r>
        <w:rPr>
          <w:rFonts w:ascii="Times New Roman" w:hAnsi="Times New Roman"/>
          <w:b/>
          <w:bCs/>
        </w:rPr>
        <w:lastRenderedPageBreak/>
        <w:t>References</w:t>
      </w:r>
    </w:p>
    <w:p w14:paraId="7B1F2589" w14:textId="77777777" w:rsidR="00A1075E" w:rsidRDefault="00A1075E" w:rsidP="00A1075E">
      <w:pPr>
        <w:tabs>
          <w:tab w:val="left" w:pos="560"/>
        </w:tabs>
        <w:autoSpaceDE w:val="0"/>
        <w:autoSpaceDN w:val="0"/>
        <w:adjustRightInd w:val="0"/>
        <w:ind w:left="540" w:hanging="540"/>
      </w:pPr>
    </w:p>
    <w:p w14:paraId="74EFFAD8" w14:textId="77777777" w:rsidR="00A1075E" w:rsidRPr="004C599E" w:rsidRDefault="00A1075E" w:rsidP="00A1075E">
      <w:pPr>
        <w:tabs>
          <w:tab w:val="left" w:pos="560"/>
        </w:tabs>
        <w:autoSpaceDE w:val="0"/>
        <w:autoSpaceDN w:val="0"/>
        <w:adjustRightInd w:val="0"/>
        <w:ind w:left="540" w:hanging="540"/>
        <w:rPr>
          <w:rFonts w:ascii="Arial" w:hAnsi="Arial"/>
          <w:bCs/>
        </w:rPr>
      </w:pPr>
      <w:r>
        <w:fldChar w:fldCharType="begin"/>
      </w:r>
      <w:r>
        <w:instrText>ADDIN BB</w:instrText>
      </w:r>
      <w:r>
        <w:fldChar w:fldCharType="separate"/>
      </w:r>
      <w:r>
        <w:rPr>
          <w:rFonts w:ascii="Times New Roman" w:hAnsi="Times New Roman"/>
        </w:rPr>
        <w:t>1.</w:t>
      </w:r>
      <w:r>
        <w:rPr>
          <w:rFonts w:ascii="Times New Roman" w:hAnsi="Times New Roman"/>
        </w:rPr>
        <w:tab/>
      </w:r>
      <w:r w:rsidRPr="004C599E">
        <w:rPr>
          <w:rFonts w:ascii="Times New Roman" w:hAnsi="Times New Roman"/>
          <w:bCs/>
        </w:rPr>
        <w:t>Xiang J, Hurchla MA, Fontana F, Su X, Amend SR, Esser AK et al. CXCR4 Protein Epitope Mimetic Antagonist POL5551 Disrupts Metastasis and Enhances Chemotherapy Effect in Triple-Negative Breast Cancer. Mol Cancer Ther. 2015;14:2473-85.</w:t>
      </w:r>
    </w:p>
    <w:p w14:paraId="357716E6"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2.</w:t>
      </w:r>
      <w:r w:rsidRPr="004C599E">
        <w:rPr>
          <w:rFonts w:ascii="Times New Roman" w:hAnsi="Times New Roman"/>
          <w:bCs/>
        </w:rPr>
        <w:tab/>
        <w:t>Fontana F, Hickman-Brecks CL, Salazar VS, Revollo L, Abou-Ezzi G, Grimston SK et al. N-cadherin Regulation of Bone Growth and Homeostasis Is Osteolineage Stage-Specific. J Bone Miner Res. 2017;32:1332-42.</w:t>
      </w:r>
    </w:p>
    <w:p w14:paraId="34B634B8"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3.</w:t>
      </w:r>
      <w:r w:rsidRPr="004C599E">
        <w:rPr>
          <w:rFonts w:ascii="Times New Roman" w:hAnsi="Times New Roman"/>
          <w:bCs/>
        </w:rPr>
        <w:tab/>
        <w:t>Sivapackiam J, Liao F, Zhou D, Shoghi KI, Gropler RJ, Gelman AE et al. Galuminox: Preclinical validation of a novel PET tracer for non-invasive imaging of oxidative stress in vivo. Redox Biol. 2020;37:101690.</w:t>
      </w:r>
    </w:p>
    <w:p w14:paraId="4D115567"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4.</w:t>
      </w:r>
      <w:r w:rsidRPr="004C599E">
        <w:rPr>
          <w:rFonts w:ascii="Times New Roman" w:hAnsi="Times New Roman"/>
          <w:bCs/>
        </w:rPr>
        <w:tab/>
        <w:t>Jakic B, Buszko M, Cappellano G, Wick G. Elevated sodium leads to the increased expression of HSP60 and induces apoptosis in HUVECs. PloS one. 2017;12:e0179383.</w:t>
      </w:r>
    </w:p>
    <w:p w14:paraId="2D06331A"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5.</w:t>
      </w:r>
      <w:r w:rsidRPr="004C599E">
        <w:rPr>
          <w:rFonts w:ascii="Times New Roman" w:hAnsi="Times New Roman"/>
          <w:bCs/>
        </w:rPr>
        <w:tab/>
        <w:t>Sivapackiam J, Kabra S, Speidel S, Sharma M, Laforest R, Salter A et al. 68Ga-Galmydar: A PET imaging tracer for noninvasive detection of Doxorubicin-induced cardiotoxicity. PloS one. 2019;14:e0215579.</w:t>
      </w:r>
    </w:p>
    <w:p w14:paraId="61E32863"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6.</w:t>
      </w:r>
      <w:r w:rsidRPr="004C599E">
        <w:rPr>
          <w:rFonts w:ascii="Times New Roman" w:hAnsi="Times New Roman"/>
          <w:bCs/>
        </w:rPr>
        <w:tab/>
        <w:t>Su X, Esser AK, Amend SR, Xiang J, Xu Y, Ross MH et al. Antagonizing Integrin β3 Increases Immunosuppression in Cancer. Cancer Res. 2016;76:3484-95.</w:t>
      </w:r>
    </w:p>
    <w:p w14:paraId="629143CA"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7.</w:t>
      </w:r>
      <w:r w:rsidRPr="004C599E">
        <w:rPr>
          <w:rFonts w:ascii="Times New Roman" w:hAnsi="Times New Roman"/>
          <w:bCs/>
        </w:rPr>
        <w:tab/>
        <w:t xml:space="preserve">Andrews S. (2010). FastQC: a quality control tool for high throughput sequence data. Available online at: http://www.bioinformatics.babraham.ac.uk/projects/fastqc. </w:t>
      </w:r>
    </w:p>
    <w:p w14:paraId="79E296D0"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8.</w:t>
      </w:r>
      <w:r w:rsidRPr="004C599E">
        <w:rPr>
          <w:rFonts w:ascii="Times New Roman" w:hAnsi="Times New Roman"/>
          <w:bCs/>
        </w:rPr>
        <w:tab/>
        <w:t>Kim D, Paggi JM, Park C, Bennett C, Salzberg SL. Graph-based genome alignment and genotyping with HISAT2 and HISAT-genotype. Nature biotechnology. 2019;37:907-15.</w:t>
      </w:r>
    </w:p>
    <w:p w14:paraId="04C0A220"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9.</w:t>
      </w:r>
      <w:r w:rsidRPr="004C599E">
        <w:rPr>
          <w:rFonts w:ascii="Times New Roman" w:hAnsi="Times New Roman"/>
          <w:bCs/>
        </w:rPr>
        <w:tab/>
        <w:t>Haeussler M, Zweig AS, Tyner C, Speir ML, Rosenbloom KR, Raney BJ et al. The UCSC genome browser database: 2019 update. Nucleic acids research. 2019;47:D853-8.</w:t>
      </w:r>
    </w:p>
    <w:p w14:paraId="6D186324"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10.</w:t>
      </w:r>
      <w:r w:rsidRPr="004C599E">
        <w:rPr>
          <w:rFonts w:ascii="Times New Roman" w:hAnsi="Times New Roman"/>
          <w:bCs/>
        </w:rPr>
        <w:tab/>
        <w:t>Liao Y, Smyth GK, Shi W. featureCounts: an efficient general purpose program for assigning sequence reads to genomic features. Bioinformatics. 2014;30:923-30.</w:t>
      </w:r>
    </w:p>
    <w:p w14:paraId="5BA03AC9"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11.</w:t>
      </w:r>
      <w:r w:rsidRPr="004C599E">
        <w:rPr>
          <w:rFonts w:ascii="Times New Roman" w:hAnsi="Times New Roman"/>
          <w:bCs/>
        </w:rPr>
        <w:tab/>
        <w:t>Dobin A, Davis CA, Schlesinger F, Drenkow J, Zaleski C, Jha S et al. STAR: ultrafast universal RNA-seq aligner. Bioinformatics. 2013;29:15-21.</w:t>
      </w:r>
    </w:p>
    <w:p w14:paraId="2CFC21A3"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12.</w:t>
      </w:r>
      <w:r w:rsidRPr="004C599E">
        <w:rPr>
          <w:rFonts w:ascii="Times New Roman" w:hAnsi="Times New Roman"/>
          <w:bCs/>
        </w:rPr>
        <w:tab/>
        <w:t>Patro R, Duggal G, Love MI, Irizarry RA, Kingsford C. Salmon provides fast and bias-aware quantification of transcript expression. Nature methods. 2017;14:417-9.</w:t>
      </w:r>
    </w:p>
    <w:p w14:paraId="5FA34447"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13.</w:t>
      </w:r>
      <w:r w:rsidRPr="004C599E">
        <w:rPr>
          <w:rFonts w:ascii="Times New Roman" w:hAnsi="Times New Roman"/>
          <w:bCs/>
        </w:rPr>
        <w:tab/>
        <w:t>Wang L, Wang S, Li W. RSeQC: quality control of RNA-seq experiments. Bioinformatics. 2012;28:2184-5.</w:t>
      </w:r>
    </w:p>
    <w:p w14:paraId="157F3E5F"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14.</w:t>
      </w:r>
      <w:r w:rsidRPr="004C599E">
        <w:rPr>
          <w:rFonts w:ascii="Times New Roman" w:hAnsi="Times New Roman"/>
          <w:bCs/>
        </w:rPr>
        <w:tab/>
        <w:t>Robinson MD, McCarthy DJ, Smyth GK. edgeR: a Bioconductor package for differential expression analysis of digital gene expression data. Bioinformatics. 2010;26:139-40.</w:t>
      </w:r>
    </w:p>
    <w:p w14:paraId="4D888F8A"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15.</w:t>
      </w:r>
      <w:r w:rsidRPr="004C599E">
        <w:rPr>
          <w:rFonts w:ascii="Times New Roman" w:hAnsi="Times New Roman"/>
          <w:bCs/>
        </w:rPr>
        <w:tab/>
        <w:t>Subramanian A, Tamayo P, Mootha VK, Mukherjee S, Ebert BL, Gillette MA et al. Gene set enrichment analysis: a knowledge-based approach for interpreting genome-wide expression profiles. Proceedings of the National Academy of Sciences. 2005;102:15545-50.</w:t>
      </w:r>
    </w:p>
    <w:p w14:paraId="0AF7707C"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16.</w:t>
      </w:r>
      <w:r w:rsidRPr="004C599E">
        <w:rPr>
          <w:rFonts w:ascii="Times New Roman" w:hAnsi="Times New Roman"/>
          <w:bCs/>
        </w:rPr>
        <w:tab/>
        <w:t>Mootha VK, Lindgren CM, Eriksson K-F, Subramanian A, Sihag S, Lehar J et al. PGC-1α-responsive genes involved in oxidative phosphorylation are coordinately downregulated in human diabetes. Nature genetics. 2003;34:267-73.</w:t>
      </w:r>
    </w:p>
    <w:p w14:paraId="51A3063C"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17.</w:t>
      </w:r>
      <w:r w:rsidRPr="004C599E">
        <w:rPr>
          <w:rFonts w:ascii="Times New Roman" w:hAnsi="Times New Roman"/>
          <w:bCs/>
        </w:rPr>
        <w:tab/>
        <w:t>Liberzon A, Birger C, Thorvaldsdóttir H, Ghandi M, Mesirov JP, Tamayo P. The molecular signatures database hallmark gene set collection. Cell systems. 2015;1:417-25.</w:t>
      </w:r>
    </w:p>
    <w:p w14:paraId="763306AF"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18.</w:t>
      </w:r>
      <w:r w:rsidRPr="004C599E">
        <w:rPr>
          <w:rFonts w:ascii="Times New Roman" w:hAnsi="Times New Roman"/>
          <w:bCs/>
        </w:rPr>
        <w:tab/>
        <w:t>Harris TD, Kalogeropoulos S, Nguyen T, Liu S, Bartis J, Ellars C et al. Design, synthesis, and evaluation of radiolabeled integrin α v β3 receptor antagonists for tumor imaging and radiotherapy. Cancer Biotherapy and radiopharmaceuticals. 2003;18:627-41.</w:t>
      </w:r>
    </w:p>
    <w:p w14:paraId="1E944E14"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lastRenderedPageBreak/>
        <w:t>19.</w:t>
      </w:r>
      <w:r w:rsidRPr="004C599E">
        <w:rPr>
          <w:rFonts w:ascii="Times New Roman" w:hAnsi="Times New Roman"/>
          <w:bCs/>
        </w:rPr>
        <w:tab/>
        <w:t>Harris TD, Kalogeropoulos S, Nguyen T, Dwyer G, Edwards DS, Liu S et al. Structure− Activity Relationships of 111In-and 99mTc-Labeled Quinolin-4-one Peptidomimetics as Ligands for the Vitronectin Receptor: Potential Tumor Imaging Agents. Bioconjugate chemistry. 2006;17:1294-313.</w:t>
      </w:r>
    </w:p>
    <w:p w14:paraId="3A841B53"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20.</w:t>
      </w:r>
      <w:r w:rsidRPr="004C599E">
        <w:rPr>
          <w:rFonts w:ascii="Times New Roman" w:hAnsi="Times New Roman"/>
          <w:bCs/>
        </w:rPr>
        <w:tab/>
        <w:t>Harris TD, Cheesman E, Harris AR, Sachleben R, Edwards DS, Liu S et al. Radiolabeled divalent peptidomimetic vitronectin receptor antagonists as potential tumor radiotherapeutic and imaging agents. Bioconjugate chemistry. 2007;18:1266-79.</w:t>
      </w:r>
    </w:p>
    <w:p w14:paraId="7919129F"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21.</w:t>
      </w:r>
      <w:r w:rsidRPr="004C599E">
        <w:rPr>
          <w:rFonts w:ascii="Times New Roman" w:hAnsi="Times New Roman"/>
          <w:bCs/>
        </w:rPr>
        <w:tab/>
        <w:t>Meoli DF, Sadeghi MM, Krassilnikova S, Bourke BN, Giordano FJ, Dione DP et al. Noninvasive imaging of myocardial angiogenesis following experimental myocardial infarction. The Journal of clinical investigation. 2004;113:1684-91.</w:t>
      </w:r>
    </w:p>
    <w:p w14:paraId="51EC44F0"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22.</w:t>
      </w:r>
      <w:r w:rsidRPr="004C599E">
        <w:rPr>
          <w:rFonts w:ascii="Times New Roman" w:hAnsi="Times New Roman"/>
          <w:bCs/>
        </w:rPr>
        <w:tab/>
        <w:t>Sadeghi MM, Krassilnikova S, Zhang J, Gharaei AA, Fassaei HR, Esmailzadeh L et al. Detection of injury-induced vascular remodeling by targeting activated αvβ3 integrin in vivo. Circulation. 2004;110:84-90.</w:t>
      </w:r>
    </w:p>
    <w:p w14:paraId="701D89AB" w14:textId="77777777" w:rsidR="00A1075E" w:rsidRPr="004C599E" w:rsidRDefault="00A1075E" w:rsidP="00A1075E">
      <w:pPr>
        <w:tabs>
          <w:tab w:val="left" w:pos="560"/>
        </w:tabs>
        <w:autoSpaceDE w:val="0"/>
        <w:autoSpaceDN w:val="0"/>
        <w:adjustRightInd w:val="0"/>
        <w:ind w:left="540" w:hanging="540"/>
        <w:rPr>
          <w:rFonts w:ascii="Arial" w:hAnsi="Arial"/>
          <w:bCs/>
        </w:rPr>
      </w:pPr>
      <w:r w:rsidRPr="004C599E">
        <w:rPr>
          <w:rFonts w:ascii="Times New Roman" w:hAnsi="Times New Roman"/>
          <w:bCs/>
        </w:rPr>
        <w:t>23.</w:t>
      </w:r>
      <w:r w:rsidRPr="004C599E">
        <w:rPr>
          <w:rFonts w:ascii="Times New Roman" w:hAnsi="Times New Roman"/>
          <w:bCs/>
        </w:rPr>
        <w:tab/>
        <w:t>Pan D, Pramanik M, Senpan A, Allen JS, Zhang H, Wickline SA et al. Molecular photoacoustic imaging of angiogenesis with integrin‐targeted gold nanobeacons. The FASEB Journal. 2011;25:875-82.</w:t>
      </w:r>
    </w:p>
    <w:p w14:paraId="38376733" w14:textId="77777777" w:rsidR="00A1075E" w:rsidRPr="00FF4D06" w:rsidRDefault="00A1075E" w:rsidP="00A1075E">
      <w:r>
        <w:fldChar w:fldCharType="end"/>
      </w:r>
    </w:p>
    <w:p w14:paraId="407ECF97" w14:textId="77777777" w:rsidR="00A1075E" w:rsidRPr="00FF4D06" w:rsidRDefault="00A1075E" w:rsidP="00A1075E"/>
    <w:p w14:paraId="5BEEB94F" w14:textId="77777777" w:rsidR="00A1075E" w:rsidRPr="00DE3289" w:rsidRDefault="00A1075E" w:rsidP="00A1075E"/>
    <w:p w14:paraId="7047E34A" w14:textId="77777777" w:rsidR="00A1075E" w:rsidRPr="003341F9" w:rsidRDefault="00A1075E" w:rsidP="00A1075E"/>
    <w:p w14:paraId="10E774B0" w14:textId="77777777" w:rsidR="00A1075E" w:rsidRPr="003341F9" w:rsidRDefault="00A1075E" w:rsidP="00A1075E"/>
    <w:p w14:paraId="1A743F82" w14:textId="77777777" w:rsidR="00A1075E" w:rsidRPr="004A1A47" w:rsidRDefault="00A1075E" w:rsidP="00A1075E"/>
    <w:p w14:paraId="51AF0ECA" w14:textId="31936F61" w:rsidR="00B807E6" w:rsidRPr="00A1075E" w:rsidRDefault="00B807E6" w:rsidP="00A1075E"/>
    <w:sectPr w:rsidR="00B807E6" w:rsidRPr="00A1075E" w:rsidSect="0085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E6"/>
    <w:rsid w:val="00013F45"/>
    <w:rsid w:val="00053157"/>
    <w:rsid w:val="00074488"/>
    <w:rsid w:val="00110FE5"/>
    <w:rsid w:val="00164037"/>
    <w:rsid w:val="00295CBC"/>
    <w:rsid w:val="003341F9"/>
    <w:rsid w:val="00382E29"/>
    <w:rsid w:val="003B7189"/>
    <w:rsid w:val="004621C6"/>
    <w:rsid w:val="00480E7B"/>
    <w:rsid w:val="004A1A47"/>
    <w:rsid w:val="004A60C0"/>
    <w:rsid w:val="004C2A0F"/>
    <w:rsid w:val="004C599E"/>
    <w:rsid w:val="00546C69"/>
    <w:rsid w:val="005E34CB"/>
    <w:rsid w:val="006E6D94"/>
    <w:rsid w:val="00753B9C"/>
    <w:rsid w:val="00766204"/>
    <w:rsid w:val="008459E6"/>
    <w:rsid w:val="00851E4C"/>
    <w:rsid w:val="008874FF"/>
    <w:rsid w:val="009026FC"/>
    <w:rsid w:val="009F75DC"/>
    <w:rsid w:val="00A1075E"/>
    <w:rsid w:val="00A5730C"/>
    <w:rsid w:val="00A80371"/>
    <w:rsid w:val="00A878A2"/>
    <w:rsid w:val="00AB071C"/>
    <w:rsid w:val="00AD5A4C"/>
    <w:rsid w:val="00AF2EB5"/>
    <w:rsid w:val="00B10A24"/>
    <w:rsid w:val="00B14155"/>
    <w:rsid w:val="00B807E6"/>
    <w:rsid w:val="00BD1222"/>
    <w:rsid w:val="00BD2A6B"/>
    <w:rsid w:val="00C11156"/>
    <w:rsid w:val="00C2176D"/>
    <w:rsid w:val="00D14B38"/>
    <w:rsid w:val="00D9356A"/>
    <w:rsid w:val="00DB72B2"/>
    <w:rsid w:val="00DE3289"/>
    <w:rsid w:val="00DF6D77"/>
    <w:rsid w:val="00E33358"/>
    <w:rsid w:val="00E465E1"/>
    <w:rsid w:val="00EA70F0"/>
    <w:rsid w:val="00EB12D3"/>
    <w:rsid w:val="00EB7D60"/>
    <w:rsid w:val="00F7715F"/>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3E82A"/>
  <w15:chartTrackingRefBased/>
  <w15:docId w15:val="{31DDC883-900E-4D4C-B076-86137DAF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7E6"/>
    <w:pPr>
      <w:keepNext/>
      <w:suppressAutoHyphens/>
      <w:spacing w:line="490" w:lineRule="atLeast"/>
      <w:jc w:val="center"/>
      <w:outlineLvl w:val="0"/>
    </w:pPr>
    <w:rPr>
      <w:rFonts w:ascii="Times New Roman" w:eastAsia="Times New Roman" w:hAnsi="Times New Roman" w:cs="Times New Roman"/>
      <w:b/>
      <w:lang w:bidi="en-US"/>
      <w14:ligatures w14:val="standardContextual"/>
    </w:rPr>
  </w:style>
  <w:style w:type="paragraph" w:styleId="Heading2">
    <w:name w:val="heading 2"/>
    <w:basedOn w:val="Normal"/>
    <w:next w:val="Normal"/>
    <w:link w:val="Heading2Char"/>
    <w:uiPriority w:val="9"/>
    <w:unhideWhenUsed/>
    <w:qFormat/>
    <w:rsid w:val="00AB07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7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7E6"/>
    <w:rPr>
      <w:rFonts w:ascii="Times New Roman" w:hAnsi="Times New Roman" w:cs="Times New Roman"/>
      <w:sz w:val="18"/>
      <w:szCs w:val="18"/>
    </w:rPr>
  </w:style>
  <w:style w:type="character" w:customStyle="1" w:styleId="Heading1Char">
    <w:name w:val="Heading 1 Char"/>
    <w:basedOn w:val="DefaultParagraphFont"/>
    <w:link w:val="Heading1"/>
    <w:uiPriority w:val="9"/>
    <w:rsid w:val="00B807E6"/>
    <w:rPr>
      <w:rFonts w:ascii="Times New Roman" w:eastAsia="Times New Roman" w:hAnsi="Times New Roman" w:cs="Times New Roman"/>
      <w:b/>
      <w:lang w:bidi="en-US"/>
      <w14:ligatures w14:val="standardContextual"/>
    </w:rPr>
  </w:style>
  <w:style w:type="character" w:customStyle="1" w:styleId="Heading2Char">
    <w:name w:val="Heading 2 Char"/>
    <w:basedOn w:val="DefaultParagraphFont"/>
    <w:link w:val="Heading2"/>
    <w:uiPriority w:val="9"/>
    <w:rsid w:val="00AB071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21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0716">
      <w:bodyDiv w:val="1"/>
      <w:marLeft w:val="0"/>
      <w:marRight w:val="0"/>
      <w:marTop w:val="0"/>
      <w:marBottom w:val="0"/>
      <w:divBdr>
        <w:top w:val="none" w:sz="0" w:space="0" w:color="auto"/>
        <w:left w:val="none" w:sz="0" w:space="0" w:color="auto"/>
        <w:bottom w:val="none" w:sz="0" w:space="0" w:color="auto"/>
        <w:right w:val="none" w:sz="0" w:space="0" w:color="auto"/>
      </w:divBdr>
    </w:div>
    <w:div w:id="304891844">
      <w:bodyDiv w:val="1"/>
      <w:marLeft w:val="0"/>
      <w:marRight w:val="0"/>
      <w:marTop w:val="0"/>
      <w:marBottom w:val="0"/>
      <w:divBdr>
        <w:top w:val="none" w:sz="0" w:space="0" w:color="auto"/>
        <w:left w:val="none" w:sz="0" w:space="0" w:color="auto"/>
        <w:bottom w:val="none" w:sz="0" w:space="0" w:color="auto"/>
        <w:right w:val="none" w:sz="0" w:space="0" w:color="auto"/>
      </w:divBdr>
    </w:div>
    <w:div w:id="338123521">
      <w:bodyDiv w:val="1"/>
      <w:marLeft w:val="0"/>
      <w:marRight w:val="0"/>
      <w:marTop w:val="0"/>
      <w:marBottom w:val="0"/>
      <w:divBdr>
        <w:top w:val="none" w:sz="0" w:space="0" w:color="auto"/>
        <w:left w:val="none" w:sz="0" w:space="0" w:color="auto"/>
        <w:bottom w:val="none" w:sz="0" w:space="0" w:color="auto"/>
        <w:right w:val="none" w:sz="0" w:space="0" w:color="auto"/>
      </w:divBdr>
    </w:div>
    <w:div w:id="344408219">
      <w:bodyDiv w:val="1"/>
      <w:marLeft w:val="0"/>
      <w:marRight w:val="0"/>
      <w:marTop w:val="0"/>
      <w:marBottom w:val="0"/>
      <w:divBdr>
        <w:top w:val="none" w:sz="0" w:space="0" w:color="auto"/>
        <w:left w:val="none" w:sz="0" w:space="0" w:color="auto"/>
        <w:bottom w:val="none" w:sz="0" w:space="0" w:color="auto"/>
        <w:right w:val="none" w:sz="0" w:space="0" w:color="auto"/>
      </w:divBdr>
    </w:div>
    <w:div w:id="355351265">
      <w:bodyDiv w:val="1"/>
      <w:marLeft w:val="0"/>
      <w:marRight w:val="0"/>
      <w:marTop w:val="0"/>
      <w:marBottom w:val="0"/>
      <w:divBdr>
        <w:top w:val="none" w:sz="0" w:space="0" w:color="auto"/>
        <w:left w:val="none" w:sz="0" w:space="0" w:color="auto"/>
        <w:bottom w:val="none" w:sz="0" w:space="0" w:color="auto"/>
        <w:right w:val="none" w:sz="0" w:space="0" w:color="auto"/>
      </w:divBdr>
    </w:div>
    <w:div w:id="394397281">
      <w:bodyDiv w:val="1"/>
      <w:marLeft w:val="0"/>
      <w:marRight w:val="0"/>
      <w:marTop w:val="0"/>
      <w:marBottom w:val="0"/>
      <w:divBdr>
        <w:top w:val="none" w:sz="0" w:space="0" w:color="auto"/>
        <w:left w:val="none" w:sz="0" w:space="0" w:color="auto"/>
        <w:bottom w:val="none" w:sz="0" w:space="0" w:color="auto"/>
        <w:right w:val="none" w:sz="0" w:space="0" w:color="auto"/>
      </w:divBdr>
    </w:div>
    <w:div w:id="420874644">
      <w:bodyDiv w:val="1"/>
      <w:marLeft w:val="0"/>
      <w:marRight w:val="0"/>
      <w:marTop w:val="0"/>
      <w:marBottom w:val="0"/>
      <w:divBdr>
        <w:top w:val="none" w:sz="0" w:space="0" w:color="auto"/>
        <w:left w:val="none" w:sz="0" w:space="0" w:color="auto"/>
        <w:bottom w:val="none" w:sz="0" w:space="0" w:color="auto"/>
        <w:right w:val="none" w:sz="0" w:space="0" w:color="auto"/>
      </w:divBdr>
    </w:div>
    <w:div w:id="508257132">
      <w:bodyDiv w:val="1"/>
      <w:marLeft w:val="0"/>
      <w:marRight w:val="0"/>
      <w:marTop w:val="0"/>
      <w:marBottom w:val="0"/>
      <w:divBdr>
        <w:top w:val="none" w:sz="0" w:space="0" w:color="auto"/>
        <w:left w:val="none" w:sz="0" w:space="0" w:color="auto"/>
        <w:bottom w:val="none" w:sz="0" w:space="0" w:color="auto"/>
        <w:right w:val="none" w:sz="0" w:space="0" w:color="auto"/>
      </w:divBdr>
    </w:div>
    <w:div w:id="569466424">
      <w:bodyDiv w:val="1"/>
      <w:marLeft w:val="0"/>
      <w:marRight w:val="0"/>
      <w:marTop w:val="0"/>
      <w:marBottom w:val="0"/>
      <w:divBdr>
        <w:top w:val="none" w:sz="0" w:space="0" w:color="auto"/>
        <w:left w:val="none" w:sz="0" w:space="0" w:color="auto"/>
        <w:bottom w:val="none" w:sz="0" w:space="0" w:color="auto"/>
        <w:right w:val="none" w:sz="0" w:space="0" w:color="auto"/>
      </w:divBdr>
    </w:div>
    <w:div w:id="699016394">
      <w:bodyDiv w:val="1"/>
      <w:marLeft w:val="0"/>
      <w:marRight w:val="0"/>
      <w:marTop w:val="0"/>
      <w:marBottom w:val="0"/>
      <w:divBdr>
        <w:top w:val="none" w:sz="0" w:space="0" w:color="auto"/>
        <w:left w:val="none" w:sz="0" w:space="0" w:color="auto"/>
        <w:bottom w:val="none" w:sz="0" w:space="0" w:color="auto"/>
        <w:right w:val="none" w:sz="0" w:space="0" w:color="auto"/>
      </w:divBdr>
    </w:div>
    <w:div w:id="844779844">
      <w:bodyDiv w:val="1"/>
      <w:marLeft w:val="0"/>
      <w:marRight w:val="0"/>
      <w:marTop w:val="0"/>
      <w:marBottom w:val="0"/>
      <w:divBdr>
        <w:top w:val="none" w:sz="0" w:space="0" w:color="auto"/>
        <w:left w:val="none" w:sz="0" w:space="0" w:color="auto"/>
        <w:bottom w:val="none" w:sz="0" w:space="0" w:color="auto"/>
        <w:right w:val="none" w:sz="0" w:space="0" w:color="auto"/>
      </w:divBdr>
    </w:div>
    <w:div w:id="850681562">
      <w:bodyDiv w:val="1"/>
      <w:marLeft w:val="0"/>
      <w:marRight w:val="0"/>
      <w:marTop w:val="0"/>
      <w:marBottom w:val="0"/>
      <w:divBdr>
        <w:top w:val="none" w:sz="0" w:space="0" w:color="auto"/>
        <w:left w:val="none" w:sz="0" w:space="0" w:color="auto"/>
        <w:bottom w:val="none" w:sz="0" w:space="0" w:color="auto"/>
        <w:right w:val="none" w:sz="0" w:space="0" w:color="auto"/>
      </w:divBdr>
    </w:div>
    <w:div w:id="971666917">
      <w:bodyDiv w:val="1"/>
      <w:marLeft w:val="0"/>
      <w:marRight w:val="0"/>
      <w:marTop w:val="0"/>
      <w:marBottom w:val="0"/>
      <w:divBdr>
        <w:top w:val="none" w:sz="0" w:space="0" w:color="auto"/>
        <w:left w:val="none" w:sz="0" w:space="0" w:color="auto"/>
        <w:bottom w:val="none" w:sz="0" w:space="0" w:color="auto"/>
        <w:right w:val="none" w:sz="0" w:space="0" w:color="auto"/>
      </w:divBdr>
    </w:div>
    <w:div w:id="973871103">
      <w:bodyDiv w:val="1"/>
      <w:marLeft w:val="0"/>
      <w:marRight w:val="0"/>
      <w:marTop w:val="0"/>
      <w:marBottom w:val="0"/>
      <w:divBdr>
        <w:top w:val="none" w:sz="0" w:space="0" w:color="auto"/>
        <w:left w:val="none" w:sz="0" w:space="0" w:color="auto"/>
        <w:bottom w:val="none" w:sz="0" w:space="0" w:color="auto"/>
        <w:right w:val="none" w:sz="0" w:space="0" w:color="auto"/>
      </w:divBdr>
    </w:div>
    <w:div w:id="1178731633">
      <w:bodyDiv w:val="1"/>
      <w:marLeft w:val="0"/>
      <w:marRight w:val="0"/>
      <w:marTop w:val="0"/>
      <w:marBottom w:val="0"/>
      <w:divBdr>
        <w:top w:val="none" w:sz="0" w:space="0" w:color="auto"/>
        <w:left w:val="none" w:sz="0" w:space="0" w:color="auto"/>
        <w:bottom w:val="none" w:sz="0" w:space="0" w:color="auto"/>
        <w:right w:val="none" w:sz="0" w:space="0" w:color="auto"/>
      </w:divBdr>
    </w:div>
    <w:div w:id="1236164466">
      <w:bodyDiv w:val="1"/>
      <w:marLeft w:val="0"/>
      <w:marRight w:val="0"/>
      <w:marTop w:val="0"/>
      <w:marBottom w:val="0"/>
      <w:divBdr>
        <w:top w:val="none" w:sz="0" w:space="0" w:color="auto"/>
        <w:left w:val="none" w:sz="0" w:space="0" w:color="auto"/>
        <w:bottom w:val="none" w:sz="0" w:space="0" w:color="auto"/>
        <w:right w:val="none" w:sz="0" w:space="0" w:color="auto"/>
      </w:divBdr>
    </w:div>
    <w:div w:id="1348097195">
      <w:bodyDiv w:val="1"/>
      <w:marLeft w:val="0"/>
      <w:marRight w:val="0"/>
      <w:marTop w:val="0"/>
      <w:marBottom w:val="0"/>
      <w:divBdr>
        <w:top w:val="none" w:sz="0" w:space="0" w:color="auto"/>
        <w:left w:val="none" w:sz="0" w:space="0" w:color="auto"/>
        <w:bottom w:val="none" w:sz="0" w:space="0" w:color="auto"/>
        <w:right w:val="none" w:sz="0" w:space="0" w:color="auto"/>
      </w:divBdr>
    </w:div>
    <w:div w:id="1360814050">
      <w:bodyDiv w:val="1"/>
      <w:marLeft w:val="0"/>
      <w:marRight w:val="0"/>
      <w:marTop w:val="0"/>
      <w:marBottom w:val="0"/>
      <w:divBdr>
        <w:top w:val="none" w:sz="0" w:space="0" w:color="auto"/>
        <w:left w:val="none" w:sz="0" w:space="0" w:color="auto"/>
        <w:bottom w:val="none" w:sz="0" w:space="0" w:color="auto"/>
        <w:right w:val="none" w:sz="0" w:space="0" w:color="auto"/>
      </w:divBdr>
    </w:div>
    <w:div w:id="1418790312">
      <w:bodyDiv w:val="1"/>
      <w:marLeft w:val="0"/>
      <w:marRight w:val="0"/>
      <w:marTop w:val="0"/>
      <w:marBottom w:val="0"/>
      <w:divBdr>
        <w:top w:val="none" w:sz="0" w:space="0" w:color="auto"/>
        <w:left w:val="none" w:sz="0" w:space="0" w:color="auto"/>
        <w:bottom w:val="none" w:sz="0" w:space="0" w:color="auto"/>
        <w:right w:val="none" w:sz="0" w:space="0" w:color="auto"/>
      </w:divBdr>
    </w:div>
    <w:div w:id="1435319913">
      <w:bodyDiv w:val="1"/>
      <w:marLeft w:val="0"/>
      <w:marRight w:val="0"/>
      <w:marTop w:val="0"/>
      <w:marBottom w:val="0"/>
      <w:divBdr>
        <w:top w:val="none" w:sz="0" w:space="0" w:color="auto"/>
        <w:left w:val="none" w:sz="0" w:space="0" w:color="auto"/>
        <w:bottom w:val="none" w:sz="0" w:space="0" w:color="auto"/>
        <w:right w:val="none" w:sz="0" w:space="0" w:color="auto"/>
      </w:divBdr>
    </w:div>
    <w:div w:id="1529173351">
      <w:bodyDiv w:val="1"/>
      <w:marLeft w:val="0"/>
      <w:marRight w:val="0"/>
      <w:marTop w:val="0"/>
      <w:marBottom w:val="0"/>
      <w:divBdr>
        <w:top w:val="none" w:sz="0" w:space="0" w:color="auto"/>
        <w:left w:val="none" w:sz="0" w:space="0" w:color="auto"/>
        <w:bottom w:val="none" w:sz="0" w:space="0" w:color="auto"/>
        <w:right w:val="none" w:sz="0" w:space="0" w:color="auto"/>
      </w:divBdr>
    </w:div>
    <w:div w:id="1595237082">
      <w:bodyDiv w:val="1"/>
      <w:marLeft w:val="0"/>
      <w:marRight w:val="0"/>
      <w:marTop w:val="0"/>
      <w:marBottom w:val="0"/>
      <w:divBdr>
        <w:top w:val="none" w:sz="0" w:space="0" w:color="auto"/>
        <w:left w:val="none" w:sz="0" w:space="0" w:color="auto"/>
        <w:bottom w:val="none" w:sz="0" w:space="0" w:color="auto"/>
        <w:right w:val="none" w:sz="0" w:space="0" w:color="auto"/>
      </w:divBdr>
    </w:div>
    <w:div w:id="1656913393">
      <w:bodyDiv w:val="1"/>
      <w:marLeft w:val="0"/>
      <w:marRight w:val="0"/>
      <w:marTop w:val="0"/>
      <w:marBottom w:val="0"/>
      <w:divBdr>
        <w:top w:val="none" w:sz="0" w:space="0" w:color="auto"/>
        <w:left w:val="none" w:sz="0" w:space="0" w:color="auto"/>
        <w:bottom w:val="none" w:sz="0" w:space="0" w:color="auto"/>
        <w:right w:val="none" w:sz="0" w:space="0" w:color="auto"/>
      </w:divBdr>
    </w:div>
    <w:div w:id="1735615193">
      <w:bodyDiv w:val="1"/>
      <w:marLeft w:val="0"/>
      <w:marRight w:val="0"/>
      <w:marTop w:val="0"/>
      <w:marBottom w:val="0"/>
      <w:divBdr>
        <w:top w:val="none" w:sz="0" w:space="0" w:color="auto"/>
        <w:left w:val="none" w:sz="0" w:space="0" w:color="auto"/>
        <w:bottom w:val="none" w:sz="0" w:space="0" w:color="auto"/>
        <w:right w:val="none" w:sz="0" w:space="0" w:color="auto"/>
      </w:divBdr>
    </w:div>
    <w:div w:id="1811708313">
      <w:bodyDiv w:val="1"/>
      <w:marLeft w:val="0"/>
      <w:marRight w:val="0"/>
      <w:marTop w:val="0"/>
      <w:marBottom w:val="0"/>
      <w:divBdr>
        <w:top w:val="none" w:sz="0" w:space="0" w:color="auto"/>
        <w:left w:val="none" w:sz="0" w:space="0" w:color="auto"/>
        <w:bottom w:val="none" w:sz="0" w:space="0" w:color="auto"/>
        <w:right w:val="none" w:sz="0" w:space="0" w:color="auto"/>
      </w:divBdr>
    </w:div>
    <w:div w:id="1820151031">
      <w:bodyDiv w:val="1"/>
      <w:marLeft w:val="0"/>
      <w:marRight w:val="0"/>
      <w:marTop w:val="0"/>
      <w:marBottom w:val="0"/>
      <w:divBdr>
        <w:top w:val="none" w:sz="0" w:space="0" w:color="auto"/>
        <w:left w:val="none" w:sz="0" w:space="0" w:color="auto"/>
        <w:bottom w:val="none" w:sz="0" w:space="0" w:color="auto"/>
        <w:right w:val="none" w:sz="0" w:space="0" w:color="auto"/>
      </w:divBdr>
    </w:div>
    <w:div w:id="2060352900">
      <w:bodyDiv w:val="1"/>
      <w:marLeft w:val="0"/>
      <w:marRight w:val="0"/>
      <w:marTop w:val="0"/>
      <w:marBottom w:val="0"/>
      <w:divBdr>
        <w:top w:val="none" w:sz="0" w:space="0" w:color="auto"/>
        <w:left w:val="none" w:sz="0" w:space="0" w:color="auto"/>
        <w:bottom w:val="none" w:sz="0" w:space="0" w:color="auto"/>
        <w:right w:val="none" w:sz="0" w:space="0" w:color="auto"/>
      </w:divBdr>
    </w:div>
    <w:div w:id="20883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0BF1-8597-514A-8E79-B3D78F26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Fox</dc:creator>
  <cp:keywords/>
  <dc:description/>
  <cp:lastModifiedBy>Gregg Fox</cp:lastModifiedBy>
  <cp:revision>38</cp:revision>
  <cp:lastPrinted>2020-10-24T10:08:00Z</cp:lastPrinted>
  <dcterms:created xsi:type="dcterms:W3CDTF">2020-10-20T18:31:00Z</dcterms:created>
  <dcterms:modified xsi:type="dcterms:W3CDTF">2021-02-05T00:54:00Z</dcterms:modified>
</cp:coreProperties>
</file>