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182E2" w14:textId="77777777" w:rsidR="00B525A8" w:rsidRPr="005D02D2" w:rsidRDefault="00B525A8" w:rsidP="00B525A8">
      <w:pPr>
        <w:pStyle w:val="Heading1"/>
        <w:spacing w:before="120"/>
        <w:rPr>
          <w:rFonts w:ascii="Times New Roman" w:hAnsi="Times New Roman" w:cs="Times New Roman"/>
          <w:b/>
          <w:bCs/>
          <w:color w:val="000000" w:themeColor="text1"/>
          <w:lang w:val="en-US"/>
        </w:rPr>
      </w:pPr>
      <w:r w:rsidRPr="005D02D2">
        <w:rPr>
          <w:rFonts w:ascii="Times New Roman" w:hAnsi="Times New Roman" w:cs="Times New Roman"/>
          <w:b/>
          <w:bCs/>
          <w:color w:val="000000" w:themeColor="text1"/>
          <w:lang w:val="en-US"/>
        </w:rPr>
        <w:t xml:space="preserve">Restoration of T cell Effector Functions, Preferential Depletion of Regulatory T cells, and Direct Killing of Tumor Cells: The </w:t>
      </w:r>
      <w:bookmarkStart w:id="0" w:name="_Hlk27037615"/>
      <w:r w:rsidRPr="005D02D2">
        <w:rPr>
          <w:rFonts w:ascii="Times New Roman" w:hAnsi="Times New Roman" w:cs="Times New Roman"/>
          <w:b/>
          <w:bCs/>
          <w:color w:val="000000" w:themeColor="text1"/>
          <w:lang w:val="en-US"/>
        </w:rPr>
        <w:t xml:space="preserve">Multiple Mechanisms of Action of anti-TIGIT Antagonists </w:t>
      </w:r>
      <w:bookmarkEnd w:id="0"/>
    </w:p>
    <w:p w14:paraId="72F035AF" w14:textId="04486F2B" w:rsidR="007F73A7" w:rsidRPr="001B5E62" w:rsidRDefault="007F73A7" w:rsidP="000B0688">
      <w:pPr>
        <w:jc w:val="center"/>
        <w:rPr>
          <w:b/>
          <w:bCs/>
          <w:sz w:val="28"/>
          <w:szCs w:val="28"/>
          <w:lang w:val="en-US"/>
        </w:rPr>
      </w:pPr>
    </w:p>
    <w:p w14:paraId="07E624D3" w14:textId="43920BFC" w:rsidR="00847CDA" w:rsidRPr="001B5E62" w:rsidRDefault="00847CDA" w:rsidP="6457F098">
      <w:pPr>
        <w:rPr>
          <w:lang w:val="en-US"/>
        </w:rPr>
      </w:pPr>
    </w:p>
    <w:p w14:paraId="0E4E9EF3" w14:textId="1C7DD2E5" w:rsidR="00847CDA" w:rsidRPr="00300169" w:rsidRDefault="1616AC75" w:rsidP="6457F098">
      <w:pPr>
        <w:rPr>
          <w:u w:val="single"/>
          <w:lang w:val="en-US"/>
        </w:rPr>
      </w:pPr>
      <w:r w:rsidRPr="00300169">
        <w:rPr>
          <w:b/>
          <w:bCs/>
          <w:u w:val="single"/>
          <w:lang w:val="en-US"/>
        </w:rPr>
        <w:t>Supplementary Methods</w:t>
      </w:r>
    </w:p>
    <w:p w14:paraId="2AEC2C3B" w14:textId="2D4AA666" w:rsidR="00847CDA" w:rsidRPr="001B5E62" w:rsidRDefault="00847CDA" w:rsidP="6457F098">
      <w:pPr>
        <w:rPr>
          <w:lang w:val="en-US"/>
        </w:rPr>
      </w:pPr>
    </w:p>
    <w:p w14:paraId="7F6F29CE" w14:textId="56A46C2F" w:rsidR="00847CDA" w:rsidRPr="00300169" w:rsidRDefault="1616AC75" w:rsidP="6457F098">
      <w:pPr>
        <w:jc w:val="both"/>
        <w:rPr>
          <w:b/>
          <w:bCs/>
          <w:lang w:val="en-US"/>
        </w:rPr>
      </w:pPr>
      <w:r w:rsidRPr="00300169">
        <w:rPr>
          <w:b/>
          <w:bCs/>
          <w:lang w:val="en-US"/>
        </w:rPr>
        <w:t xml:space="preserve">CD155 </w:t>
      </w:r>
      <w:r w:rsidR="00726B04" w:rsidRPr="00300169">
        <w:rPr>
          <w:b/>
          <w:bCs/>
          <w:lang w:val="en-US"/>
        </w:rPr>
        <w:t xml:space="preserve">and CD226 </w:t>
      </w:r>
      <w:r w:rsidRPr="00300169">
        <w:rPr>
          <w:b/>
          <w:bCs/>
          <w:lang w:val="en-US"/>
        </w:rPr>
        <w:t>staining by IHC</w:t>
      </w:r>
    </w:p>
    <w:p w14:paraId="7D056092" w14:textId="0C6AA3FB" w:rsidR="00847CDA" w:rsidRPr="001B5E62" w:rsidRDefault="1616AC75" w:rsidP="6457F098">
      <w:pPr>
        <w:jc w:val="both"/>
        <w:rPr>
          <w:lang w:val="en-US"/>
        </w:rPr>
      </w:pPr>
      <w:r w:rsidRPr="522427F6">
        <w:rPr>
          <w:lang w:val="en-US"/>
        </w:rPr>
        <w:t xml:space="preserve">Staining of CD155, </w:t>
      </w:r>
      <w:proofErr w:type="spellStart"/>
      <w:r w:rsidRPr="522427F6">
        <w:rPr>
          <w:lang w:val="en-US"/>
        </w:rPr>
        <w:t>pancytokeratins</w:t>
      </w:r>
      <w:proofErr w:type="spellEnd"/>
      <w:r w:rsidRPr="522427F6">
        <w:rPr>
          <w:lang w:val="en-US"/>
        </w:rPr>
        <w:t xml:space="preserve"> and CD226 were done on adjacent sections of the disease-specific TMAs. The IHC staining was performed on a Discovery Ultra staining Module (Ventana Medical Systems Inc., Tucson, AZ, USA). First, paraffin was removed by incubation with the EZ prep buffer at 69°C for 3 cycles of 8 minutes. Then, the slides were incubated with Discovery cell Conditioner 1 (CC1, pH 9) buffer at 95°C for 32 minutes for antigen retrieval. The inhibition of endogenous peroxidases was performed by adding one drop of Inhibitor CM and incubating for 8 minutes. Blocking of </w:t>
      </w:r>
      <w:proofErr w:type="spellStart"/>
      <w:r w:rsidRPr="522427F6">
        <w:rPr>
          <w:lang w:val="en-US"/>
        </w:rPr>
        <w:t>aspecific</w:t>
      </w:r>
      <w:proofErr w:type="spellEnd"/>
      <w:r w:rsidRPr="522427F6">
        <w:rPr>
          <w:lang w:val="en-US"/>
        </w:rPr>
        <w:t xml:space="preserve"> sites was achieved by adding a blocking solution composed of 5% BSA, 2% non-fat milk, 0.1% Tween, 1% human IgG in TBS (for CD155 and </w:t>
      </w:r>
      <w:proofErr w:type="spellStart"/>
      <w:r w:rsidRPr="522427F6">
        <w:rPr>
          <w:lang w:val="en-US"/>
        </w:rPr>
        <w:t>PanCK</w:t>
      </w:r>
      <w:proofErr w:type="spellEnd"/>
      <w:r w:rsidRPr="522427F6">
        <w:rPr>
          <w:lang w:val="en-US"/>
        </w:rPr>
        <w:t>) and with 5% normal goat serum in TBST (0.15% Tween20) (for CD226) for 4 minutes. Monoclonal mouse antibody anti-</w:t>
      </w:r>
      <w:proofErr w:type="spellStart"/>
      <w:r w:rsidRPr="522427F6">
        <w:rPr>
          <w:lang w:val="en-US"/>
        </w:rPr>
        <w:t>pancytokeratins</w:t>
      </w:r>
      <w:proofErr w:type="spellEnd"/>
      <w:r w:rsidRPr="522427F6">
        <w:rPr>
          <w:lang w:val="en-US"/>
        </w:rPr>
        <w:t xml:space="preserve"> (M351501-2 </w:t>
      </w:r>
      <w:proofErr w:type="spellStart"/>
      <w:r w:rsidRPr="522427F6">
        <w:rPr>
          <w:lang w:val="en-US"/>
        </w:rPr>
        <w:t>Dako</w:t>
      </w:r>
      <w:proofErr w:type="spellEnd"/>
      <w:r w:rsidRPr="522427F6">
        <w:rPr>
          <w:lang w:val="en-US"/>
        </w:rPr>
        <w:t xml:space="preserve">; 1:50 dilution in </w:t>
      </w:r>
      <w:proofErr w:type="spellStart"/>
      <w:r w:rsidRPr="522427F6">
        <w:rPr>
          <w:lang w:val="en-US"/>
        </w:rPr>
        <w:t>Dako</w:t>
      </w:r>
      <w:proofErr w:type="spellEnd"/>
      <w:r w:rsidRPr="522427F6">
        <w:rPr>
          <w:lang w:val="en-US"/>
        </w:rPr>
        <w:t xml:space="preserve"> Real antibody diluent),  monoclonal rabbit anti-CD155 (13544S/1 Cell Signaling Technology; 1:50 dilution in </w:t>
      </w:r>
      <w:proofErr w:type="spellStart"/>
      <w:r w:rsidRPr="522427F6">
        <w:rPr>
          <w:lang w:val="en-US"/>
        </w:rPr>
        <w:t>Dako</w:t>
      </w:r>
      <w:proofErr w:type="spellEnd"/>
      <w:r w:rsidRPr="522427F6">
        <w:rPr>
          <w:lang w:val="en-US"/>
        </w:rPr>
        <w:t xml:space="preserve"> Real antibody diluent) and monoclonal rabbit anti-CD226 were incubated for 1 hour at 37°C, followed by 12 min-incubation with anti-mouse (5269652001, Roche) or anti-rabbit (5269679001, Roche) IgG HRP linked antibody respectively for 16 minutes. Finally, 3,3’-Diaminobenzidine (DAB) was added to the sections and slides were counterstained with Hematoxylin II and bluing reagents. Slides were cleaned, dehydrated by passing them in several baths with an increasing gradient of ethanol followed by </w:t>
      </w:r>
      <w:proofErr w:type="spellStart"/>
      <w:r w:rsidRPr="522427F6">
        <w:rPr>
          <w:lang w:val="en-US"/>
        </w:rPr>
        <w:t>Histoclear</w:t>
      </w:r>
      <w:proofErr w:type="spellEnd"/>
      <w:r w:rsidRPr="522427F6">
        <w:rPr>
          <w:lang w:val="en-US"/>
        </w:rPr>
        <w:t xml:space="preserve"> (for 15 seconds each). Slides were mounted by adding one drop of mounting medium and a coverslip. Slides were scanned at a 20x magnification with a </w:t>
      </w:r>
      <w:proofErr w:type="spellStart"/>
      <w:r w:rsidRPr="522427F6">
        <w:rPr>
          <w:lang w:val="en-US"/>
        </w:rPr>
        <w:t>Nanozoomer</w:t>
      </w:r>
      <w:proofErr w:type="spellEnd"/>
      <w:r w:rsidRPr="522427F6">
        <w:rPr>
          <w:lang w:val="en-US"/>
        </w:rPr>
        <w:t xml:space="preserve"> scanner (Hamamatsu). Quantification was performed with a computer-assisted image analysis with the </w:t>
      </w:r>
      <w:proofErr w:type="spellStart"/>
      <w:r w:rsidRPr="522427F6">
        <w:rPr>
          <w:lang w:val="en-US"/>
        </w:rPr>
        <w:t>Visiopharm</w:t>
      </w:r>
      <w:proofErr w:type="spellEnd"/>
      <w:r w:rsidRPr="522427F6">
        <w:rPr>
          <w:lang w:val="en-US"/>
        </w:rPr>
        <w:t>® software (version 2017.1, Denmark)</w:t>
      </w:r>
      <w:r w:rsidR="2FA72B43" w:rsidRPr="522427F6">
        <w:rPr>
          <w:lang w:val="en-US"/>
        </w:rPr>
        <w:t xml:space="preserve"> equipped with the </w:t>
      </w:r>
      <w:proofErr w:type="spellStart"/>
      <w:r w:rsidR="2FA72B43" w:rsidRPr="522427F6">
        <w:rPr>
          <w:lang w:val="en-US"/>
        </w:rPr>
        <w:t>Tissuearray</w:t>
      </w:r>
      <w:proofErr w:type="spellEnd"/>
      <w:r w:rsidR="6C7A0808" w:rsidRPr="522427F6">
        <w:rPr>
          <w:lang w:val="en-US"/>
        </w:rPr>
        <w:t>®</w:t>
      </w:r>
      <w:r w:rsidR="2FA72B43" w:rsidRPr="522427F6">
        <w:rPr>
          <w:lang w:val="en-US"/>
        </w:rPr>
        <w:t xml:space="preserve"> module</w:t>
      </w:r>
      <w:r w:rsidRPr="522427F6">
        <w:rPr>
          <w:lang w:val="en-US"/>
        </w:rPr>
        <w:t>.</w:t>
      </w:r>
      <w:r w:rsidR="1C0548C6" w:rsidRPr="522427F6">
        <w:rPr>
          <w:lang w:val="en-US"/>
        </w:rPr>
        <w:t xml:space="preserve"> Following the overlay of the </w:t>
      </w:r>
      <w:proofErr w:type="spellStart"/>
      <w:r w:rsidR="1C0548C6" w:rsidRPr="522427F6">
        <w:rPr>
          <w:lang w:val="en-US"/>
        </w:rPr>
        <w:t>PanCK</w:t>
      </w:r>
      <w:proofErr w:type="spellEnd"/>
      <w:r w:rsidR="1C0548C6" w:rsidRPr="522427F6">
        <w:rPr>
          <w:lang w:val="en-US"/>
        </w:rPr>
        <w:t xml:space="preserve"> scan on the CD155</w:t>
      </w:r>
      <w:r w:rsidR="610CC5AA" w:rsidRPr="522427F6">
        <w:rPr>
          <w:lang w:val="en-US"/>
        </w:rPr>
        <w:t xml:space="preserve"> scan, the areas of </w:t>
      </w:r>
      <w:proofErr w:type="spellStart"/>
      <w:r w:rsidR="610CC5AA" w:rsidRPr="522427F6">
        <w:rPr>
          <w:lang w:val="en-US"/>
        </w:rPr>
        <w:t>PanCK</w:t>
      </w:r>
      <w:proofErr w:type="spellEnd"/>
      <w:r w:rsidR="610CC5AA" w:rsidRPr="00BE0326">
        <w:rPr>
          <w:vertAlign w:val="superscript"/>
          <w:lang w:val="en-US"/>
        </w:rPr>
        <w:t>+</w:t>
      </w:r>
      <w:r w:rsidR="610CC5AA" w:rsidRPr="522427F6">
        <w:rPr>
          <w:lang w:val="en-US"/>
        </w:rPr>
        <w:t xml:space="preserve"> were delimited and the number of CD155</w:t>
      </w:r>
      <w:r w:rsidR="610CC5AA" w:rsidRPr="00BE0326">
        <w:rPr>
          <w:vertAlign w:val="superscript"/>
          <w:lang w:val="en-US"/>
        </w:rPr>
        <w:t>+</w:t>
      </w:r>
      <w:r w:rsidR="610CC5AA" w:rsidRPr="522427F6">
        <w:rPr>
          <w:lang w:val="en-US"/>
        </w:rPr>
        <w:t xml:space="preserve"> cells with different </w:t>
      </w:r>
      <w:r w:rsidR="310F9C7F" w:rsidRPr="522427F6">
        <w:rPr>
          <w:lang w:val="en-US"/>
        </w:rPr>
        <w:t>intensit</w:t>
      </w:r>
      <w:r w:rsidR="7F04C01A" w:rsidRPr="522427F6">
        <w:rPr>
          <w:lang w:val="en-US"/>
        </w:rPr>
        <w:t>ies</w:t>
      </w:r>
      <w:r w:rsidR="310F9C7F" w:rsidRPr="522427F6">
        <w:rPr>
          <w:lang w:val="en-US"/>
        </w:rPr>
        <w:t xml:space="preserve"> of expression were counted</w:t>
      </w:r>
      <w:r w:rsidR="25BA8F2E" w:rsidRPr="522427F6">
        <w:rPr>
          <w:lang w:val="en-US"/>
        </w:rPr>
        <w:t xml:space="preserve"> (low/medium or high)</w:t>
      </w:r>
      <w:r w:rsidR="310F9C7F" w:rsidRPr="522427F6">
        <w:rPr>
          <w:lang w:val="en-US"/>
        </w:rPr>
        <w:t>.</w:t>
      </w:r>
      <w:r w:rsidR="610CC5AA" w:rsidRPr="522427F6">
        <w:rPr>
          <w:lang w:val="en-US"/>
        </w:rPr>
        <w:t xml:space="preserve"> </w:t>
      </w:r>
      <w:r w:rsidRPr="522427F6">
        <w:rPr>
          <w:lang w:val="en-US"/>
        </w:rPr>
        <w:t xml:space="preserve"> </w:t>
      </w:r>
      <w:r w:rsidR="026C9805" w:rsidRPr="522427F6">
        <w:rPr>
          <w:lang w:val="en-US"/>
        </w:rPr>
        <w:t xml:space="preserve">The </w:t>
      </w:r>
      <w:r w:rsidR="348E3A58" w:rsidRPr="522427F6">
        <w:rPr>
          <w:lang w:val="en-US"/>
        </w:rPr>
        <w:t xml:space="preserve">final </w:t>
      </w:r>
      <w:r w:rsidR="026C9805" w:rsidRPr="522427F6">
        <w:rPr>
          <w:lang w:val="en-US"/>
        </w:rPr>
        <w:t xml:space="preserve">output calculated for CD155 </w:t>
      </w:r>
      <w:r w:rsidR="54C0418E" w:rsidRPr="522427F6">
        <w:rPr>
          <w:lang w:val="en-US"/>
        </w:rPr>
        <w:t>is</w:t>
      </w:r>
      <w:r w:rsidR="026C9805" w:rsidRPr="522427F6">
        <w:rPr>
          <w:lang w:val="en-US"/>
        </w:rPr>
        <w:t xml:space="preserve"> the % of CD155 high in the </w:t>
      </w:r>
      <w:proofErr w:type="spellStart"/>
      <w:r w:rsidR="026C9805" w:rsidRPr="522427F6">
        <w:rPr>
          <w:lang w:val="en-US"/>
        </w:rPr>
        <w:t>PanCK</w:t>
      </w:r>
      <w:proofErr w:type="spellEnd"/>
      <w:r w:rsidR="026C9805" w:rsidRPr="00BE0326">
        <w:rPr>
          <w:vertAlign w:val="superscript"/>
          <w:lang w:val="en-US"/>
        </w:rPr>
        <w:t>+</w:t>
      </w:r>
      <w:r w:rsidR="026C9805" w:rsidRPr="522427F6">
        <w:rPr>
          <w:lang w:val="en-US"/>
        </w:rPr>
        <w:t xml:space="preserve"> area</w:t>
      </w:r>
      <w:r w:rsidR="35D4D1D6" w:rsidRPr="522427F6">
        <w:rPr>
          <w:lang w:val="en-US"/>
        </w:rPr>
        <w:t xml:space="preserve"> considered as the tumor area</w:t>
      </w:r>
      <w:r w:rsidR="5C2CDA34" w:rsidRPr="522427F6">
        <w:rPr>
          <w:lang w:val="en-US"/>
        </w:rPr>
        <w:t>.</w:t>
      </w:r>
      <w:r w:rsidR="026C9805" w:rsidRPr="522427F6">
        <w:rPr>
          <w:lang w:val="en-US"/>
        </w:rPr>
        <w:t xml:space="preserve"> </w:t>
      </w:r>
      <w:r w:rsidR="372C12BD" w:rsidRPr="522427F6">
        <w:rPr>
          <w:lang w:val="en-US"/>
        </w:rPr>
        <w:t xml:space="preserve">For CD226, the </w:t>
      </w:r>
      <w:r w:rsidR="64426A57" w:rsidRPr="522427F6">
        <w:rPr>
          <w:lang w:val="en-US"/>
        </w:rPr>
        <w:t xml:space="preserve">% of tissue area positive for CD226 </w:t>
      </w:r>
      <w:r w:rsidR="2D8D114A" w:rsidRPr="522427F6">
        <w:rPr>
          <w:lang w:val="en-US"/>
        </w:rPr>
        <w:t xml:space="preserve">on the total area </w:t>
      </w:r>
      <w:r w:rsidR="64426A57" w:rsidRPr="522427F6">
        <w:rPr>
          <w:lang w:val="en-US"/>
        </w:rPr>
        <w:t xml:space="preserve">was counted. </w:t>
      </w:r>
      <w:r w:rsidRPr="522427F6">
        <w:rPr>
          <w:lang w:val="en-US"/>
        </w:rPr>
        <w:t>For individual cases having multiple tissue cores included in the TMAs, the mean percentages of CD155 positive cells or mean CD226 positive area were considered.</w:t>
      </w:r>
    </w:p>
    <w:p w14:paraId="0E349AAD" w14:textId="5040C02A" w:rsidR="51C62C70" w:rsidRDefault="51C62C70" w:rsidP="51C62C70">
      <w:pPr>
        <w:jc w:val="both"/>
        <w:rPr>
          <w:lang w:val="en-US"/>
        </w:rPr>
      </w:pPr>
    </w:p>
    <w:p w14:paraId="364902F9" w14:textId="0D77FEA1" w:rsidR="58074E4C" w:rsidRPr="00300169" w:rsidRDefault="000D5177" w:rsidP="51C62C70">
      <w:pPr>
        <w:jc w:val="both"/>
        <w:rPr>
          <w:b/>
          <w:bCs/>
          <w:u w:val="single"/>
          <w:lang w:val="en-US"/>
        </w:rPr>
      </w:pPr>
      <w:r w:rsidRPr="00BE0326">
        <w:rPr>
          <w:b/>
          <w:bCs/>
          <w:lang w:val="en-US"/>
        </w:rPr>
        <w:t>TIGIT receptor quantification</w:t>
      </w:r>
    </w:p>
    <w:p w14:paraId="468920BF" w14:textId="6B8402C1" w:rsidR="58074E4C" w:rsidRPr="00300169" w:rsidRDefault="58074E4C" w:rsidP="00121047">
      <w:pPr>
        <w:jc w:val="both"/>
        <w:rPr>
          <w:color w:val="000000" w:themeColor="text1"/>
          <w:lang w:val="en-US"/>
        </w:rPr>
      </w:pPr>
      <w:r w:rsidRPr="00300169">
        <w:rPr>
          <w:color w:val="000000" w:themeColor="text1"/>
          <w:lang w:val="en-GB"/>
        </w:rPr>
        <w:t xml:space="preserve">To quantitate TIGIT receptor cell surface expression, </w:t>
      </w:r>
      <w:proofErr w:type="spellStart"/>
      <w:r w:rsidRPr="00300169">
        <w:rPr>
          <w:color w:val="000000" w:themeColor="text1"/>
          <w:lang w:val="en-GB"/>
        </w:rPr>
        <w:t>Quantibrite</w:t>
      </w:r>
      <w:r w:rsidRPr="00300169">
        <w:rPr>
          <w:color w:val="000000" w:themeColor="text1"/>
          <w:vertAlign w:val="superscript"/>
          <w:lang w:val="en-GB"/>
        </w:rPr>
        <w:t>TM</w:t>
      </w:r>
      <w:proofErr w:type="spellEnd"/>
      <w:r w:rsidRPr="00300169">
        <w:rPr>
          <w:color w:val="000000" w:themeColor="text1"/>
          <w:lang w:val="en-GB"/>
        </w:rPr>
        <w:t xml:space="preserve"> beads (BD Biosciences)</w:t>
      </w:r>
      <w:r w:rsidR="0073485D" w:rsidRPr="00300169">
        <w:rPr>
          <w:color w:val="000000" w:themeColor="text1"/>
          <w:lang w:val="en-GB"/>
        </w:rPr>
        <w:t>,</w:t>
      </w:r>
      <w:r w:rsidRPr="00300169">
        <w:rPr>
          <w:color w:val="000000" w:themeColor="text1"/>
          <w:lang w:val="en-GB"/>
        </w:rPr>
        <w:t xml:space="preserve"> </w:t>
      </w:r>
      <w:r w:rsidRPr="00300169">
        <w:rPr>
          <w:color w:val="000000" w:themeColor="text1"/>
          <w:lang w:val="en-US"/>
        </w:rPr>
        <w:t>containing 4 different populations of beads labeled with a specific number of PE molecules</w:t>
      </w:r>
      <w:r w:rsidR="0073485D" w:rsidRPr="00300169">
        <w:rPr>
          <w:color w:val="000000" w:themeColor="text1"/>
          <w:lang w:val="en-US"/>
        </w:rPr>
        <w:t>,</w:t>
      </w:r>
      <w:r w:rsidRPr="00300169">
        <w:rPr>
          <w:color w:val="000000" w:themeColor="text1"/>
          <w:lang w:val="en-US"/>
        </w:rPr>
        <w:t xml:space="preserve"> </w:t>
      </w:r>
      <w:r w:rsidRPr="00300169">
        <w:rPr>
          <w:color w:val="000000" w:themeColor="text1"/>
          <w:lang w:val="en-GB"/>
        </w:rPr>
        <w:t xml:space="preserve">were resuspended following manufacturer’s instructions and </w:t>
      </w:r>
      <w:r w:rsidRPr="00300169">
        <w:rPr>
          <w:color w:val="000000" w:themeColor="text1"/>
          <w:lang w:val="en-US"/>
        </w:rPr>
        <w:t xml:space="preserve">acquired by FACS with the same settings as the samples under analysis. </w:t>
      </w:r>
      <w:r w:rsidR="005E0D39" w:rsidRPr="00300169">
        <w:rPr>
          <w:color w:val="000000" w:themeColor="text1"/>
          <w:lang w:val="en-US"/>
        </w:rPr>
        <w:t>T</w:t>
      </w:r>
      <w:r w:rsidRPr="00300169">
        <w:rPr>
          <w:color w:val="000000" w:themeColor="text1"/>
          <w:lang w:val="en-US"/>
        </w:rPr>
        <w:t>he number of molecules per cell for each TIGIT</w:t>
      </w:r>
      <w:r w:rsidRPr="00300169">
        <w:rPr>
          <w:color w:val="000000" w:themeColor="text1"/>
          <w:vertAlign w:val="superscript"/>
          <w:lang w:val="en-US"/>
        </w:rPr>
        <w:t>+</w:t>
      </w:r>
      <w:r w:rsidRPr="00300169">
        <w:rPr>
          <w:color w:val="000000" w:themeColor="text1"/>
          <w:lang w:val="en-US"/>
        </w:rPr>
        <w:t xml:space="preserve"> cell population,</w:t>
      </w:r>
      <w:r w:rsidR="00121047" w:rsidRPr="00300169">
        <w:rPr>
          <w:color w:val="000000" w:themeColor="text1"/>
          <w:lang w:val="en-US"/>
        </w:rPr>
        <w:t xml:space="preserve"> </w:t>
      </w:r>
      <w:proofErr w:type="spellStart"/>
      <w:r w:rsidRPr="00300169">
        <w:rPr>
          <w:color w:val="000000" w:themeColor="text1"/>
          <w:lang w:val="en-US"/>
        </w:rPr>
        <w:t>analysed</w:t>
      </w:r>
      <w:proofErr w:type="spellEnd"/>
      <w:r w:rsidRPr="00300169">
        <w:rPr>
          <w:color w:val="000000" w:themeColor="text1"/>
          <w:lang w:val="en-US"/>
        </w:rPr>
        <w:t xml:space="preserve"> with anti-TIGIT clone MBSA-43 PE</w:t>
      </w:r>
      <w:r w:rsidR="00121047" w:rsidRPr="00300169">
        <w:rPr>
          <w:color w:val="000000" w:themeColor="text1"/>
          <w:lang w:val="en-US"/>
        </w:rPr>
        <w:t>-l</w:t>
      </w:r>
      <w:r w:rsidRPr="00300169">
        <w:rPr>
          <w:color w:val="000000" w:themeColor="text1"/>
          <w:lang w:val="en-US"/>
        </w:rPr>
        <w:t xml:space="preserve">abeled, was calculated by extrapolation of the corresponding geometric MFI for PE on the standard curve obtained with the </w:t>
      </w:r>
      <w:proofErr w:type="spellStart"/>
      <w:r w:rsidRPr="00300169">
        <w:rPr>
          <w:strike/>
          <w:color w:val="000000" w:themeColor="text1"/>
          <w:lang w:val="en-US"/>
        </w:rPr>
        <w:t>g</w:t>
      </w:r>
      <w:r w:rsidRPr="00300169">
        <w:rPr>
          <w:color w:val="000000" w:themeColor="text1"/>
          <w:lang w:val="en-US"/>
        </w:rPr>
        <w:t>MFI</w:t>
      </w:r>
      <w:proofErr w:type="spellEnd"/>
      <w:r w:rsidRPr="00300169">
        <w:rPr>
          <w:color w:val="000000" w:themeColor="text1"/>
          <w:lang w:val="en-US"/>
        </w:rPr>
        <w:t xml:space="preserve"> for PE and the provided PE molecules per bead population provided in the </w:t>
      </w:r>
      <w:proofErr w:type="spellStart"/>
      <w:r w:rsidRPr="00300169">
        <w:rPr>
          <w:color w:val="000000" w:themeColor="text1"/>
          <w:lang w:val="en-US"/>
        </w:rPr>
        <w:t>Quantibrite</w:t>
      </w:r>
      <w:proofErr w:type="spellEnd"/>
      <w:r w:rsidRPr="00300169">
        <w:rPr>
          <w:color w:val="000000" w:themeColor="text1"/>
          <w:lang w:val="en-US"/>
        </w:rPr>
        <w:t xml:space="preserve"> beads kit.</w:t>
      </w:r>
    </w:p>
    <w:p w14:paraId="3D7750EB" w14:textId="11821AF6" w:rsidR="00847CDA" w:rsidRPr="001B5E62" w:rsidRDefault="00847CDA" w:rsidP="6457F098">
      <w:pPr>
        <w:outlineLvl w:val="0"/>
        <w:rPr>
          <w:b/>
          <w:bCs/>
          <w:lang w:val="en-US"/>
        </w:rPr>
      </w:pPr>
    </w:p>
    <w:p w14:paraId="0EC0940E" w14:textId="7023E83D" w:rsidR="001B14B2" w:rsidRPr="00300169" w:rsidRDefault="681F7CE3" w:rsidP="00300169">
      <w:pPr>
        <w:rPr>
          <w:b/>
          <w:bCs/>
          <w:color w:val="000000" w:themeColor="text1"/>
          <w:lang w:val="en-US"/>
        </w:rPr>
      </w:pPr>
      <w:r w:rsidRPr="00300169">
        <w:rPr>
          <w:b/>
          <w:bCs/>
          <w:color w:val="000000" w:themeColor="text1"/>
          <w:lang w:val="en-US"/>
        </w:rPr>
        <w:t>FACS staining of murine material</w:t>
      </w:r>
    </w:p>
    <w:p w14:paraId="692D2A2D" w14:textId="24B03644" w:rsidR="001B14B2" w:rsidRPr="00C97D56" w:rsidRDefault="149094ED" w:rsidP="00121047">
      <w:pPr>
        <w:rPr>
          <w:color w:val="000000" w:themeColor="text1"/>
          <w:lang w:val="en-US"/>
        </w:rPr>
      </w:pPr>
      <w:r w:rsidRPr="6A9F2B29">
        <w:rPr>
          <w:color w:val="000000" w:themeColor="text1"/>
          <w:lang w:val="en-US"/>
        </w:rPr>
        <w:lastRenderedPageBreak/>
        <w:t>Cells were washed in PBS and stained with LIVE/DEAD™ Fixable Violet Dead Cell Stain Kit (Inv</w:t>
      </w:r>
      <w:r w:rsidR="24B75988" w:rsidRPr="6A9F2B29">
        <w:rPr>
          <w:color w:val="000000" w:themeColor="text1"/>
          <w:lang w:val="en-US"/>
        </w:rPr>
        <w:t>itrogen)</w:t>
      </w:r>
      <w:r w:rsidR="0078589F">
        <w:rPr>
          <w:color w:val="000000" w:themeColor="text1"/>
          <w:lang w:val="en-US"/>
        </w:rPr>
        <w:t xml:space="preserve"> </w:t>
      </w:r>
      <w:r w:rsidR="24B75988" w:rsidRPr="6A9F2B29">
        <w:rPr>
          <w:color w:val="000000" w:themeColor="text1"/>
          <w:lang w:val="en-US"/>
        </w:rPr>
        <w:t xml:space="preserve">for 20 minutes at 4°C. After washing, cells were treated for 15 minutes </w:t>
      </w:r>
      <w:r w:rsidR="6C13E08C" w:rsidRPr="6A9F2B29">
        <w:rPr>
          <w:color w:val="000000" w:themeColor="text1"/>
          <w:lang w:val="en-US"/>
        </w:rPr>
        <w:t xml:space="preserve">at RT </w:t>
      </w:r>
      <w:r w:rsidR="24B75988" w:rsidRPr="6A9F2B29">
        <w:rPr>
          <w:color w:val="000000" w:themeColor="text1"/>
          <w:lang w:val="en-US"/>
        </w:rPr>
        <w:t>with F</w:t>
      </w:r>
      <w:r w:rsidR="2BF72B06" w:rsidRPr="6A9F2B29">
        <w:rPr>
          <w:color w:val="000000" w:themeColor="text1"/>
          <w:lang w:val="en-US"/>
        </w:rPr>
        <w:t xml:space="preserve">c block (anti-CD16/CD32, </w:t>
      </w:r>
      <w:proofErr w:type="spellStart"/>
      <w:r w:rsidR="2BF72B06" w:rsidRPr="6A9F2B29">
        <w:rPr>
          <w:color w:val="000000" w:themeColor="text1"/>
          <w:lang w:val="en-US"/>
        </w:rPr>
        <w:t>eBioscience</w:t>
      </w:r>
      <w:proofErr w:type="spellEnd"/>
      <w:r w:rsidR="2BF72B06" w:rsidRPr="6A9F2B29">
        <w:rPr>
          <w:color w:val="000000" w:themeColor="text1"/>
          <w:lang w:val="en-US"/>
        </w:rPr>
        <w:t xml:space="preserve">) </w:t>
      </w:r>
      <w:r w:rsidR="14DA911E" w:rsidRPr="6A9F2B29">
        <w:rPr>
          <w:color w:val="000000" w:themeColor="text1"/>
          <w:lang w:val="en-US"/>
        </w:rPr>
        <w:t xml:space="preserve">before incubation with antibody cocktail as specifies in Supplementary table 1. </w:t>
      </w:r>
      <w:r w:rsidR="681F7CE3" w:rsidRPr="6A9F2B29">
        <w:rPr>
          <w:color w:val="000000" w:themeColor="text1"/>
          <w:lang w:val="en-US"/>
        </w:rPr>
        <w:t xml:space="preserve">Cells were </w:t>
      </w:r>
      <w:r w:rsidR="607C244C" w:rsidRPr="6A9F2B29">
        <w:rPr>
          <w:color w:val="000000" w:themeColor="text1"/>
          <w:lang w:val="en-US"/>
        </w:rPr>
        <w:t xml:space="preserve">washed and </w:t>
      </w:r>
      <w:r w:rsidR="681F7CE3" w:rsidRPr="6A9F2B29">
        <w:rPr>
          <w:color w:val="000000" w:themeColor="text1"/>
          <w:lang w:val="en-US"/>
        </w:rPr>
        <w:t xml:space="preserve">fixed overnight at 4°C, treated with Fc block for 15 min at RT, followed by intracellular staining with FoxP3-APC in permeabilization buffer for 30 min at 4°C. Cells were washed and resuspended in FACS buffer prior to acquisition. For </w:t>
      </w:r>
      <w:r w:rsidR="681F7CE3" w:rsidRPr="6A9F2B29">
        <w:rPr>
          <w:i/>
          <w:iCs/>
          <w:color w:val="000000" w:themeColor="text1"/>
          <w:lang w:val="en-US"/>
        </w:rPr>
        <w:t>ex vivo</w:t>
      </w:r>
      <w:r w:rsidR="681F7CE3" w:rsidRPr="6A9F2B29">
        <w:rPr>
          <w:color w:val="000000" w:themeColor="text1"/>
          <w:lang w:val="en-US"/>
        </w:rPr>
        <w:t xml:space="preserve"> stimulation, cells were treated as previously described (22)</w:t>
      </w:r>
      <w:r w:rsidR="1257EC73" w:rsidRPr="6A9F2B29">
        <w:rPr>
          <w:color w:val="000000" w:themeColor="text1"/>
          <w:lang w:val="en-US"/>
        </w:rPr>
        <w:t>.</w:t>
      </w:r>
      <w:r w:rsidR="681F7CE3" w:rsidRPr="6A9F2B29">
        <w:rPr>
          <w:color w:val="000000" w:themeColor="text1"/>
          <w:lang w:val="en-US"/>
        </w:rPr>
        <w:t xml:space="preserve"> Data were acquired on a </w:t>
      </w:r>
      <w:proofErr w:type="spellStart"/>
      <w:r w:rsidR="681F7CE3" w:rsidRPr="6A9F2B29">
        <w:rPr>
          <w:color w:val="000000" w:themeColor="text1"/>
          <w:lang w:val="en-US"/>
        </w:rPr>
        <w:t>MacsQuant</w:t>
      </w:r>
      <w:proofErr w:type="spellEnd"/>
      <w:r w:rsidR="681F7CE3" w:rsidRPr="6A9F2B29">
        <w:rPr>
          <w:color w:val="000000" w:themeColor="text1"/>
          <w:lang w:val="en-US"/>
        </w:rPr>
        <w:t xml:space="preserve"> flow cytometer (</w:t>
      </w:r>
      <w:proofErr w:type="spellStart"/>
      <w:r w:rsidR="681F7CE3" w:rsidRPr="6A9F2B29">
        <w:rPr>
          <w:color w:val="000000" w:themeColor="text1"/>
          <w:lang w:val="en-US"/>
        </w:rPr>
        <w:t>Miltenyi</w:t>
      </w:r>
      <w:proofErr w:type="spellEnd"/>
      <w:r w:rsidR="681F7CE3" w:rsidRPr="6A9F2B29">
        <w:rPr>
          <w:color w:val="000000" w:themeColor="text1"/>
          <w:lang w:val="en-US"/>
        </w:rPr>
        <w:t xml:space="preserve"> Biotech) and analyzed with </w:t>
      </w:r>
      <w:proofErr w:type="spellStart"/>
      <w:r w:rsidR="681F7CE3" w:rsidRPr="6A9F2B29">
        <w:rPr>
          <w:color w:val="000000" w:themeColor="text1"/>
          <w:lang w:val="en-US"/>
        </w:rPr>
        <w:t>FlowJo</w:t>
      </w:r>
      <w:r w:rsidR="681F7CE3" w:rsidRPr="6A9F2B29">
        <w:rPr>
          <w:color w:val="000000" w:themeColor="text1"/>
          <w:vertAlign w:val="superscript"/>
          <w:lang w:val="en-US"/>
        </w:rPr>
        <w:t>TM</w:t>
      </w:r>
      <w:proofErr w:type="spellEnd"/>
      <w:r w:rsidR="681F7CE3" w:rsidRPr="6A9F2B29">
        <w:rPr>
          <w:color w:val="000000" w:themeColor="text1"/>
          <w:lang w:val="en-US"/>
        </w:rPr>
        <w:t xml:space="preserve"> V10.1</w:t>
      </w:r>
      <w:r w:rsidR="6BD1BA4A" w:rsidRPr="6A9F2B29">
        <w:rPr>
          <w:color w:val="000000" w:themeColor="text1"/>
          <w:lang w:val="en-US"/>
        </w:rPr>
        <w:t>.</w:t>
      </w:r>
    </w:p>
    <w:p w14:paraId="463C0893" w14:textId="36B562BE" w:rsidR="001B14B2" w:rsidRPr="00BE0326" w:rsidRDefault="001B14B2" w:rsidP="51C62C70">
      <w:pPr>
        <w:rPr>
          <w:i/>
          <w:iCs/>
          <w:u w:val="single"/>
          <w:lang w:val="en-US"/>
        </w:rPr>
      </w:pPr>
    </w:p>
    <w:p w14:paraId="7D4B9CF4" w14:textId="058F30F8" w:rsidR="00121047" w:rsidRPr="000D5177" w:rsidRDefault="560B208B" w:rsidP="51C62C70">
      <w:pPr>
        <w:rPr>
          <w:color w:val="000000" w:themeColor="text1"/>
          <w:u w:val="single"/>
          <w:lang w:val="en-US"/>
        </w:rPr>
      </w:pPr>
      <w:r w:rsidRPr="6A9F2B29">
        <w:rPr>
          <w:b/>
          <w:bCs/>
          <w:color w:val="000000" w:themeColor="text1"/>
          <w:lang w:val="en-US"/>
        </w:rPr>
        <w:t>M</w:t>
      </w:r>
      <w:r w:rsidR="02025D80" w:rsidRPr="6A9F2B29">
        <w:rPr>
          <w:b/>
          <w:bCs/>
          <w:color w:val="000000" w:themeColor="text1"/>
          <w:lang w:val="en-US"/>
        </w:rPr>
        <w:t>urine</w:t>
      </w:r>
      <w:r w:rsidR="33D18280" w:rsidRPr="6A9F2B29">
        <w:rPr>
          <w:b/>
          <w:bCs/>
          <w:color w:val="000000" w:themeColor="text1"/>
          <w:lang w:val="en-US"/>
        </w:rPr>
        <w:t xml:space="preserve"> cell lines</w:t>
      </w:r>
    </w:p>
    <w:p w14:paraId="0B69EB7C" w14:textId="5D91E5BC" w:rsidR="001B14B2" w:rsidRPr="00BE0326" w:rsidRDefault="000D5177" w:rsidP="51C62C70">
      <w:pPr>
        <w:rPr>
          <w:lang w:val="en-US"/>
        </w:rPr>
      </w:pPr>
      <w:r w:rsidRPr="00BE0326">
        <w:rPr>
          <w:lang w:val="en-US"/>
        </w:rPr>
        <w:t>The CT26 (ATCC® CRL-2638</w:t>
      </w:r>
      <w:r w:rsidRPr="00BE0326">
        <w:rPr>
          <w:vertAlign w:val="superscript"/>
          <w:lang w:val="en-US"/>
        </w:rPr>
        <w:t>TM</w:t>
      </w:r>
      <w:r w:rsidRPr="00BE0326">
        <w:rPr>
          <w:lang w:val="en-US"/>
        </w:rPr>
        <w:t>), Hepa1-6</w:t>
      </w:r>
      <w:r w:rsidR="126A6988" w:rsidRPr="00BE0326">
        <w:rPr>
          <w:lang w:val="en-US"/>
        </w:rPr>
        <w:t xml:space="preserve"> (</w:t>
      </w:r>
      <w:proofErr w:type="spellStart"/>
      <w:r w:rsidR="126A6988" w:rsidRPr="00BE0326">
        <w:rPr>
          <w:lang w:val="en-US"/>
        </w:rPr>
        <w:t>CrownBio</w:t>
      </w:r>
      <w:proofErr w:type="spellEnd"/>
      <w:r w:rsidR="126A6988" w:rsidRPr="00BE0326">
        <w:rPr>
          <w:lang w:val="en-US"/>
        </w:rPr>
        <w:t>)</w:t>
      </w:r>
      <w:r w:rsidRPr="00BE0326">
        <w:rPr>
          <w:lang w:val="en-US"/>
        </w:rPr>
        <w:t>, and EL4 (ATCC® TIB-39</w:t>
      </w:r>
      <w:r w:rsidRPr="00BE0326">
        <w:rPr>
          <w:vertAlign w:val="superscript"/>
          <w:lang w:val="en-US"/>
        </w:rPr>
        <w:t>TM</w:t>
      </w:r>
      <w:r w:rsidRPr="00BE0326">
        <w:rPr>
          <w:lang w:val="en-US"/>
        </w:rPr>
        <w:t>) tumor cells were maintained in vitro as a monolayer culture in RPMI (CT26) or DMEM (Hepa1-6 and EL4) medium supplemented with 10% FBS and 1% HEPES buffer at 37ºC, 5% CO2. Cells in exponential growth phase were harvested and quantitated by cell counter before tumor inoculation. Transductions were performed at GIGA Institute (U. Liège). EL4 (ATCC® TIB-39</w:t>
      </w:r>
      <w:r w:rsidRPr="00BE0326">
        <w:rPr>
          <w:vertAlign w:val="superscript"/>
          <w:lang w:val="en-US"/>
        </w:rPr>
        <w:t>TM</w:t>
      </w:r>
      <w:r w:rsidRPr="00BE0326">
        <w:rPr>
          <w:lang w:val="en-US"/>
        </w:rPr>
        <w:t>) lymphoma cells were transduced at GIGA Institute (</w:t>
      </w:r>
      <w:proofErr w:type="spellStart"/>
      <w:r w:rsidRPr="00BE0326">
        <w:rPr>
          <w:lang w:val="en-US"/>
        </w:rPr>
        <w:t>U.Liège</w:t>
      </w:r>
      <w:proofErr w:type="spellEnd"/>
      <w:r w:rsidRPr="00BE0326">
        <w:rPr>
          <w:lang w:val="en-US"/>
        </w:rPr>
        <w:t xml:space="preserve">) with </w:t>
      </w:r>
      <w:proofErr w:type="spellStart"/>
      <w:r w:rsidRPr="00BE0326">
        <w:rPr>
          <w:lang w:val="en-US"/>
        </w:rPr>
        <w:t>pLV</w:t>
      </w:r>
      <w:proofErr w:type="spellEnd"/>
      <w:r w:rsidRPr="00BE0326">
        <w:rPr>
          <w:lang w:val="en-US"/>
        </w:rPr>
        <w:t xml:space="preserve"> EF1A </w:t>
      </w:r>
      <w:proofErr w:type="spellStart"/>
      <w:r w:rsidRPr="00BE0326">
        <w:rPr>
          <w:lang w:val="en-US"/>
        </w:rPr>
        <w:t>mTigit</w:t>
      </w:r>
      <w:proofErr w:type="spellEnd"/>
      <w:r w:rsidRPr="00BE0326">
        <w:rPr>
          <w:lang w:val="en-US"/>
        </w:rPr>
        <w:t>-IRES-</w:t>
      </w:r>
      <w:proofErr w:type="spellStart"/>
      <w:r w:rsidRPr="00BE0326">
        <w:rPr>
          <w:lang w:val="en-US"/>
        </w:rPr>
        <w:t>EmGFP</w:t>
      </w:r>
      <w:proofErr w:type="spellEnd"/>
      <w:r w:rsidRPr="00BE0326">
        <w:rPr>
          <w:lang w:val="en-US"/>
        </w:rPr>
        <w:t xml:space="preserve"> vector to stably express mouse TIGIT (EL4-mTIGIT) or control vector </w:t>
      </w:r>
      <w:proofErr w:type="spellStart"/>
      <w:r w:rsidRPr="00BE0326">
        <w:rPr>
          <w:lang w:val="en-US"/>
        </w:rPr>
        <w:t>pLV</w:t>
      </w:r>
      <w:proofErr w:type="spellEnd"/>
      <w:r w:rsidRPr="00BE0326">
        <w:rPr>
          <w:lang w:val="en-US"/>
        </w:rPr>
        <w:t xml:space="preserve"> EF1A-EmGFP encoding GFP alone (EL4-GFP). Transduced EL4 were cloned and grown in medium with 13.33 mg/mL of </w:t>
      </w:r>
      <w:proofErr w:type="spellStart"/>
      <w:r w:rsidRPr="00BE0326">
        <w:rPr>
          <w:lang w:val="en-US"/>
        </w:rPr>
        <w:t>Blasticidin</w:t>
      </w:r>
      <w:proofErr w:type="spellEnd"/>
      <w:r w:rsidRPr="00BE0326">
        <w:rPr>
          <w:lang w:val="en-US"/>
        </w:rPr>
        <w:t xml:space="preserve"> (</w:t>
      </w:r>
      <w:proofErr w:type="spellStart"/>
      <w:r w:rsidRPr="00BE0326">
        <w:rPr>
          <w:lang w:val="en-US"/>
        </w:rPr>
        <w:t>ThermoFisher</w:t>
      </w:r>
      <w:proofErr w:type="spellEnd"/>
      <w:r w:rsidRPr="00BE0326">
        <w:rPr>
          <w:lang w:val="en-US"/>
        </w:rPr>
        <w:t xml:space="preserve"> Scientific). PanO2 (NCI 0507406 p3) were transduced with </w:t>
      </w:r>
      <w:proofErr w:type="spellStart"/>
      <w:r w:rsidRPr="00BE0326">
        <w:rPr>
          <w:lang w:val="en-US"/>
        </w:rPr>
        <w:t>pLV</w:t>
      </w:r>
      <w:proofErr w:type="spellEnd"/>
      <w:r w:rsidRPr="00BE0326">
        <w:rPr>
          <w:lang w:val="en-US"/>
        </w:rPr>
        <w:t xml:space="preserve"> EF1A </w:t>
      </w:r>
      <w:proofErr w:type="spellStart"/>
      <w:r w:rsidRPr="00BE0326">
        <w:rPr>
          <w:lang w:val="en-US"/>
        </w:rPr>
        <w:t>mTigit</w:t>
      </w:r>
      <w:proofErr w:type="spellEnd"/>
      <w:r w:rsidRPr="00BE0326">
        <w:rPr>
          <w:lang w:val="en-US"/>
        </w:rPr>
        <w:t>-IRES-</w:t>
      </w:r>
      <w:proofErr w:type="spellStart"/>
      <w:r w:rsidRPr="00BE0326">
        <w:rPr>
          <w:lang w:val="en-US"/>
        </w:rPr>
        <w:t>EmLuc</w:t>
      </w:r>
      <w:proofErr w:type="spellEnd"/>
      <w:r w:rsidRPr="00BE0326">
        <w:rPr>
          <w:lang w:val="en-US"/>
        </w:rPr>
        <w:t xml:space="preserve"> vector to stably express Luciferase (PanO2-Luc)</w:t>
      </w:r>
      <w:r w:rsidR="3F3E8895" w:rsidRPr="00BE0326">
        <w:rPr>
          <w:lang w:val="en-US"/>
        </w:rPr>
        <w:t>.</w:t>
      </w:r>
    </w:p>
    <w:p w14:paraId="5F0F6D12" w14:textId="5600AA87" w:rsidR="001B14B2" w:rsidRPr="00BE0326" w:rsidRDefault="001B14B2" w:rsidP="51C62C70">
      <w:pPr>
        <w:spacing w:after="240"/>
        <w:rPr>
          <w:lang w:val="en-US"/>
        </w:rPr>
      </w:pPr>
    </w:p>
    <w:p w14:paraId="447C0631" w14:textId="77777777" w:rsidR="001B2D7E" w:rsidRDefault="008B3847" w:rsidP="00DB7051">
      <w:pPr>
        <w:rPr>
          <w:b/>
          <w:bCs/>
          <w:lang w:val="en-US"/>
        </w:rPr>
      </w:pPr>
      <w:r w:rsidRPr="00DB7051">
        <w:rPr>
          <w:b/>
          <w:bCs/>
          <w:lang w:val="en-US"/>
        </w:rPr>
        <w:t xml:space="preserve">NK </w:t>
      </w:r>
      <w:r w:rsidR="3BA53E27" w:rsidRPr="00DB7051">
        <w:rPr>
          <w:b/>
          <w:bCs/>
          <w:lang w:val="en-US"/>
        </w:rPr>
        <w:t xml:space="preserve">and </w:t>
      </w:r>
      <w:r w:rsidRPr="00DB7051">
        <w:rPr>
          <w:b/>
          <w:bCs/>
          <w:lang w:val="en-US"/>
        </w:rPr>
        <w:t xml:space="preserve">macrophages </w:t>
      </w:r>
      <w:r w:rsidR="3BA53E27" w:rsidRPr="00DB7051">
        <w:rPr>
          <w:b/>
          <w:bCs/>
          <w:lang w:val="en-US"/>
        </w:rPr>
        <w:t xml:space="preserve">depletion </w:t>
      </w:r>
    </w:p>
    <w:p w14:paraId="4878D00D" w14:textId="032F311E" w:rsidR="7667BAA4" w:rsidRPr="00BE0326" w:rsidRDefault="009150FE" w:rsidP="00DB7051">
      <w:pPr>
        <w:rPr>
          <w:lang w:val="en-US"/>
        </w:rPr>
      </w:pPr>
      <w:bookmarkStart w:id="1" w:name="_GoBack"/>
      <w:bookmarkEnd w:id="1"/>
      <w:r>
        <w:rPr>
          <w:lang w:val="en-US"/>
        </w:rPr>
        <w:t xml:space="preserve">CT26 </w:t>
      </w:r>
      <w:r w:rsidR="00640C0E">
        <w:rPr>
          <w:lang w:val="en-US"/>
        </w:rPr>
        <w:t xml:space="preserve">tumor model was performed </w:t>
      </w:r>
      <w:r w:rsidR="00CE537A">
        <w:rPr>
          <w:lang w:val="en-US"/>
        </w:rPr>
        <w:t xml:space="preserve">as described in material and method. </w:t>
      </w:r>
      <w:r w:rsidR="000844CF">
        <w:rPr>
          <w:lang w:val="en-US"/>
        </w:rPr>
        <w:t xml:space="preserve">NK depletion was </w:t>
      </w:r>
      <w:r w:rsidR="007C3470">
        <w:rPr>
          <w:lang w:val="en-US"/>
        </w:rPr>
        <w:t>performed using anti-Asialo-GM1 antibody (</w:t>
      </w:r>
      <w:r w:rsidR="00FA072A">
        <w:rPr>
          <w:lang w:val="en-US"/>
        </w:rPr>
        <w:t>146002</w:t>
      </w:r>
      <w:r w:rsidR="00BA4513">
        <w:rPr>
          <w:lang w:val="en-US"/>
        </w:rPr>
        <w:t xml:space="preserve">, </w:t>
      </w:r>
      <w:proofErr w:type="spellStart"/>
      <w:r w:rsidR="00BA4513">
        <w:rPr>
          <w:lang w:val="en-US"/>
        </w:rPr>
        <w:t>Biolegend</w:t>
      </w:r>
      <w:proofErr w:type="spellEnd"/>
      <w:r w:rsidR="00BA4513">
        <w:rPr>
          <w:lang w:val="en-US"/>
        </w:rPr>
        <w:t xml:space="preserve">) </w:t>
      </w:r>
      <w:r w:rsidR="00596BF5">
        <w:rPr>
          <w:lang w:val="en-US"/>
        </w:rPr>
        <w:t>administered IP</w:t>
      </w:r>
      <w:r w:rsidR="005F35D6">
        <w:rPr>
          <w:lang w:val="en-US"/>
        </w:rPr>
        <w:t xml:space="preserve"> every 5 days</w:t>
      </w:r>
      <w:r w:rsidR="00596BF5">
        <w:rPr>
          <w:lang w:val="en-US"/>
        </w:rPr>
        <w:t xml:space="preserve"> </w:t>
      </w:r>
      <w:r w:rsidR="00E56D58">
        <w:rPr>
          <w:lang w:val="en-US"/>
        </w:rPr>
        <w:t>at the dose of 20 µl, PBS was used as control</w:t>
      </w:r>
      <w:r w:rsidR="0051409A">
        <w:rPr>
          <w:lang w:val="en-US"/>
        </w:rPr>
        <w:t xml:space="preserve"> and NK depletion was verified by </w:t>
      </w:r>
      <w:r w:rsidR="00C84576">
        <w:rPr>
          <w:lang w:val="en-US"/>
        </w:rPr>
        <w:t xml:space="preserve">flow cytometry. </w:t>
      </w:r>
      <w:r w:rsidR="00A0507B" w:rsidRPr="00A0507B">
        <w:rPr>
          <w:lang w:val="en-GB"/>
        </w:rPr>
        <w:t xml:space="preserve">For macrophage depletion, clodronate or PBS liposomes were generated and given </w:t>
      </w:r>
      <w:r w:rsidR="006B038B">
        <w:rPr>
          <w:lang w:val="en-GB"/>
        </w:rPr>
        <w:t xml:space="preserve">IP </w:t>
      </w:r>
      <w:r w:rsidR="00A0507B" w:rsidRPr="00A0507B">
        <w:rPr>
          <w:lang w:val="en-GB"/>
        </w:rPr>
        <w:t xml:space="preserve">on day 7 </w:t>
      </w:r>
      <w:r w:rsidR="009256DA">
        <w:rPr>
          <w:lang w:val="en-GB"/>
        </w:rPr>
        <w:t xml:space="preserve">and 9 </w:t>
      </w:r>
      <w:r w:rsidR="00A0507B" w:rsidRPr="00A0507B">
        <w:rPr>
          <w:lang w:val="en-GB"/>
        </w:rPr>
        <w:t xml:space="preserve">post tumour inoculation and once weekly thereafter. Macrophage depletion was confirmed using </w:t>
      </w:r>
      <w:r w:rsidR="00A0507B" w:rsidRPr="00A0507B">
        <w:rPr>
          <w:lang w:val="en-US"/>
        </w:rPr>
        <w:t>flow cytometry</w:t>
      </w:r>
      <w:r w:rsidR="00A908CF">
        <w:rPr>
          <w:lang w:val="en-US"/>
        </w:rPr>
        <w:t>. Anti-PD-1 (</w:t>
      </w:r>
      <w:r w:rsidR="009374C0">
        <w:rPr>
          <w:lang w:val="en-US"/>
        </w:rPr>
        <w:t xml:space="preserve"> </w:t>
      </w:r>
      <w:r w:rsidR="002630A0">
        <w:rPr>
          <w:rStyle w:val="normaltextrun"/>
          <w:color w:val="000000"/>
          <w:shd w:val="clear" w:color="auto" w:fill="FFFFFF"/>
          <w:lang w:val="en-GB"/>
        </w:rPr>
        <w:t>200 </w:t>
      </w:r>
      <w:r w:rsidR="002630A0">
        <w:rPr>
          <w:rStyle w:val="normaltextrun"/>
          <w:rFonts w:ascii="Symbol" w:eastAsia="Symbol" w:hAnsi="Symbol" w:cs="Symbol"/>
          <w:color w:val="000000"/>
          <w:shd w:val="clear" w:color="auto" w:fill="FFFFFF"/>
          <w:lang w:val="en-GB"/>
        </w:rPr>
        <w:t>m</w:t>
      </w:r>
      <w:r w:rsidR="002630A0">
        <w:rPr>
          <w:rStyle w:val="normaltextrun"/>
          <w:color w:val="000000"/>
          <w:shd w:val="clear" w:color="auto" w:fill="FFFFFF"/>
          <w:lang w:val="en-GB"/>
        </w:rPr>
        <w:t xml:space="preserve">g/mouse, </w:t>
      </w:r>
      <w:proofErr w:type="spellStart"/>
      <w:r w:rsidR="002630A0">
        <w:rPr>
          <w:rStyle w:val="normaltextrun"/>
          <w:color w:val="000000"/>
          <w:shd w:val="clear" w:color="auto" w:fill="FFFFFF"/>
          <w:lang w:val="en-GB"/>
        </w:rPr>
        <w:t>BioX</w:t>
      </w:r>
      <w:r w:rsidR="00C03FFA">
        <w:rPr>
          <w:rStyle w:val="normaltextrun"/>
          <w:color w:val="000000"/>
          <w:shd w:val="clear" w:color="auto" w:fill="FFFFFF"/>
          <w:lang w:val="en-GB"/>
        </w:rPr>
        <w:t>C</w:t>
      </w:r>
      <w:r w:rsidR="002630A0">
        <w:rPr>
          <w:rStyle w:val="normaltextrun"/>
          <w:color w:val="000000"/>
          <w:shd w:val="clear" w:color="auto" w:fill="FFFFFF"/>
          <w:lang w:val="en-GB"/>
        </w:rPr>
        <w:t>ell</w:t>
      </w:r>
      <w:proofErr w:type="spellEnd"/>
      <w:r w:rsidR="00684007">
        <w:rPr>
          <w:rStyle w:val="normaltextrun"/>
          <w:color w:val="000000"/>
          <w:shd w:val="clear" w:color="auto" w:fill="FFFFFF"/>
          <w:lang w:val="en-GB"/>
        </w:rPr>
        <w:t xml:space="preserve"> BE0146) and anti-TIGIT (200 </w:t>
      </w:r>
      <w:r w:rsidR="00684007">
        <w:rPr>
          <w:rStyle w:val="normaltextrun"/>
          <w:rFonts w:ascii="Symbol" w:eastAsia="Symbol" w:hAnsi="Symbol" w:cs="Symbol"/>
          <w:color w:val="000000"/>
          <w:shd w:val="clear" w:color="auto" w:fill="FFFFFF"/>
          <w:lang w:val="en-GB"/>
        </w:rPr>
        <w:t>m</w:t>
      </w:r>
      <w:r w:rsidR="00684007">
        <w:rPr>
          <w:rStyle w:val="normaltextrun"/>
          <w:color w:val="000000"/>
          <w:shd w:val="clear" w:color="auto" w:fill="FFFFFF"/>
          <w:lang w:val="en-GB"/>
        </w:rPr>
        <w:t xml:space="preserve">g/mouse) </w:t>
      </w:r>
      <w:r w:rsidR="00BB735D">
        <w:rPr>
          <w:rStyle w:val="normaltextrun"/>
          <w:color w:val="000000"/>
          <w:shd w:val="clear" w:color="auto" w:fill="FFFFFF"/>
          <w:lang w:val="en-GB"/>
        </w:rPr>
        <w:t xml:space="preserve">were administered IP when </w:t>
      </w:r>
      <w:proofErr w:type="spellStart"/>
      <w:r w:rsidR="00BB735D">
        <w:rPr>
          <w:rStyle w:val="normaltextrun"/>
          <w:color w:val="000000"/>
          <w:shd w:val="clear" w:color="auto" w:fill="FFFFFF"/>
          <w:lang w:val="en-GB"/>
        </w:rPr>
        <w:t>tumors</w:t>
      </w:r>
      <w:proofErr w:type="spellEnd"/>
      <w:r w:rsidR="00BB735D">
        <w:rPr>
          <w:rStyle w:val="normaltextrun"/>
          <w:color w:val="000000"/>
          <w:shd w:val="clear" w:color="auto" w:fill="FFFFFF"/>
          <w:lang w:val="en-GB"/>
        </w:rPr>
        <w:t xml:space="preserve"> were palpable </w:t>
      </w:r>
      <w:r w:rsidR="00684007">
        <w:rPr>
          <w:rStyle w:val="normaltextrun"/>
          <w:color w:val="000000"/>
          <w:shd w:val="clear" w:color="auto" w:fill="FFFFFF"/>
          <w:lang w:val="en-GB"/>
        </w:rPr>
        <w:t xml:space="preserve"> </w:t>
      </w:r>
      <w:r w:rsidR="00A65416">
        <w:rPr>
          <w:rStyle w:val="normaltextrun"/>
          <w:color w:val="000000"/>
          <w:shd w:val="clear" w:color="auto" w:fill="FFFFFF"/>
          <w:lang w:val="en-GB"/>
        </w:rPr>
        <w:t xml:space="preserve">at days 10, 13 and 16 after </w:t>
      </w:r>
      <w:proofErr w:type="spellStart"/>
      <w:r w:rsidR="00A65416">
        <w:rPr>
          <w:rStyle w:val="normaltextrun"/>
          <w:color w:val="000000"/>
          <w:shd w:val="clear" w:color="auto" w:fill="FFFFFF"/>
          <w:lang w:val="en-GB"/>
        </w:rPr>
        <w:t>tumor</w:t>
      </w:r>
      <w:proofErr w:type="spellEnd"/>
      <w:r w:rsidR="00A65416">
        <w:rPr>
          <w:rStyle w:val="normaltextrun"/>
          <w:color w:val="000000"/>
          <w:shd w:val="clear" w:color="auto" w:fill="FFFFFF"/>
          <w:lang w:val="en-GB"/>
        </w:rPr>
        <w:t xml:space="preserve"> cell inoculation. </w:t>
      </w:r>
    </w:p>
    <w:p w14:paraId="6973EC23" w14:textId="77777777" w:rsidR="00DB7051" w:rsidRDefault="00DB7051" w:rsidP="6A9F2B29">
      <w:pPr>
        <w:rPr>
          <w:b/>
          <w:bCs/>
          <w:color w:val="000000" w:themeColor="text1"/>
          <w:lang w:val="en-GB"/>
        </w:rPr>
      </w:pPr>
    </w:p>
    <w:p w14:paraId="404DF936" w14:textId="2D95DE0A" w:rsidR="14C9C144" w:rsidRPr="00FC3B87" w:rsidRDefault="14C9C144" w:rsidP="6A9F2B29">
      <w:pPr>
        <w:rPr>
          <w:b/>
          <w:bCs/>
          <w:color w:val="000000" w:themeColor="text1"/>
          <w:lang w:val="en-GB"/>
        </w:rPr>
      </w:pPr>
      <w:r w:rsidRPr="00FC3B87">
        <w:rPr>
          <w:b/>
          <w:bCs/>
          <w:color w:val="000000" w:themeColor="text1"/>
          <w:lang w:val="en-GB"/>
        </w:rPr>
        <w:t xml:space="preserve">CT26 and EMT6 </w:t>
      </w:r>
      <w:proofErr w:type="spellStart"/>
      <w:r w:rsidRPr="00FC3B87">
        <w:rPr>
          <w:b/>
          <w:bCs/>
          <w:color w:val="000000" w:themeColor="text1"/>
          <w:lang w:val="en-GB"/>
        </w:rPr>
        <w:t>rechallenge</w:t>
      </w:r>
      <w:proofErr w:type="spellEnd"/>
    </w:p>
    <w:p w14:paraId="4BDD8F02" w14:textId="34E0773D" w:rsidR="14C9C144" w:rsidRPr="00BE0326" w:rsidRDefault="14C9C144" w:rsidP="6A9F2B29">
      <w:pPr>
        <w:rPr>
          <w:rFonts w:ascii="Calibri" w:eastAsia="Calibri" w:hAnsi="Calibri" w:cs="Calibri"/>
          <w:color w:val="000000" w:themeColor="text1"/>
          <w:lang w:val="en-US"/>
        </w:rPr>
      </w:pPr>
      <w:proofErr w:type="spellStart"/>
      <w:r w:rsidRPr="00FC3B87">
        <w:rPr>
          <w:color w:val="000000" w:themeColor="text1"/>
          <w:lang w:val="en-GB"/>
        </w:rPr>
        <w:t>Rechallenge</w:t>
      </w:r>
      <w:proofErr w:type="spellEnd"/>
      <w:r w:rsidRPr="00FC3B87">
        <w:rPr>
          <w:color w:val="000000" w:themeColor="text1"/>
          <w:lang w:val="en-GB"/>
        </w:rPr>
        <w:t xml:space="preserve"> experiments were performed on mice that experienced complete regression. CT26 </w:t>
      </w:r>
      <w:proofErr w:type="spellStart"/>
      <w:r w:rsidRPr="00FC3B87">
        <w:rPr>
          <w:color w:val="000000" w:themeColor="text1"/>
          <w:lang w:val="en-GB"/>
        </w:rPr>
        <w:t>tumor</w:t>
      </w:r>
      <w:proofErr w:type="spellEnd"/>
      <w:r w:rsidRPr="00FC3B87">
        <w:rPr>
          <w:color w:val="000000" w:themeColor="text1"/>
          <w:lang w:val="en-GB"/>
        </w:rPr>
        <w:t xml:space="preserve"> cells were inoculated as described above on day 70 after the first </w:t>
      </w:r>
      <w:proofErr w:type="spellStart"/>
      <w:r w:rsidRPr="00FC3B87">
        <w:rPr>
          <w:color w:val="000000" w:themeColor="text1"/>
          <w:lang w:val="en-GB"/>
        </w:rPr>
        <w:t>tumor</w:t>
      </w:r>
      <w:proofErr w:type="spellEnd"/>
      <w:r w:rsidRPr="00FC3B87">
        <w:rPr>
          <w:color w:val="000000" w:themeColor="text1"/>
          <w:lang w:val="en-GB"/>
        </w:rPr>
        <w:t xml:space="preserve"> inoculation. EMT6 cells</w:t>
      </w:r>
      <w:r w:rsidR="45D9DCBA" w:rsidRPr="00FC3B87">
        <w:rPr>
          <w:color w:val="000000" w:themeColor="text1"/>
          <w:lang w:val="en-GB"/>
        </w:rPr>
        <w:t xml:space="preserve"> (ATCC</w:t>
      </w:r>
      <w:r w:rsidR="45D9DCBA" w:rsidRPr="00BE0326">
        <w:rPr>
          <w:color w:val="000000" w:themeColor="text1"/>
          <w:lang w:val="en-US"/>
        </w:rPr>
        <w:t>®</w:t>
      </w:r>
      <w:r w:rsidR="0C46471C" w:rsidRPr="00BE0326">
        <w:rPr>
          <w:color w:val="000000" w:themeColor="text1"/>
          <w:lang w:val="en-US"/>
        </w:rPr>
        <w:t xml:space="preserve"> CRL-2755</w:t>
      </w:r>
      <w:r w:rsidR="0C46471C" w:rsidRPr="00BE0326">
        <w:rPr>
          <w:color w:val="000000" w:themeColor="text1"/>
          <w:vertAlign w:val="superscript"/>
          <w:lang w:val="en-US"/>
        </w:rPr>
        <w:t>TM</w:t>
      </w:r>
      <w:r w:rsidR="0C46471C" w:rsidRPr="00BE0326">
        <w:rPr>
          <w:color w:val="000000" w:themeColor="text1"/>
          <w:lang w:val="en-US"/>
        </w:rPr>
        <w:t>)</w:t>
      </w:r>
      <w:r w:rsidRPr="00FC3B87">
        <w:rPr>
          <w:color w:val="000000" w:themeColor="text1"/>
          <w:lang w:val="en-GB"/>
        </w:rPr>
        <w:t xml:space="preserve"> were inoculated in the intramammary gland at day 90 after the first CT26 inoculation at the dose of 0.1 x 10</w:t>
      </w:r>
      <w:r w:rsidRPr="00FC3B87">
        <w:rPr>
          <w:color w:val="000000" w:themeColor="text1"/>
          <w:vertAlign w:val="superscript"/>
          <w:lang w:val="en-GB"/>
        </w:rPr>
        <w:t>6</w:t>
      </w:r>
      <w:r w:rsidRPr="00FC3B87">
        <w:rPr>
          <w:rFonts w:ascii="Calibri" w:eastAsia="Calibri" w:hAnsi="Calibri" w:cs="Calibri"/>
          <w:color w:val="000000" w:themeColor="text1"/>
          <w:lang w:val="en-GB"/>
        </w:rPr>
        <w:t xml:space="preserve"> </w:t>
      </w:r>
      <w:r w:rsidRPr="00FC3B87">
        <w:rPr>
          <w:color w:val="000000" w:themeColor="text1"/>
          <w:lang w:val="en-GB"/>
        </w:rPr>
        <w:t xml:space="preserve">cells/mouse. A cohort of naïve mice was inoculated in parallel to confirm </w:t>
      </w:r>
      <w:proofErr w:type="spellStart"/>
      <w:r w:rsidRPr="00FC3B87">
        <w:rPr>
          <w:color w:val="000000" w:themeColor="text1"/>
          <w:lang w:val="en-GB"/>
        </w:rPr>
        <w:t>tumor</w:t>
      </w:r>
      <w:proofErr w:type="spellEnd"/>
      <w:r w:rsidRPr="00FC3B87">
        <w:rPr>
          <w:color w:val="000000" w:themeColor="text1"/>
          <w:lang w:val="en-GB"/>
        </w:rPr>
        <w:t xml:space="preserve"> cell viability and ability to grow. </w:t>
      </w:r>
      <w:r w:rsidRPr="00FC3B87">
        <w:rPr>
          <w:rFonts w:ascii="Calibri" w:eastAsia="Calibri" w:hAnsi="Calibri" w:cs="Calibri"/>
          <w:color w:val="000000" w:themeColor="text1"/>
          <w:lang w:val="en-GB"/>
        </w:rPr>
        <w:t xml:space="preserve"> </w:t>
      </w:r>
    </w:p>
    <w:p w14:paraId="4A56063E" w14:textId="186432E7" w:rsidR="6A9F2B29" w:rsidRPr="00BE0326" w:rsidRDefault="6A9F2B29" w:rsidP="6A9F2B29">
      <w:pPr>
        <w:spacing w:after="240"/>
        <w:rPr>
          <w:lang w:val="en-US"/>
        </w:rPr>
      </w:pPr>
    </w:p>
    <w:p w14:paraId="5DA90670" w14:textId="7256BAAD" w:rsidR="001B14B2" w:rsidRPr="00BE0326" w:rsidRDefault="000D5177" w:rsidP="00300169">
      <w:pPr>
        <w:pStyle w:val="Heading3"/>
        <w:spacing w:before="0" w:beforeAutospacing="0" w:after="0" w:afterAutospacing="0" w:line="240" w:lineRule="auto"/>
        <w:rPr>
          <w:lang w:val="en-US"/>
        </w:rPr>
      </w:pPr>
      <w:r w:rsidRPr="00BE0326">
        <w:rPr>
          <w:lang w:val="en-US"/>
        </w:rPr>
        <w:t xml:space="preserve">In vitro cytotoxicity of anti-TIGIT on EL4-mTIGIT </w:t>
      </w:r>
    </w:p>
    <w:p w14:paraId="3868E3C9" w14:textId="16C628BA" w:rsidR="001B14B2" w:rsidRPr="001B14B2" w:rsidRDefault="000D5177" w:rsidP="00726B04">
      <w:pPr>
        <w:pStyle w:val="Text1"/>
        <w:spacing w:after="0"/>
        <w:jc w:val="both"/>
      </w:pPr>
      <w:r>
        <w:t xml:space="preserve">RAW 264.7 (ATCC® TIB-71TM) were plated in presence of 12 ng/mL of recombinant mouse </w:t>
      </w:r>
      <w:proofErr w:type="spellStart"/>
      <w:r>
        <w:t>IFNg</w:t>
      </w:r>
      <w:proofErr w:type="spellEnd"/>
      <w:r>
        <w:t xml:space="preserve"> for overnight stimulation. EL4-mTIGIT target cells were plated in a 96-well plate, 20000 cells/well, and RAW 264.7 effector cells were added in dedicated wells to a 5:1 </w:t>
      </w:r>
      <w:proofErr w:type="spellStart"/>
      <w:r>
        <w:t>effector:target</w:t>
      </w:r>
      <w:proofErr w:type="spellEnd"/>
      <w:r>
        <w:t xml:space="preserve"> ratio. Anti-TIGIT Ab was added in a 3-fold serial dilution starting at 1 mg/mL; mIgG2a isotype was used as negative control at 1 mg/</w:t>
      </w:r>
      <w:proofErr w:type="spellStart"/>
      <w:r>
        <w:t>mL.</w:t>
      </w:r>
      <w:proofErr w:type="spellEnd"/>
      <w:r>
        <w:t xml:space="preserve"> The plate was incubated overnight at 37°C, 5% CO2. Cells were then washed and resuspended in FACS buffer and acquired on a </w:t>
      </w:r>
      <w:proofErr w:type="spellStart"/>
      <w:r>
        <w:t>MacsQuant</w:t>
      </w:r>
      <w:proofErr w:type="spellEnd"/>
      <w:r>
        <w:t xml:space="preserve"> flow cytometer for GFP expressing cells. Data were analyzed with </w:t>
      </w:r>
      <w:proofErr w:type="spellStart"/>
      <w:r>
        <w:t>FlowJo</w:t>
      </w:r>
      <w:proofErr w:type="spellEnd"/>
      <w:r>
        <w:t xml:space="preserve"> software.</w:t>
      </w:r>
    </w:p>
    <w:p w14:paraId="26B22796" w14:textId="34F6E4AC" w:rsidR="00847CDA" w:rsidRPr="00BE0326" w:rsidRDefault="00847CDA" w:rsidP="007B0B0B">
      <w:pPr>
        <w:jc w:val="both"/>
        <w:rPr>
          <w:lang w:val="en-US"/>
        </w:rPr>
      </w:pPr>
    </w:p>
    <w:p w14:paraId="6DE78AA5" w14:textId="77777777" w:rsidR="00C97D56" w:rsidRPr="00BE0326" w:rsidRDefault="000D5177" w:rsidP="00C97D56">
      <w:pPr>
        <w:jc w:val="both"/>
        <w:rPr>
          <w:b/>
          <w:bCs/>
          <w:lang w:val="en-US"/>
        </w:rPr>
      </w:pPr>
      <w:r w:rsidRPr="00BE0326">
        <w:rPr>
          <w:b/>
          <w:bCs/>
          <w:lang w:val="en-US"/>
        </w:rPr>
        <w:t>Analysis of public datasets</w:t>
      </w:r>
    </w:p>
    <w:p w14:paraId="66BED09A" w14:textId="3C306A6E" w:rsidR="00C97D56" w:rsidRPr="00BE0326" w:rsidRDefault="000D5177" w:rsidP="00C97D56">
      <w:pPr>
        <w:jc w:val="both"/>
        <w:rPr>
          <w:lang w:val="en-US"/>
        </w:rPr>
      </w:pPr>
      <w:r w:rsidRPr="00BE0326">
        <w:rPr>
          <w:lang w:val="en-US"/>
        </w:rPr>
        <w:t xml:space="preserve">The following public microarray datasets were used for analysis of TIGIT expression: Breast, Cervix, Colon, </w:t>
      </w:r>
      <w:proofErr w:type="spellStart"/>
      <w:r w:rsidRPr="00BE0326">
        <w:rPr>
          <w:lang w:val="en-US"/>
        </w:rPr>
        <w:t>Endomentrium</w:t>
      </w:r>
      <w:proofErr w:type="spellEnd"/>
      <w:r w:rsidRPr="00BE0326">
        <w:rPr>
          <w:lang w:val="en-US"/>
        </w:rPr>
        <w:t xml:space="preserve">, Kidney, Lung, Ovary, Prostate and Thyroid (GSE2109); Glioblastoma (GSE7696); Glioma (GSE16011); Neuroblastoma (EGAS00001001953); Myeloma (GSE2658); B-ALL (GSE11877); T-ALL (GSE26713); AML (GSE17855); </w:t>
      </w:r>
      <w:proofErr w:type="spellStart"/>
      <w:r w:rsidRPr="00BE0326">
        <w:rPr>
          <w:lang w:val="en-US"/>
        </w:rPr>
        <w:t>Hodgin</w:t>
      </w:r>
      <w:proofErr w:type="spellEnd"/>
      <w:r w:rsidRPr="00BE0326">
        <w:rPr>
          <w:lang w:val="en-US"/>
        </w:rPr>
        <w:t xml:space="preserve"> Lymphoma (GSE17920); NK Lymphoma (GSE19067); DLBCL (GSE31312); CLL (GSE39671); PTCL (GSE58445); Follicular Lymphoma (GSE93261) and Mantle Cell Lymphoma (GSE93291). All datasets were acquired from the R2 Genomics Analysis and Visualization Platform (R2: </w:t>
      </w:r>
      <w:hyperlink r:id="rId10" w:history="1">
        <w:r w:rsidRPr="00BE0326">
          <w:rPr>
            <w:lang w:val="en-US"/>
          </w:rPr>
          <w:t>http://r2.amc.nl</w:t>
        </w:r>
      </w:hyperlink>
      <w:r w:rsidRPr="00BE0326">
        <w:rPr>
          <w:lang w:val="en-US"/>
        </w:rPr>
        <w:t>).</w:t>
      </w:r>
    </w:p>
    <w:p w14:paraId="177BEA11" w14:textId="77777777" w:rsidR="00121047" w:rsidRPr="00BE0326" w:rsidRDefault="00121047" w:rsidP="00C97D56">
      <w:pPr>
        <w:jc w:val="both"/>
        <w:rPr>
          <w:b/>
          <w:bCs/>
          <w:lang w:val="en-US"/>
        </w:rPr>
      </w:pPr>
    </w:p>
    <w:p w14:paraId="484E2A16" w14:textId="77777777" w:rsidR="000F67A0" w:rsidRPr="00BE0326" w:rsidRDefault="000F67A0">
      <w:pPr>
        <w:rPr>
          <w:b/>
          <w:bCs/>
          <w:lang w:val="en-US"/>
        </w:rPr>
      </w:pPr>
      <w:r w:rsidRPr="00BE0326">
        <w:rPr>
          <w:b/>
          <w:bCs/>
          <w:lang w:val="en-US"/>
        </w:rPr>
        <w:br w:type="page"/>
      </w:r>
    </w:p>
    <w:p w14:paraId="7EAF5EE4" w14:textId="45116B4C" w:rsidR="00C97D56" w:rsidRPr="00BE0326" w:rsidRDefault="000D5177" w:rsidP="007B0B0B">
      <w:pPr>
        <w:jc w:val="both"/>
        <w:rPr>
          <w:lang w:val="en-US"/>
        </w:rPr>
      </w:pPr>
      <w:r w:rsidRPr="00BE0326">
        <w:rPr>
          <w:b/>
          <w:bCs/>
          <w:lang w:val="en-US"/>
        </w:rPr>
        <w:lastRenderedPageBreak/>
        <w:t>Table 1 : Antibodies and flow cytometry panels</w:t>
      </w:r>
    </w:p>
    <w:tbl>
      <w:tblPr>
        <w:tblW w:w="8693" w:type="dxa"/>
        <w:tblLook w:val="04A0" w:firstRow="1" w:lastRow="0" w:firstColumn="1" w:lastColumn="0" w:noHBand="0" w:noVBand="1"/>
      </w:tblPr>
      <w:tblGrid>
        <w:gridCol w:w="2689"/>
        <w:gridCol w:w="2080"/>
        <w:gridCol w:w="17"/>
        <w:gridCol w:w="34"/>
        <w:gridCol w:w="1838"/>
        <w:gridCol w:w="7"/>
        <w:gridCol w:w="2016"/>
        <w:gridCol w:w="12"/>
      </w:tblGrid>
      <w:tr w:rsidR="003841A0" w:rsidRPr="007A39EE" w14:paraId="4E45AEA4" w14:textId="77777777" w:rsidTr="73830063">
        <w:trPr>
          <w:trHeight w:val="340"/>
        </w:trPr>
        <w:tc>
          <w:tcPr>
            <w:tcW w:w="268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1B5D512" w14:textId="77777777" w:rsidR="003841A0" w:rsidRPr="007A39EE" w:rsidRDefault="000D5177" w:rsidP="000D5177">
            <w:pPr>
              <w:jc w:val="center"/>
            </w:pPr>
            <w:proofErr w:type="spellStart"/>
            <w:r>
              <w:t>Antibody</w:t>
            </w:r>
            <w:proofErr w:type="spellEnd"/>
          </w:p>
        </w:tc>
        <w:tc>
          <w:tcPr>
            <w:tcW w:w="2131" w:type="dxa"/>
            <w:gridSpan w:val="3"/>
            <w:tcBorders>
              <w:top w:val="single" w:sz="4" w:space="0" w:color="auto"/>
              <w:left w:val="nil"/>
              <w:bottom w:val="single" w:sz="4" w:space="0" w:color="auto"/>
              <w:right w:val="single" w:sz="4" w:space="0" w:color="auto"/>
            </w:tcBorders>
            <w:shd w:val="clear" w:color="auto" w:fill="E7E6E6" w:themeFill="background2"/>
            <w:noWrap/>
            <w:vAlign w:val="center"/>
            <w:hideMark/>
          </w:tcPr>
          <w:p w14:paraId="47BBFC37" w14:textId="77777777" w:rsidR="003841A0" w:rsidRPr="007A39EE" w:rsidRDefault="000D5177" w:rsidP="000D5177">
            <w:pPr>
              <w:jc w:val="center"/>
            </w:pPr>
            <w:r>
              <w:t>Clone</w:t>
            </w:r>
          </w:p>
        </w:tc>
        <w:tc>
          <w:tcPr>
            <w:tcW w:w="1845" w:type="dxa"/>
            <w:gridSpan w:val="2"/>
            <w:tcBorders>
              <w:top w:val="single" w:sz="4" w:space="0" w:color="auto"/>
              <w:left w:val="nil"/>
              <w:bottom w:val="single" w:sz="4" w:space="0" w:color="auto"/>
              <w:right w:val="single" w:sz="4" w:space="0" w:color="auto"/>
            </w:tcBorders>
            <w:shd w:val="clear" w:color="auto" w:fill="E7E6E6" w:themeFill="background2"/>
            <w:noWrap/>
            <w:vAlign w:val="center"/>
            <w:hideMark/>
          </w:tcPr>
          <w:p w14:paraId="11C79A4F" w14:textId="77777777" w:rsidR="003841A0" w:rsidRPr="007A39EE" w:rsidRDefault="000D5177" w:rsidP="000D5177">
            <w:pPr>
              <w:jc w:val="center"/>
            </w:pPr>
            <w:r>
              <w:t xml:space="preserve">Reference </w:t>
            </w:r>
          </w:p>
        </w:tc>
        <w:tc>
          <w:tcPr>
            <w:tcW w:w="2028" w:type="dxa"/>
            <w:gridSpan w:val="2"/>
            <w:tcBorders>
              <w:top w:val="single" w:sz="4" w:space="0" w:color="auto"/>
              <w:left w:val="nil"/>
              <w:bottom w:val="single" w:sz="4" w:space="0" w:color="auto"/>
              <w:right w:val="single" w:sz="4" w:space="0" w:color="auto"/>
            </w:tcBorders>
            <w:shd w:val="clear" w:color="auto" w:fill="E7E6E6" w:themeFill="background2"/>
            <w:noWrap/>
            <w:vAlign w:val="center"/>
            <w:hideMark/>
          </w:tcPr>
          <w:p w14:paraId="31777163" w14:textId="77777777" w:rsidR="003841A0" w:rsidRPr="007A39EE" w:rsidRDefault="000D5177" w:rsidP="000D5177">
            <w:pPr>
              <w:jc w:val="center"/>
            </w:pPr>
            <w:r>
              <w:t>Supplier</w:t>
            </w:r>
          </w:p>
        </w:tc>
      </w:tr>
      <w:tr w:rsidR="003841A0" w:rsidRPr="00DB7051" w14:paraId="40AFB348" w14:textId="77777777" w:rsidTr="73830063">
        <w:trPr>
          <w:trHeight w:val="320"/>
        </w:trPr>
        <w:tc>
          <w:tcPr>
            <w:tcW w:w="8693" w:type="dxa"/>
            <w:gridSpan w:val="8"/>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249B4F3" w14:textId="77777777" w:rsidR="003841A0" w:rsidRPr="00BE0326" w:rsidRDefault="000D5177" w:rsidP="000D5177">
            <w:pPr>
              <w:jc w:val="center"/>
              <w:rPr>
                <w:lang w:val="en-US"/>
              </w:rPr>
            </w:pPr>
            <w:r w:rsidRPr="00BE0326">
              <w:rPr>
                <w:lang w:val="en-US"/>
              </w:rPr>
              <w:t>TIGIT expression in human PBMCs and TILs (Figure 1 and 2)</w:t>
            </w:r>
          </w:p>
        </w:tc>
      </w:tr>
      <w:tr w:rsidR="003841A0" w:rsidRPr="007A39EE" w14:paraId="4559A8D7" w14:textId="77777777" w:rsidTr="73830063">
        <w:trPr>
          <w:trHeight w:val="32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2F7DA54D" w14:textId="77777777" w:rsidR="003841A0" w:rsidRPr="007A39EE" w:rsidRDefault="000D5177" w:rsidP="000D5177">
            <w:pPr>
              <w:jc w:val="center"/>
            </w:pPr>
            <w:r>
              <w:t xml:space="preserve">anti-CD127-APC </w:t>
            </w:r>
          </w:p>
        </w:tc>
        <w:tc>
          <w:tcPr>
            <w:tcW w:w="2131" w:type="dxa"/>
            <w:gridSpan w:val="3"/>
            <w:tcBorders>
              <w:top w:val="nil"/>
              <w:left w:val="nil"/>
              <w:bottom w:val="single" w:sz="4" w:space="0" w:color="auto"/>
              <w:right w:val="single" w:sz="4" w:space="0" w:color="auto"/>
            </w:tcBorders>
            <w:shd w:val="clear" w:color="auto" w:fill="auto"/>
            <w:noWrap/>
            <w:vAlign w:val="center"/>
            <w:hideMark/>
          </w:tcPr>
          <w:p w14:paraId="023B5424" w14:textId="77777777" w:rsidR="003841A0" w:rsidRPr="007A39EE" w:rsidRDefault="000D5177" w:rsidP="000D5177">
            <w:pPr>
              <w:jc w:val="center"/>
            </w:pPr>
            <w:r>
              <w:t>A019D5</w:t>
            </w:r>
          </w:p>
        </w:tc>
        <w:tc>
          <w:tcPr>
            <w:tcW w:w="1845" w:type="dxa"/>
            <w:gridSpan w:val="2"/>
            <w:tcBorders>
              <w:top w:val="nil"/>
              <w:left w:val="nil"/>
              <w:bottom w:val="single" w:sz="4" w:space="0" w:color="auto"/>
              <w:right w:val="single" w:sz="4" w:space="0" w:color="auto"/>
            </w:tcBorders>
            <w:shd w:val="clear" w:color="auto" w:fill="auto"/>
            <w:noWrap/>
            <w:vAlign w:val="center"/>
            <w:hideMark/>
          </w:tcPr>
          <w:p w14:paraId="3917A266" w14:textId="77777777" w:rsidR="003841A0" w:rsidRPr="007A39EE" w:rsidRDefault="000D5177" w:rsidP="000D5177">
            <w:pPr>
              <w:jc w:val="center"/>
            </w:pPr>
            <w:r>
              <w:t>351316</w:t>
            </w:r>
          </w:p>
        </w:tc>
        <w:tc>
          <w:tcPr>
            <w:tcW w:w="2028" w:type="dxa"/>
            <w:gridSpan w:val="2"/>
            <w:tcBorders>
              <w:top w:val="nil"/>
              <w:left w:val="nil"/>
              <w:bottom w:val="single" w:sz="4" w:space="0" w:color="auto"/>
              <w:right w:val="single" w:sz="4" w:space="0" w:color="auto"/>
            </w:tcBorders>
            <w:shd w:val="clear" w:color="auto" w:fill="auto"/>
            <w:noWrap/>
            <w:vAlign w:val="center"/>
            <w:hideMark/>
          </w:tcPr>
          <w:p w14:paraId="5ABDFB2C" w14:textId="77777777" w:rsidR="003841A0" w:rsidRPr="007A39EE" w:rsidRDefault="000D5177" w:rsidP="000D5177">
            <w:pPr>
              <w:jc w:val="center"/>
            </w:pPr>
            <w:proofErr w:type="spellStart"/>
            <w:r>
              <w:t>Biolegend</w:t>
            </w:r>
            <w:proofErr w:type="spellEnd"/>
          </w:p>
        </w:tc>
      </w:tr>
      <w:tr w:rsidR="003841A0" w:rsidRPr="007A39EE" w14:paraId="0898C356" w14:textId="77777777" w:rsidTr="73830063">
        <w:trPr>
          <w:trHeight w:val="32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1BAF227D" w14:textId="77777777" w:rsidR="003841A0" w:rsidRPr="007A39EE" w:rsidRDefault="000D5177" w:rsidP="000D5177">
            <w:pPr>
              <w:jc w:val="center"/>
            </w:pPr>
            <w:r>
              <w:t xml:space="preserve">anti-CD25-PE-Cy7 </w:t>
            </w:r>
          </w:p>
        </w:tc>
        <w:tc>
          <w:tcPr>
            <w:tcW w:w="2131" w:type="dxa"/>
            <w:gridSpan w:val="3"/>
            <w:tcBorders>
              <w:top w:val="nil"/>
              <w:left w:val="nil"/>
              <w:bottom w:val="single" w:sz="4" w:space="0" w:color="auto"/>
              <w:right w:val="single" w:sz="4" w:space="0" w:color="auto"/>
            </w:tcBorders>
            <w:shd w:val="clear" w:color="auto" w:fill="auto"/>
            <w:noWrap/>
            <w:vAlign w:val="center"/>
            <w:hideMark/>
          </w:tcPr>
          <w:p w14:paraId="28CADBD8" w14:textId="77777777" w:rsidR="003841A0" w:rsidRPr="007A39EE" w:rsidRDefault="000D5177" w:rsidP="000D5177">
            <w:pPr>
              <w:jc w:val="center"/>
            </w:pPr>
            <w:r>
              <w:t>BC96</w:t>
            </w:r>
          </w:p>
        </w:tc>
        <w:tc>
          <w:tcPr>
            <w:tcW w:w="1845" w:type="dxa"/>
            <w:gridSpan w:val="2"/>
            <w:tcBorders>
              <w:top w:val="nil"/>
              <w:left w:val="nil"/>
              <w:bottom w:val="single" w:sz="4" w:space="0" w:color="auto"/>
              <w:right w:val="single" w:sz="4" w:space="0" w:color="auto"/>
            </w:tcBorders>
            <w:shd w:val="clear" w:color="auto" w:fill="auto"/>
            <w:noWrap/>
            <w:vAlign w:val="center"/>
            <w:hideMark/>
          </w:tcPr>
          <w:p w14:paraId="0960BD6C" w14:textId="77777777" w:rsidR="003841A0" w:rsidRPr="007A39EE" w:rsidRDefault="000D5177" w:rsidP="000D5177">
            <w:pPr>
              <w:jc w:val="center"/>
            </w:pPr>
            <w:r>
              <w:t>302612</w:t>
            </w:r>
          </w:p>
        </w:tc>
        <w:tc>
          <w:tcPr>
            <w:tcW w:w="2028" w:type="dxa"/>
            <w:gridSpan w:val="2"/>
            <w:tcBorders>
              <w:top w:val="nil"/>
              <w:left w:val="nil"/>
              <w:bottom w:val="single" w:sz="4" w:space="0" w:color="auto"/>
              <w:right w:val="single" w:sz="4" w:space="0" w:color="auto"/>
            </w:tcBorders>
            <w:shd w:val="clear" w:color="auto" w:fill="auto"/>
            <w:noWrap/>
            <w:vAlign w:val="center"/>
            <w:hideMark/>
          </w:tcPr>
          <w:p w14:paraId="5F4F8471" w14:textId="77777777" w:rsidR="003841A0" w:rsidRPr="007A39EE" w:rsidRDefault="000D5177" w:rsidP="000D5177">
            <w:pPr>
              <w:jc w:val="center"/>
            </w:pPr>
            <w:proofErr w:type="spellStart"/>
            <w:r>
              <w:t>Biolegend</w:t>
            </w:r>
            <w:proofErr w:type="spellEnd"/>
          </w:p>
        </w:tc>
      </w:tr>
      <w:tr w:rsidR="003841A0" w:rsidRPr="007A39EE" w14:paraId="16CCBE0A" w14:textId="77777777" w:rsidTr="73830063">
        <w:trPr>
          <w:trHeight w:val="32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678A7D60" w14:textId="77777777" w:rsidR="003841A0" w:rsidRPr="007A39EE" w:rsidRDefault="000D5177" w:rsidP="000D5177">
            <w:pPr>
              <w:jc w:val="center"/>
            </w:pPr>
            <w:r>
              <w:t>anti-CD3-BV650</w:t>
            </w:r>
          </w:p>
        </w:tc>
        <w:tc>
          <w:tcPr>
            <w:tcW w:w="2131" w:type="dxa"/>
            <w:gridSpan w:val="3"/>
            <w:tcBorders>
              <w:top w:val="nil"/>
              <w:left w:val="nil"/>
              <w:bottom w:val="single" w:sz="4" w:space="0" w:color="auto"/>
              <w:right w:val="single" w:sz="4" w:space="0" w:color="auto"/>
            </w:tcBorders>
            <w:shd w:val="clear" w:color="auto" w:fill="auto"/>
            <w:noWrap/>
            <w:vAlign w:val="center"/>
            <w:hideMark/>
          </w:tcPr>
          <w:p w14:paraId="46F8C27D" w14:textId="77777777" w:rsidR="003841A0" w:rsidRPr="007A39EE" w:rsidRDefault="000D5177" w:rsidP="000D5177">
            <w:pPr>
              <w:jc w:val="center"/>
            </w:pPr>
            <w:r>
              <w:t>SK7</w:t>
            </w:r>
          </w:p>
        </w:tc>
        <w:tc>
          <w:tcPr>
            <w:tcW w:w="1845" w:type="dxa"/>
            <w:gridSpan w:val="2"/>
            <w:tcBorders>
              <w:top w:val="nil"/>
              <w:left w:val="nil"/>
              <w:bottom w:val="single" w:sz="4" w:space="0" w:color="auto"/>
              <w:right w:val="single" w:sz="4" w:space="0" w:color="auto"/>
            </w:tcBorders>
            <w:shd w:val="clear" w:color="auto" w:fill="auto"/>
            <w:noWrap/>
            <w:vAlign w:val="center"/>
            <w:hideMark/>
          </w:tcPr>
          <w:p w14:paraId="5049FD7E" w14:textId="77777777" w:rsidR="003841A0" w:rsidRPr="007A39EE" w:rsidRDefault="000D5177" w:rsidP="000D5177">
            <w:pPr>
              <w:jc w:val="center"/>
            </w:pPr>
            <w:r>
              <w:t>563999</w:t>
            </w:r>
          </w:p>
        </w:tc>
        <w:tc>
          <w:tcPr>
            <w:tcW w:w="2028" w:type="dxa"/>
            <w:gridSpan w:val="2"/>
            <w:tcBorders>
              <w:top w:val="nil"/>
              <w:left w:val="nil"/>
              <w:bottom w:val="single" w:sz="4" w:space="0" w:color="auto"/>
              <w:right w:val="single" w:sz="4" w:space="0" w:color="auto"/>
            </w:tcBorders>
            <w:shd w:val="clear" w:color="auto" w:fill="auto"/>
            <w:noWrap/>
            <w:vAlign w:val="center"/>
            <w:hideMark/>
          </w:tcPr>
          <w:p w14:paraId="418E9A93" w14:textId="77777777" w:rsidR="003841A0" w:rsidRPr="007A39EE" w:rsidRDefault="000D5177" w:rsidP="000D5177">
            <w:pPr>
              <w:jc w:val="center"/>
            </w:pPr>
            <w:r>
              <w:t>BD Horizon</w:t>
            </w:r>
          </w:p>
        </w:tc>
      </w:tr>
      <w:tr w:rsidR="003841A0" w:rsidRPr="007A39EE" w14:paraId="2D3516E2" w14:textId="77777777" w:rsidTr="73830063">
        <w:trPr>
          <w:trHeight w:val="32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47A347CB" w14:textId="77777777" w:rsidR="003841A0" w:rsidRPr="007A39EE" w:rsidRDefault="000D5177" w:rsidP="000D5177">
            <w:pPr>
              <w:jc w:val="center"/>
            </w:pPr>
            <w:r>
              <w:t xml:space="preserve">anti-CD39-PE-Dazzle594 </w:t>
            </w:r>
          </w:p>
        </w:tc>
        <w:tc>
          <w:tcPr>
            <w:tcW w:w="2131" w:type="dxa"/>
            <w:gridSpan w:val="3"/>
            <w:tcBorders>
              <w:top w:val="nil"/>
              <w:left w:val="nil"/>
              <w:bottom w:val="single" w:sz="4" w:space="0" w:color="auto"/>
              <w:right w:val="single" w:sz="4" w:space="0" w:color="auto"/>
            </w:tcBorders>
            <w:shd w:val="clear" w:color="auto" w:fill="auto"/>
            <w:noWrap/>
            <w:vAlign w:val="center"/>
            <w:hideMark/>
          </w:tcPr>
          <w:p w14:paraId="5E061F7F" w14:textId="77777777" w:rsidR="003841A0" w:rsidRPr="007A39EE" w:rsidRDefault="000D5177" w:rsidP="000D5177">
            <w:pPr>
              <w:jc w:val="center"/>
            </w:pPr>
            <w:r>
              <w:t>A1</w:t>
            </w:r>
          </w:p>
        </w:tc>
        <w:tc>
          <w:tcPr>
            <w:tcW w:w="1845" w:type="dxa"/>
            <w:gridSpan w:val="2"/>
            <w:tcBorders>
              <w:top w:val="nil"/>
              <w:left w:val="nil"/>
              <w:bottom w:val="single" w:sz="4" w:space="0" w:color="auto"/>
              <w:right w:val="single" w:sz="4" w:space="0" w:color="auto"/>
            </w:tcBorders>
            <w:shd w:val="clear" w:color="auto" w:fill="auto"/>
            <w:noWrap/>
            <w:vAlign w:val="center"/>
            <w:hideMark/>
          </w:tcPr>
          <w:p w14:paraId="2BF3226E" w14:textId="77777777" w:rsidR="003841A0" w:rsidRPr="007A39EE" w:rsidRDefault="000D5177" w:rsidP="000D5177">
            <w:pPr>
              <w:jc w:val="center"/>
            </w:pPr>
            <w:r>
              <w:t>328224</w:t>
            </w:r>
          </w:p>
        </w:tc>
        <w:tc>
          <w:tcPr>
            <w:tcW w:w="2028" w:type="dxa"/>
            <w:gridSpan w:val="2"/>
            <w:tcBorders>
              <w:top w:val="nil"/>
              <w:left w:val="nil"/>
              <w:bottom w:val="single" w:sz="4" w:space="0" w:color="auto"/>
              <w:right w:val="single" w:sz="4" w:space="0" w:color="auto"/>
            </w:tcBorders>
            <w:shd w:val="clear" w:color="auto" w:fill="auto"/>
            <w:noWrap/>
            <w:vAlign w:val="center"/>
            <w:hideMark/>
          </w:tcPr>
          <w:p w14:paraId="297CA0E4" w14:textId="77777777" w:rsidR="003841A0" w:rsidRPr="007A39EE" w:rsidRDefault="000D5177" w:rsidP="000D5177">
            <w:pPr>
              <w:jc w:val="center"/>
            </w:pPr>
            <w:proofErr w:type="spellStart"/>
            <w:r>
              <w:t>Biolegend</w:t>
            </w:r>
            <w:proofErr w:type="spellEnd"/>
          </w:p>
        </w:tc>
      </w:tr>
      <w:tr w:rsidR="003841A0" w:rsidRPr="007A39EE" w14:paraId="0C367008" w14:textId="77777777" w:rsidTr="73830063">
        <w:trPr>
          <w:trHeight w:val="32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68BB9D96" w14:textId="77777777" w:rsidR="003841A0" w:rsidRPr="007A39EE" w:rsidRDefault="000D5177" w:rsidP="000D5177">
            <w:pPr>
              <w:jc w:val="center"/>
            </w:pPr>
            <w:r>
              <w:t xml:space="preserve">anti-CD4-APC-R700 </w:t>
            </w:r>
          </w:p>
        </w:tc>
        <w:tc>
          <w:tcPr>
            <w:tcW w:w="2131" w:type="dxa"/>
            <w:gridSpan w:val="3"/>
            <w:tcBorders>
              <w:top w:val="nil"/>
              <w:left w:val="nil"/>
              <w:bottom w:val="single" w:sz="4" w:space="0" w:color="auto"/>
              <w:right w:val="single" w:sz="4" w:space="0" w:color="auto"/>
            </w:tcBorders>
            <w:shd w:val="clear" w:color="auto" w:fill="auto"/>
            <w:noWrap/>
            <w:vAlign w:val="center"/>
            <w:hideMark/>
          </w:tcPr>
          <w:p w14:paraId="00997A42" w14:textId="77777777" w:rsidR="003841A0" w:rsidRPr="007A39EE" w:rsidRDefault="000D5177" w:rsidP="000D5177">
            <w:pPr>
              <w:jc w:val="center"/>
            </w:pPr>
            <w:r>
              <w:t>RPA-T4</w:t>
            </w:r>
          </w:p>
        </w:tc>
        <w:tc>
          <w:tcPr>
            <w:tcW w:w="1845" w:type="dxa"/>
            <w:gridSpan w:val="2"/>
            <w:tcBorders>
              <w:top w:val="nil"/>
              <w:left w:val="nil"/>
              <w:bottom w:val="single" w:sz="4" w:space="0" w:color="auto"/>
              <w:right w:val="single" w:sz="4" w:space="0" w:color="auto"/>
            </w:tcBorders>
            <w:shd w:val="clear" w:color="auto" w:fill="auto"/>
            <w:noWrap/>
            <w:vAlign w:val="center"/>
            <w:hideMark/>
          </w:tcPr>
          <w:p w14:paraId="1AF3E5A2" w14:textId="77777777" w:rsidR="003841A0" w:rsidRPr="007A39EE" w:rsidRDefault="000D5177" w:rsidP="000D5177">
            <w:pPr>
              <w:jc w:val="center"/>
            </w:pPr>
            <w:r>
              <w:t>564975</w:t>
            </w:r>
          </w:p>
        </w:tc>
        <w:tc>
          <w:tcPr>
            <w:tcW w:w="2028" w:type="dxa"/>
            <w:gridSpan w:val="2"/>
            <w:tcBorders>
              <w:top w:val="nil"/>
              <w:left w:val="nil"/>
              <w:bottom w:val="single" w:sz="4" w:space="0" w:color="auto"/>
              <w:right w:val="single" w:sz="4" w:space="0" w:color="auto"/>
            </w:tcBorders>
            <w:shd w:val="clear" w:color="auto" w:fill="auto"/>
            <w:noWrap/>
            <w:vAlign w:val="center"/>
            <w:hideMark/>
          </w:tcPr>
          <w:p w14:paraId="19BD3F69" w14:textId="77777777" w:rsidR="003841A0" w:rsidRPr="007A39EE" w:rsidRDefault="000D5177" w:rsidP="000D5177">
            <w:pPr>
              <w:jc w:val="center"/>
            </w:pPr>
            <w:r>
              <w:t>BD Horizon</w:t>
            </w:r>
          </w:p>
        </w:tc>
      </w:tr>
      <w:tr w:rsidR="003841A0" w:rsidRPr="007A39EE" w14:paraId="18303AEC" w14:textId="77777777" w:rsidTr="73830063">
        <w:trPr>
          <w:trHeight w:val="32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1F74ACAD" w14:textId="77777777" w:rsidR="003841A0" w:rsidRPr="007A39EE" w:rsidRDefault="000D5177" w:rsidP="000D5177">
            <w:pPr>
              <w:jc w:val="center"/>
            </w:pPr>
            <w:r>
              <w:t>anti-CD45-BB515</w:t>
            </w:r>
          </w:p>
        </w:tc>
        <w:tc>
          <w:tcPr>
            <w:tcW w:w="2131" w:type="dxa"/>
            <w:gridSpan w:val="3"/>
            <w:tcBorders>
              <w:top w:val="nil"/>
              <w:left w:val="nil"/>
              <w:bottom w:val="single" w:sz="4" w:space="0" w:color="auto"/>
              <w:right w:val="single" w:sz="4" w:space="0" w:color="auto"/>
            </w:tcBorders>
            <w:shd w:val="clear" w:color="auto" w:fill="auto"/>
            <w:noWrap/>
            <w:vAlign w:val="center"/>
            <w:hideMark/>
          </w:tcPr>
          <w:p w14:paraId="5A1128CC" w14:textId="77777777" w:rsidR="003841A0" w:rsidRPr="007A39EE" w:rsidRDefault="000D5177" w:rsidP="000D5177">
            <w:pPr>
              <w:jc w:val="center"/>
            </w:pPr>
            <w:r>
              <w:t>HI30</w:t>
            </w:r>
          </w:p>
        </w:tc>
        <w:tc>
          <w:tcPr>
            <w:tcW w:w="1845" w:type="dxa"/>
            <w:gridSpan w:val="2"/>
            <w:tcBorders>
              <w:top w:val="nil"/>
              <w:left w:val="nil"/>
              <w:bottom w:val="single" w:sz="4" w:space="0" w:color="auto"/>
              <w:right w:val="single" w:sz="4" w:space="0" w:color="auto"/>
            </w:tcBorders>
            <w:shd w:val="clear" w:color="auto" w:fill="auto"/>
            <w:noWrap/>
            <w:vAlign w:val="center"/>
            <w:hideMark/>
          </w:tcPr>
          <w:p w14:paraId="5F57084A" w14:textId="77777777" w:rsidR="003841A0" w:rsidRPr="007A39EE" w:rsidRDefault="000D5177" w:rsidP="000D5177">
            <w:pPr>
              <w:jc w:val="center"/>
            </w:pPr>
            <w:r>
              <w:t>564585</w:t>
            </w:r>
          </w:p>
        </w:tc>
        <w:tc>
          <w:tcPr>
            <w:tcW w:w="2028" w:type="dxa"/>
            <w:gridSpan w:val="2"/>
            <w:tcBorders>
              <w:top w:val="nil"/>
              <w:left w:val="nil"/>
              <w:bottom w:val="single" w:sz="4" w:space="0" w:color="auto"/>
              <w:right w:val="single" w:sz="4" w:space="0" w:color="auto"/>
            </w:tcBorders>
            <w:shd w:val="clear" w:color="auto" w:fill="auto"/>
            <w:noWrap/>
            <w:vAlign w:val="center"/>
            <w:hideMark/>
          </w:tcPr>
          <w:p w14:paraId="28E5EFE0" w14:textId="77777777" w:rsidR="003841A0" w:rsidRPr="007A39EE" w:rsidRDefault="000D5177" w:rsidP="000D5177">
            <w:pPr>
              <w:jc w:val="center"/>
            </w:pPr>
            <w:r>
              <w:t>BD Horizon</w:t>
            </w:r>
          </w:p>
        </w:tc>
      </w:tr>
      <w:tr w:rsidR="003841A0" w:rsidRPr="007A39EE" w14:paraId="7E847209" w14:textId="77777777" w:rsidTr="73830063">
        <w:trPr>
          <w:trHeight w:val="32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0D511B59" w14:textId="77777777" w:rsidR="003841A0" w:rsidRPr="007A39EE" w:rsidRDefault="000D5177" w:rsidP="000D5177">
            <w:pPr>
              <w:jc w:val="center"/>
            </w:pPr>
            <w:r>
              <w:t xml:space="preserve">anti-CD45RO-BB515 </w:t>
            </w:r>
          </w:p>
        </w:tc>
        <w:tc>
          <w:tcPr>
            <w:tcW w:w="2131" w:type="dxa"/>
            <w:gridSpan w:val="3"/>
            <w:tcBorders>
              <w:top w:val="nil"/>
              <w:left w:val="nil"/>
              <w:bottom w:val="single" w:sz="4" w:space="0" w:color="auto"/>
              <w:right w:val="single" w:sz="4" w:space="0" w:color="auto"/>
            </w:tcBorders>
            <w:shd w:val="clear" w:color="auto" w:fill="auto"/>
            <w:noWrap/>
            <w:vAlign w:val="center"/>
            <w:hideMark/>
          </w:tcPr>
          <w:p w14:paraId="7B92CDDD" w14:textId="77777777" w:rsidR="003841A0" w:rsidRPr="007A39EE" w:rsidRDefault="000D5177" w:rsidP="000D5177">
            <w:pPr>
              <w:jc w:val="center"/>
            </w:pPr>
            <w:r>
              <w:t>UCHL1</w:t>
            </w:r>
          </w:p>
        </w:tc>
        <w:tc>
          <w:tcPr>
            <w:tcW w:w="1845" w:type="dxa"/>
            <w:gridSpan w:val="2"/>
            <w:tcBorders>
              <w:top w:val="nil"/>
              <w:left w:val="nil"/>
              <w:bottom w:val="single" w:sz="4" w:space="0" w:color="auto"/>
              <w:right w:val="single" w:sz="4" w:space="0" w:color="auto"/>
            </w:tcBorders>
            <w:shd w:val="clear" w:color="auto" w:fill="auto"/>
            <w:noWrap/>
            <w:vAlign w:val="center"/>
            <w:hideMark/>
          </w:tcPr>
          <w:p w14:paraId="49F0A1C1" w14:textId="77777777" w:rsidR="003841A0" w:rsidRPr="007A39EE" w:rsidRDefault="000D5177" w:rsidP="000D5177">
            <w:pPr>
              <w:jc w:val="center"/>
            </w:pPr>
            <w:r>
              <w:t>564529</w:t>
            </w:r>
          </w:p>
        </w:tc>
        <w:tc>
          <w:tcPr>
            <w:tcW w:w="2028" w:type="dxa"/>
            <w:gridSpan w:val="2"/>
            <w:tcBorders>
              <w:top w:val="nil"/>
              <w:left w:val="nil"/>
              <w:bottom w:val="single" w:sz="4" w:space="0" w:color="auto"/>
              <w:right w:val="single" w:sz="4" w:space="0" w:color="auto"/>
            </w:tcBorders>
            <w:shd w:val="clear" w:color="auto" w:fill="auto"/>
            <w:noWrap/>
            <w:vAlign w:val="center"/>
            <w:hideMark/>
          </w:tcPr>
          <w:p w14:paraId="2F7A365E" w14:textId="77777777" w:rsidR="003841A0" w:rsidRPr="007A39EE" w:rsidRDefault="000D5177" w:rsidP="000D5177">
            <w:pPr>
              <w:jc w:val="center"/>
            </w:pPr>
            <w:r>
              <w:t>BD Horizon</w:t>
            </w:r>
          </w:p>
        </w:tc>
      </w:tr>
      <w:tr w:rsidR="003841A0" w:rsidRPr="007A39EE" w14:paraId="1B9C0868" w14:textId="77777777" w:rsidTr="73830063">
        <w:trPr>
          <w:trHeight w:val="32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3A17C4D2" w14:textId="77777777" w:rsidR="003841A0" w:rsidRPr="007A39EE" w:rsidRDefault="000D5177" w:rsidP="000D5177">
            <w:pPr>
              <w:jc w:val="center"/>
            </w:pPr>
            <w:r>
              <w:t xml:space="preserve">anti-CD56-BV711 </w:t>
            </w:r>
          </w:p>
        </w:tc>
        <w:tc>
          <w:tcPr>
            <w:tcW w:w="2131" w:type="dxa"/>
            <w:gridSpan w:val="3"/>
            <w:tcBorders>
              <w:top w:val="nil"/>
              <w:left w:val="nil"/>
              <w:bottom w:val="single" w:sz="4" w:space="0" w:color="auto"/>
              <w:right w:val="single" w:sz="4" w:space="0" w:color="auto"/>
            </w:tcBorders>
            <w:shd w:val="clear" w:color="auto" w:fill="auto"/>
            <w:noWrap/>
            <w:vAlign w:val="center"/>
            <w:hideMark/>
          </w:tcPr>
          <w:p w14:paraId="3CE68860" w14:textId="77777777" w:rsidR="003841A0" w:rsidRPr="007A39EE" w:rsidRDefault="000D5177" w:rsidP="000D5177">
            <w:pPr>
              <w:jc w:val="center"/>
            </w:pPr>
            <w:r>
              <w:t>5.1H11</w:t>
            </w:r>
          </w:p>
        </w:tc>
        <w:tc>
          <w:tcPr>
            <w:tcW w:w="1845" w:type="dxa"/>
            <w:gridSpan w:val="2"/>
            <w:tcBorders>
              <w:top w:val="nil"/>
              <w:left w:val="nil"/>
              <w:bottom w:val="single" w:sz="4" w:space="0" w:color="auto"/>
              <w:right w:val="single" w:sz="4" w:space="0" w:color="auto"/>
            </w:tcBorders>
            <w:shd w:val="clear" w:color="auto" w:fill="auto"/>
            <w:noWrap/>
            <w:vAlign w:val="center"/>
            <w:hideMark/>
          </w:tcPr>
          <w:p w14:paraId="730AADC7" w14:textId="77777777" w:rsidR="003841A0" w:rsidRPr="007A39EE" w:rsidRDefault="000D5177" w:rsidP="000D5177">
            <w:pPr>
              <w:jc w:val="center"/>
            </w:pPr>
            <w:r>
              <w:t>362542</w:t>
            </w:r>
          </w:p>
        </w:tc>
        <w:tc>
          <w:tcPr>
            <w:tcW w:w="2028" w:type="dxa"/>
            <w:gridSpan w:val="2"/>
            <w:tcBorders>
              <w:top w:val="nil"/>
              <w:left w:val="nil"/>
              <w:bottom w:val="single" w:sz="4" w:space="0" w:color="auto"/>
              <w:right w:val="single" w:sz="4" w:space="0" w:color="auto"/>
            </w:tcBorders>
            <w:shd w:val="clear" w:color="auto" w:fill="auto"/>
            <w:noWrap/>
            <w:vAlign w:val="center"/>
            <w:hideMark/>
          </w:tcPr>
          <w:p w14:paraId="7BB9A280" w14:textId="77777777" w:rsidR="003841A0" w:rsidRPr="007A39EE" w:rsidRDefault="000D5177" w:rsidP="000D5177">
            <w:pPr>
              <w:jc w:val="center"/>
            </w:pPr>
            <w:proofErr w:type="spellStart"/>
            <w:r>
              <w:t>Biolegend</w:t>
            </w:r>
            <w:proofErr w:type="spellEnd"/>
          </w:p>
        </w:tc>
      </w:tr>
      <w:tr w:rsidR="003841A0" w:rsidRPr="007A39EE" w14:paraId="0696DF43" w14:textId="77777777" w:rsidTr="73830063">
        <w:trPr>
          <w:trHeight w:val="32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4BFB33A7" w14:textId="77777777" w:rsidR="003841A0" w:rsidRPr="007A39EE" w:rsidRDefault="000D5177" w:rsidP="000D5177">
            <w:pPr>
              <w:jc w:val="center"/>
            </w:pPr>
            <w:r>
              <w:t xml:space="preserve">anti-CD73-BV421 </w:t>
            </w:r>
          </w:p>
        </w:tc>
        <w:tc>
          <w:tcPr>
            <w:tcW w:w="2131" w:type="dxa"/>
            <w:gridSpan w:val="3"/>
            <w:tcBorders>
              <w:top w:val="nil"/>
              <w:left w:val="nil"/>
              <w:bottom w:val="single" w:sz="4" w:space="0" w:color="auto"/>
              <w:right w:val="single" w:sz="4" w:space="0" w:color="auto"/>
            </w:tcBorders>
            <w:shd w:val="clear" w:color="auto" w:fill="auto"/>
            <w:noWrap/>
            <w:vAlign w:val="center"/>
            <w:hideMark/>
          </w:tcPr>
          <w:p w14:paraId="7EF97E82" w14:textId="77777777" w:rsidR="003841A0" w:rsidRPr="007A39EE" w:rsidRDefault="000D5177" w:rsidP="000D5177">
            <w:pPr>
              <w:jc w:val="center"/>
            </w:pPr>
            <w:r>
              <w:t>AD2</w:t>
            </w:r>
          </w:p>
        </w:tc>
        <w:tc>
          <w:tcPr>
            <w:tcW w:w="1845" w:type="dxa"/>
            <w:gridSpan w:val="2"/>
            <w:tcBorders>
              <w:top w:val="nil"/>
              <w:left w:val="nil"/>
              <w:bottom w:val="single" w:sz="4" w:space="0" w:color="auto"/>
              <w:right w:val="single" w:sz="4" w:space="0" w:color="auto"/>
            </w:tcBorders>
            <w:shd w:val="clear" w:color="auto" w:fill="auto"/>
            <w:noWrap/>
            <w:vAlign w:val="center"/>
            <w:hideMark/>
          </w:tcPr>
          <w:p w14:paraId="44773032" w14:textId="77777777" w:rsidR="003841A0" w:rsidRPr="007A39EE" w:rsidRDefault="000D5177" w:rsidP="000D5177">
            <w:pPr>
              <w:jc w:val="center"/>
            </w:pPr>
            <w:r>
              <w:t>562430</w:t>
            </w:r>
          </w:p>
        </w:tc>
        <w:tc>
          <w:tcPr>
            <w:tcW w:w="2028" w:type="dxa"/>
            <w:gridSpan w:val="2"/>
            <w:tcBorders>
              <w:top w:val="nil"/>
              <w:left w:val="nil"/>
              <w:bottom w:val="single" w:sz="4" w:space="0" w:color="auto"/>
              <w:right w:val="single" w:sz="4" w:space="0" w:color="auto"/>
            </w:tcBorders>
            <w:shd w:val="clear" w:color="auto" w:fill="auto"/>
            <w:noWrap/>
            <w:vAlign w:val="center"/>
            <w:hideMark/>
          </w:tcPr>
          <w:p w14:paraId="2B80C874" w14:textId="77777777" w:rsidR="003841A0" w:rsidRPr="007A39EE" w:rsidRDefault="000D5177" w:rsidP="000D5177">
            <w:pPr>
              <w:jc w:val="center"/>
            </w:pPr>
            <w:r>
              <w:t>BD Horizon</w:t>
            </w:r>
          </w:p>
        </w:tc>
      </w:tr>
      <w:tr w:rsidR="003841A0" w:rsidRPr="007A39EE" w14:paraId="24E8E146" w14:textId="77777777" w:rsidTr="73830063">
        <w:trPr>
          <w:trHeight w:val="32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64FFCE00" w14:textId="77777777" w:rsidR="003841A0" w:rsidRPr="007A39EE" w:rsidRDefault="000D5177" w:rsidP="000D5177">
            <w:pPr>
              <w:jc w:val="center"/>
            </w:pPr>
            <w:r>
              <w:t xml:space="preserve">anti-CD8-BV510 </w:t>
            </w:r>
          </w:p>
        </w:tc>
        <w:tc>
          <w:tcPr>
            <w:tcW w:w="2131" w:type="dxa"/>
            <w:gridSpan w:val="3"/>
            <w:tcBorders>
              <w:top w:val="nil"/>
              <w:left w:val="nil"/>
              <w:bottom w:val="single" w:sz="4" w:space="0" w:color="auto"/>
              <w:right w:val="single" w:sz="4" w:space="0" w:color="auto"/>
            </w:tcBorders>
            <w:shd w:val="clear" w:color="auto" w:fill="auto"/>
            <w:noWrap/>
            <w:vAlign w:val="center"/>
            <w:hideMark/>
          </w:tcPr>
          <w:p w14:paraId="448ECCD6" w14:textId="77777777" w:rsidR="003841A0" w:rsidRPr="007A39EE" w:rsidRDefault="000D5177" w:rsidP="000D5177">
            <w:pPr>
              <w:jc w:val="center"/>
            </w:pPr>
            <w:r>
              <w:t>SK1</w:t>
            </w:r>
          </w:p>
        </w:tc>
        <w:tc>
          <w:tcPr>
            <w:tcW w:w="1845" w:type="dxa"/>
            <w:gridSpan w:val="2"/>
            <w:tcBorders>
              <w:top w:val="nil"/>
              <w:left w:val="nil"/>
              <w:bottom w:val="single" w:sz="4" w:space="0" w:color="auto"/>
              <w:right w:val="single" w:sz="4" w:space="0" w:color="auto"/>
            </w:tcBorders>
            <w:shd w:val="clear" w:color="auto" w:fill="auto"/>
            <w:noWrap/>
            <w:vAlign w:val="center"/>
            <w:hideMark/>
          </w:tcPr>
          <w:p w14:paraId="35550ABB" w14:textId="77777777" w:rsidR="003841A0" w:rsidRPr="007A39EE" w:rsidRDefault="000D5177" w:rsidP="000D5177">
            <w:pPr>
              <w:jc w:val="center"/>
            </w:pPr>
            <w:r>
              <w:t>563919</w:t>
            </w:r>
          </w:p>
        </w:tc>
        <w:tc>
          <w:tcPr>
            <w:tcW w:w="2028" w:type="dxa"/>
            <w:gridSpan w:val="2"/>
            <w:tcBorders>
              <w:top w:val="nil"/>
              <w:left w:val="nil"/>
              <w:bottom w:val="single" w:sz="4" w:space="0" w:color="auto"/>
              <w:right w:val="single" w:sz="4" w:space="0" w:color="auto"/>
            </w:tcBorders>
            <w:shd w:val="clear" w:color="auto" w:fill="auto"/>
            <w:noWrap/>
            <w:vAlign w:val="center"/>
            <w:hideMark/>
          </w:tcPr>
          <w:p w14:paraId="1A896B5F" w14:textId="77777777" w:rsidR="003841A0" w:rsidRPr="007A39EE" w:rsidRDefault="000D5177" w:rsidP="000D5177">
            <w:pPr>
              <w:jc w:val="center"/>
            </w:pPr>
            <w:r>
              <w:t>BD Horizon</w:t>
            </w:r>
          </w:p>
        </w:tc>
      </w:tr>
      <w:tr w:rsidR="003841A0" w:rsidRPr="007A39EE" w14:paraId="6F532665" w14:textId="77777777" w:rsidTr="73830063">
        <w:trPr>
          <w:trHeight w:val="32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1516F208" w14:textId="77777777" w:rsidR="003841A0" w:rsidRPr="007A39EE" w:rsidRDefault="000D5177" w:rsidP="000D5177">
            <w:pPr>
              <w:jc w:val="center"/>
            </w:pPr>
            <w:r>
              <w:t xml:space="preserve">anti-TIGIT-PE </w:t>
            </w:r>
          </w:p>
        </w:tc>
        <w:tc>
          <w:tcPr>
            <w:tcW w:w="2131" w:type="dxa"/>
            <w:gridSpan w:val="3"/>
            <w:tcBorders>
              <w:top w:val="nil"/>
              <w:left w:val="nil"/>
              <w:bottom w:val="single" w:sz="4" w:space="0" w:color="auto"/>
              <w:right w:val="single" w:sz="4" w:space="0" w:color="auto"/>
            </w:tcBorders>
            <w:shd w:val="clear" w:color="auto" w:fill="auto"/>
            <w:noWrap/>
            <w:vAlign w:val="center"/>
            <w:hideMark/>
          </w:tcPr>
          <w:p w14:paraId="2C4FC7D7" w14:textId="77777777" w:rsidR="003841A0" w:rsidRPr="007A39EE" w:rsidRDefault="000D5177" w:rsidP="000D5177">
            <w:pPr>
              <w:jc w:val="center"/>
            </w:pPr>
            <w:r>
              <w:t>MBSA43</w:t>
            </w:r>
          </w:p>
        </w:tc>
        <w:tc>
          <w:tcPr>
            <w:tcW w:w="1845" w:type="dxa"/>
            <w:gridSpan w:val="2"/>
            <w:tcBorders>
              <w:top w:val="nil"/>
              <w:left w:val="nil"/>
              <w:bottom w:val="single" w:sz="4" w:space="0" w:color="auto"/>
              <w:right w:val="single" w:sz="4" w:space="0" w:color="auto"/>
            </w:tcBorders>
            <w:shd w:val="clear" w:color="auto" w:fill="auto"/>
            <w:noWrap/>
            <w:vAlign w:val="center"/>
            <w:hideMark/>
          </w:tcPr>
          <w:p w14:paraId="0BB26005" w14:textId="77777777" w:rsidR="003841A0" w:rsidRPr="007A39EE" w:rsidRDefault="000D5177" w:rsidP="000D5177">
            <w:pPr>
              <w:jc w:val="center"/>
            </w:pPr>
            <w:r>
              <w:t>12-9500-42</w:t>
            </w:r>
          </w:p>
        </w:tc>
        <w:tc>
          <w:tcPr>
            <w:tcW w:w="2028" w:type="dxa"/>
            <w:gridSpan w:val="2"/>
            <w:tcBorders>
              <w:top w:val="nil"/>
              <w:left w:val="nil"/>
              <w:bottom w:val="single" w:sz="4" w:space="0" w:color="auto"/>
              <w:right w:val="single" w:sz="4" w:space="0" w:color="auto"/>
            </w:tcBorders>
            <w:shd w:val="clear" w:color="auto" w:fill="auto"/>
            <w:noWrap/>
            <w:vAlign w:val="center"/>
            <w:hideMark/>
          </w:tcPr>
          <w:p w14:paraId="551A5C48" w14:textId="77777777" w:rsidR="003841A0" w:rsidRPr="007A39EE" w:rsidRDefault="000D5177" w:rsidP="000D5177">
            <w:pPr>
              <w:jc w:val="center"/>
            </w:pPr>
            <w:proofErr w:type="spellStart"/>
            <w:r>
              <w:t>eBioscience</w:t>
            </w:r>
            <w:proofErr w:type="spellEnd"/>
          </w:p>
        </w:tc>
      </w:tr>
      <w:tr w:rsidR="003841A0" w:rsidRPr="007A39EE" w14:paraId="1E0F7D4F" w14:textId="77777777" w:rsidTr="73830063">
        <w:trPr>
          <w:trHeight w:val="32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63F4F4A3" w14:textId="77777777" w:rsidR="003841A0" w:rsidRPr="007A39EE" w:rsidRDefault="000D5177" w:rsidP="000D5177">
            <w:pPr>
              <w:jc w:val="center"/>
            </w:pPr>
            <w:r>
              <w:t xml:space="preserve">anti-IL-2-APC </w:t>
            </w:r>
          </w:p>
        </w:tc>
        <w:tc>
          <w:tcPr>
            <w:tcW w:w="2131" w:type="dxa"/>
            <w:gridSpan w:val="3"/>
            <w:tcBorders>
              <w:top w:val="nil"/>
              <w:left w:val="nil"/>
              <w:bottom w:val="single" w:sz="4" w:space="0" w:color="auto"/>
              <w:right w:val="single" w:sz="4" w:space="0" w:color="auto"/>
            </w:tcBorders>
            <w:shd w:val="clear" w:color="auto" w:fill="auto"/>
            <w:noWrap/>
            <w:vAlign w:val="center"/>
            <w:hideMark/>
          </w:tcPr>
          <w:p w14:paraId="475A0C79" w14:textId="77777777" w:rsidR="003841A0" w:rsidRPr="007A39EE" w:rsidRDefault="000D5177" w:rsidP="000D5177">
            <w:pPr>
              <w:jc w:val="center"/>
            </w:pPr>
            <w:r>
              <w:t>MQ1-17H12</w:t>
            </w:r>
          </w:p>
        </w:tc>
        <w:tc>
          <w:tcPr>
            <w:tcW w:w="1845" w:type="dxa"/>
            <w:gridSpan w:val="2"/>
            <w:tcBorders>
              <w:top w:val="nil"/>
              <w:left w:val="nil"/>
              <w:bottom w:val="single" w:sz="4" w:space="0" w:color="auto"/>
              <w:right w:val="single" w:sz="4" w:space="0" w:color="auto"/>
            </w:tcBorders>
            <w:shd w:val="clear" w:color="auto" w:fill="auto"/>
            <w:noWrap/>
            <w:vAlign w:val="center"/>
            <w:hideMark/>
          </w:tcPr>
          <w:p w14:paraId="649D5014" w14:textId="77777777" w:rsidR="003841A0" w:rsidRPr="007A39EE" w:rsidRDefault="000D5177" w:rsidP="000D5177">
            <w:pPr>
              <w:jc w:val="center"/>
            </w:pPr>
            <w:r>
              <w:t>17-7029-82</w:t>
            </w:r>
          </w:p>
        </w:tc>
        <w:tc>
          <w:tcPr>
            <w:tcW w:w="2028" w:type="dxa"/>
            <w:gridSpan w:val="2"/>
            <w:tcBorders>
              <w:top w:val="nil"/>
              <w:left w:val="nil"/>
              <w:bottom w:val="single" w:sz="4" w:space="0" w:color="auto"/>
              <w:right w:val="single" w:sz="4" w:space="0" w:color="auto"/>
            </w:tcBorders>
            <w:shd w:val="clear" w:color="auto" w:fill="auto"/>
            <w:noWrap/>
            <w:vAlign w:val="center"/>
            <w:hideMark/>
          </w:tcPr>
          <w:p w14:paraId="0215EC1B" w14:textId="77777777" w:rsidR="003841A0" w:rsidRPr="007A39EE" w:rsidRDefault="000D5177" w:rsidP="000D5177">
            <w:pPr>
              <w:jc w:val="center"/>
            </w:pPr>
            <w:proofErr w:type="spellStart"/>
            <w:r>
              <w:t>eBioscience</w:t>
            </w:r>
            <w:proofErr w:type="spellEnd"/>
          </w:p>
        </w:tc>
      </w:tr>
      <w:tr w:rsidR="003841A0" w:rsidRPr="007A39EE" w14:paraId="7C25F04E" w14:textId="77777777" w:rsidTr="73830063">
        <w:trPr>
          <w:trHeight w:val="32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53470DB3" w14:textId="27A8033A" w:rsidR="003841A0" w:rsidRPr="007A39EE" w:rsidRDefault="000D5177" w:rsidP="51C62C70">
            <w:pPr>
              <w:jc w:val="center"/>
            </w:pPr>
            <w:r>
              <w:t>anti-IFNɣ-BV711</w:t>
            </w:r>
          </w:p>
        </w:tc>
        <w:tc>
          <w:tcPr>
            <w:tcW w:w="2131" w:type="dxa"/>
            <w:gridSpan w:val="3"/>
            <w:tcBorders>
              <w:top w:val="nil"/>
              <w:left w:val="nil"/>
              <w:bottom w:val="single" w:sz="4" w:space="0" w:color="auto"/>
              <w:right w:val="single" w:sz="4" w:space="0" w:color="auto"/>
            </w:tcBorders>
            <w:shd w:val="clear" w:color="auto" w:fill="auto"/>
            <w:noWrap/>
            <w:vAlign w:val="center"/>
            <w:hideMark/>
          </w:tcPr>
          <w:p w14:paraId="67E5803D" w14:textId="77777777" w:rsidR="003841A0" w:rsidRPr="007A39EE" w:rsidRDefault="000D5177" w:rsidP="000D5177">
            <w:pPr>
              <w:jc w:val="center"/>
            </w:pPr>
            <w:r>
              <w:t>4S.B3</w:t>
            </w:r>
          </w:p>
        </w:tc>
        <w:tc>
          <w:tcPr>
            <w:tcW w:w="1845" w:type="dxa"/>
            <w:gridSpan w:val="2"/>
            <w:tcBorders>
              <w:top w:val="nil"/>
              <w:left w:val="nil"/>
              <w:bottom w:val="single" w:sz="4" w:space="0" w:color="auto"/>
              <w:right w:val="single" w:sz="4" w:space="0" w:color="auto"/>
            </w:tcBorders>
            <w:shd w:val="clear" w:color="auto" w:fill="auto"/>
            <w:noWrap/>
            <w:vAlign w:val="center"/>
            <w:hideMark/>
          </w:tcPr>
          <w:p w14:paraId="6A7599CC" w14:textId="77777777" w:rsidR="003841A0" w:rsidRPr="007A39EE" w:rsidRDefault="000D5177" w:rsidP="000D5177">
            <w:pPr>
              <w:jc w:val="center"/>
            </w:pPr>
            <w:r>
              <w:t>564793</w:t>
            </w:r>
          </w:p>
        </w:tc>
        <w:tc>
          <w:tcPr>
            <w:tcW w:w="2028" w:type="dxa"/>
            <w:gridSpan w:val="2"/>
            <w:tcBorders>
              <w:top w:val="nil"/>
              <w:left w:val="nil"/>
              <w:bottom w:val="single" w:sz="4" w:space="0" w:color="auto"/>
              <w:right w:val="single" w:sz="4" w:space="0" w:color="auto"/>
            </w:tcBorders>
            <w:shd w:val="clear" w:color="auto" w:fill="auto"/>
            <w:noWrap/>
            <w:vAlign w:val="center"/>
            <w:hideMark/>
          </w:tcPr>
          <w:p w14:paraId="3C9A07B1" w14:textId="77777777" w:rsidR="003841A0" w:rsidRPr="007A39EE" w:rsidRDefault="000D5177" w:rsidP="000D5177">
            <w:pPr>
              <w:jc w:val="center"/>
            </w:pPr>
            <w:r>
              <w:t>BD Horizon</w:t>
            </w:r>
          </w:p>
        </w:tc>
      </w:tr>
      <w:tr w:rsidR="003841A0" w:rsidRPr="007A39EE" w14:paraId="22796E15" w14:textId="77777777" w:rsidTr="73830063">
        <w:trPr>
          <w:trHeight w:val="32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5680ECD3" w14:textId="77777777" w:rsidR="003841A0" w:rsidRPr="007A39EE" w:rsidRDefault="000D5177" w:rsidP="000D5177">
            <w:pPr>
              <w:jc w:val="center"/>
            </w:pPr>
            <w:r>
              <w:t xml:space="preserve">anti-TNFa-PE-Cy7 </w:t>
            </w:r>
          </w:p>
        </w:tc>
        <w:tc>
          <w:tcPr>
            <w:tcW w:w="2131" w:type="dxa"/>
            <w:gridSpan w:val="3"/>
            <w:tcBorders>
              <w:top w:val="nil"/>
              <w:left w:val="nil"/>
              <w:bottom w:val="single" w:sz="4" w:space="0" w:color="auto"/>
              <w:right w:val="single" w:sz="4" w:space="0" w:color="auto"/>
            </w:tcBorders>
            <w:shd w:val="clear" w:color="auto" w:fill="auto"/>
            <w:noWrap/>
            <w:vAlign w:val="center"/>
            <w:hideMark/>
          </w:tcPr>
          <w:p w14:paraId="2B0A4AAC" w14:textId="77777777" w:rsidR="003841A0" w:rsidRPr="007A39EE" w:rsidRDefault="000D5177" w:rsidP="000D5177">
            <w:pPr>
              <w:jc w:val="center"/>
            </w:pPr>
            <w:r>
              <w:t>MAb11</w:t>
            </w:r>
          </w:p>
        </w:tc>
        <w:tc>
          <w:tcPr>
            <w:tcW w:w="1845" w:type="dxa"/>
            <w:gridSpan w:val="2"/>
            <w:tcBorders>
              <w:top w:val="nil"/>
              <w:left w:val="nil"/>
              <w:bottom w:val="single" w:sz="4" w:space="0" w:color="auto"/>
              <w:right w:val="single" w:sz="4" w:space="0" w:color="auto"/>
            </w:tcBorders>
            <w:shd w:val="clear" w:color="auto" w:fill="auto"/>
            <w:noWrap/>
            <w:vAlign w:val="center"/>
            <w:hideMark/>
          </w:tcPr>
          <w:p w14:paraId="44DF712A" w14:textId="77777777" w:rsidR="003841A0" w:rsidRPr="007A39EE" w:rsidRDefault="000D5177" w:rsidP="000D5177">
            <w:pPr>
              <w:jc w:val="center"/>
            </w:pPr>
            <w:r>
              <w:t>25-7349-82</w:t>
            </w:r>
          </w:p>
        </w:tc>
        <w:tc>
          <w:tcPr>
            <w:tcW w:w="2028" w:type="dxa"/>
            <w:gridSpan w:val="2"/>
            <w:tcBorders>
              <w:top w:val="nil"/>
              <w:left w:val="nil"/>
              <w:bottom w:val="single" w:sz="4" w:space="0" w:color="auto"/>
              <w:right w:val="single" w:sz="4" w:space="0" w:color="auto"/>
            </w:tcBorders>
            <w:shd w:val="clear" w:color="auto" w:fill="auto"/>
            <w:noWrap/>
            <w:vAlign w:val="center"/>
            <w:hideMark/>
          </w:tcPr>
          <w:p w14:paraId="4B053971" w14:textId="77777777" w:rsidR="003841A0" w:rsidRPr="007A39EE" w:rsidRDefault="000D5177" w:rsidP="000D5177">
            <w:pPr>
              <w:jc w:val="center"/>
            </w:pPr>
            <w:proofErr w:type="spellStart"/>
            <w:r>
              <w:t>eBioscience</w:t>
            </w:r>
            <w:proofErr w:type="spellEnd"/>
          </w:p>
        </w:tc>
      </w:tr>
      <w:tr w:rsidR="003841A0" w:rsidRPr="00DB7051" w14:paraId="163C71F6" w14:textId="77777777" w:rsidTr="73830063">
        <w:trPr>
          <w:trHeight w:val="600"/>
        </w:trPr>
        <w:tc>
          <w:tcPr>
            <w:tcW w:w="8693" w:type="dxa"/>
            <w:gridSpan w:val="8"/>
            <w:tcBorders>
              <w:top w:val="nil"/>
              <w:left w:val="single" w:sz="4" w:space="0" w:color="auto"/>
              <w:bottom w:val="single" w:sz="4" w:space="0" w:color="auto"/>
              <w:right w:val="single" w:sz="4" w:space="0" w:color="000000" w:themeColor="text1"/>
            </w:tcBorders>
            <w:shd w:val="clear" w:color="auto" w:fill="F2F2F2" w:themeFill="background1" w:themeFillShade="F2"/>
            <w:noWrap/>
            <w:vAlign w:val="center"/>
            <w:hideMark/>
          </w:tcPr>
          <w:p w14:paraId="2780E0CA" w14:textId="77777777" w:rsidR="003841A0" w:rsidRPr="00BE0326" w:rsidRDefault="000D5177" w:rsidP="000D5177">
            <w:pPr>
              <w:jc w:val="center"/>
              <w:rPr>
                <w:lang w:val="en-US"/>
              </w:rPr>
            </w:pPr>
            <w:r w:rsidRPr="00BE0326">
              <w:rPr>
                <w:lang w:val="en-US"/>
              </w:rPr>
              <w:t>In vitro ADCC assay on human PBMCs from cancer patients (Figure 4)</w:t>
            </w:r>
          </w:p>
        </w:tc>
      </w:tr>
      <w:tr w:rsidR="003841A0" w:rsidRPr="007A39EE" w14:paraId="43D55656" w14:textId="77777777" w:rsidTr="73830063">
        <w:trPr>
          <w:trHeight w:val="32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27ECB645" w14:textId="77777777" w:rsidR="003841A0" w:rsidRPr="007A39EE" w:rsidRDefault="000D5177" w:rsidP="000D5177">
            <w:pPr>
              <w:jc w:val="center"/>
            </w:pPr>
            <w:r>
              <w:t xml:space="preserve">anti-CD19-AF700 </w:t>
            </w:r>
          </w:p>
        </w:tc>
        <w:tc>
          <w:tcPr>
            <w:tcW w:w="2131" w:type="dxa"/>
            <w:gridSpan w:val="3"/>
            <w:tcBorders>
              <w:top w:val="nil"/>
              <w:left w:val="nil"/>
              <w:bottom w:val="single" w:sz="4" w:space="0" w:color="auto"/>
              <w:right w:val="single" w:sz="4" w:space="0" w:color="auto"/>
            </w:tcBorders>
            <w:shd w:val="clear" w:color="auto" w:fill="auto"/>
            <w:noWrap/>
            <w:vAlign w:val="center"/>
            <w:hideMark/>
          </w:tcPr>
          <w:p w14:paraId="3F194EFB" w14:textId="77777777" w:rsidR="003841A0" w:rsidRPr="007A39EE" w:rsidRDefault="000D5177" w:rsidP="000D5177">
            <w:pPr>
              <w:jc w:val="center"/>
            </w:pPr>
            <w:r>
              <w:t>HIB19</w:t>
            </w:r>
          </w:p>
        </w:tc>
        <w:tc>
          <w:tcPr>
            <w:tcW w:w="1838" w:type="dxa"/>
            <w:tcBorders>
              <w:top w:val="nil"/>
              <w:left w:val="nil"/>
              <w:bottom w:val="single" w:sz="4" w:space="0" w:color="auto"/>
              <w:right w:val="single" w:sz="4" w:space="0" w:color="auto"/>
            </w:tcBorders>
            <w:shd w:val="clear" w:color="auto" w:fill="auto"/>
            <w:noWrap/>
            <w:vAlign w:val="center"/>
            <w:hideMark/>
          </w:tcPr>
          <w:p w14:paraId="48F7CBD3" w14:textId="77777777" w:rsidR="003841A0" w:rsidRPr="007A39EE" w:rsidRDefault="000D5177" w:rsidP="000D5177">
            <w:pPr>
              <w:jc w:val="center"/>
            </w:pPr>
            <w:r>
              <w:t>56-0199</w:t>
            </w:r>
          </w:p>
        </w:tc>
        <w:tc>
          <w:tcPr>
            <w:tcW w:w="2035" w:type="dxa"/>
            <w:gridSpan w:val="3"/>
            <w:tcBorders>
              <w:top w:val="nil"/>
              <w:left w:val="nil"/>
              <w:bottom w:val="single" w:sz="4" w:space="0" w:color="auto"/>
              <w:right w:val="single" w:sz="4" w:space="0" w:color="auto"/>
            </w:tcBorders>
            <w:shd w:val="clear" w:color="auto" w:fill="auto"/>
            <w:noWrap/>
            <w:vAlign w:val="center"/>
            <w:hideMark/>
          </w:tcPr>
          <w:p w14:paraId="655332EB" w14:textId="77777777" w:rsidR="003841A0" w:rsidRPr="007A39EE" w:rsidRDefault="000D5177" w:rsidP="000D5177">
            <w:pPr>
              <w:jc w:val="center"/>
            </w:pPr>
            <w:proofErr w:type="spellStart"/>
            <w:r>
              <w:t>eBioscience</w:t>
            </w:r>
            <w:proofErr w:type="spellEnd"/>
          </w:p>
        </w:tc>
      </w:tr>
      <w:tr w:rsidR="003841A0" w:rsidRPr="007A39EE" w14:paraId="168E0A22" w14:textId="77777777" w:rsidTr="73830063">
        <w:trPr>
          <w:trHeight w:val="32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6A5DE979" w14:textId="77777777" w:rsidR="003841A0" w:rsidRPr="007A39EE" w:rsidRDefault="000D5177" w:rsidP="000D5177">
            <w:pPr>
              <w:jc w:val="center"/>
            </w:pPr>
            <w:r>
              <w:t xml:space="preserve">anti-TCRab-PerCP-Cy5,5 </w:t>
            </w:r>
          </w:p>
        </w:tc>
        <w:tc>
          <w:tcPr>
            <w:tcW w:w="2131" w:type="dxa"/>
            <w:gridSpan w:val="3"/>
            <w:tcBorders>
              <w:top w:val="nil"/>
              <w:left w:val="nil"/>
              <w:bottom w:val="single" w:sz="4" w:space="0" w:color="auto"/>
              <w:right w:val="single" w:sz="4" w:space="0" w:color="auto"/>
            </w:tcBorders>
            <w:shd w:val="clear" w:color="auto" w:fill="auto"/>
            <w:noWrap/>
            <w:vAlign w:val="center"/>
            <w:hideMark/>
          </w:tcPr>
          <w:p w14:paraId="2FD2A4B2" w14:textId="77777777" w:rsidR="003841A0" w:rsidRPr="007A39EE" w:rsidRDefault="000D5177" w:rsidP="000D5177">
            <w:pPr>
              <w:jc w:val="center"/>
            </w:pPr>
            <w:r>
              <w:t>IP26</w:t>
            </w:r>
          </w:p>
        </w:tc>
        <w:tc>
          <w:tcPr>
            <w:tcW w:w="1838" w:type="dxa"/>
            <w:tcBorders>
              <w:top w:val="nil"/>
              <w:left w:val="nil"/>
              <w:bottom w:val="single" w:sz="4" w:space="0" w:color="auto"/>
              <w:right w:val="single" w:sz="4" w:space="0" w:color="auto"/>
            </w:tcBorders>
            <w:shd w:val="clear" w:color="auto" w:fill="auto"/>
            <w:noWrap/>
            <w:vAlign w:val="center"/>
            <w:hideMark/>
          </w:tcPr>
          <w:p w14:paraId="3F04FD0F" w14:textId="77777777" w:rsidR="003841A0" w:rsidRPr="007A39EE" w:rsidRDefault="000D5177" w:rsidP="000D5177">
            <w:pPr>
              <w:jc w:val="center"/>
            </w:pPr>
            <w:r>
              <w:t>306723</w:t>
            </w:r>
          </w:p>
        </w:tc>
        <w:tc>
          <w:tcPr>
            <w:tcW w:w="2035" w:type="dxa"/>
            <w:gridSpan w:val="3"/>
            <w:tcBorders>
              <w:top w:val="nil"/>
              <w:left w:val="nil"/>
              <w:bottom w:val="single" w:sz="4" w:space="0" w:color="auto"/>
              <w:right w:val="single" w:sz="4" w:space="0" w:color="auto"/>
            </w:tcBorders>
            <w:shd w:val="clear" w:color="auto" w:fill="auto"/>
            <w:noWrap/>
            <w:vAlign w:val="center"/>
            <w:hideMark/>
          </w:tcPr>
          <w:p w14:paraId="3D6CEB5C" w14:textId="77777777" w:rsidR="003841A0" w:rsidRPr="007A39EE" w:rsidRDefault="000D5177" w:rsidP="000D5177">
            <w:pPr>
              <w:jc w:val="center"/>
            </w:pPr>
            <w:proofErr w:type="spellStart"/>
            <w:r>
              <w:t>eBioscience</w:t>
            </w:r>
            <w:proofErr w:type="spellEnd"/>
          </w:p>
        </w:tc>
      </w:tr>
      <w:tr w:rsidR="003841A0" w:rsidRPr="007A39EE" w14:paraId="46F8B235" w14:textId="77777777" w:rsidTr="73830063">
        <w:trPr>
          <w:trHeight w:val="32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6227686E" w14:textId="77777777" w:rsidR="003841A0" w:rsidRPr="007A39EE" w:rsidRDefault="000D5177" w:rsidP="000D5177">
            <w:pPr>
              <w:jc w:val="center"/>
            </w:pPr>
            <w:r>
              <w:t xml:space="preserve">anti-CD4-BV510 </w:t>
            </w:r>
          </w:p>
        </w:tc>
        <w:tc>
          <w:tcPr>
            <w:tcW w:w="2131" w:type="dxa"/>
            <w:gridSpan w:val="3"/>
            <w:tcBorders>
              <w:top w:val="nil"/>
              <w:left w:val="nil"/>
              <w:bottom w:val="single" w:sz="4" w:space="0" w:color="auto"/>
              <w:right w:val="single" w:sz="4" w:space="0" w:color="auto"/>
            </w:tcBorders>
            <w:shd w:val="clear" w:color="auto" w:fill="auto"/>
            <w:noWrap/>
            <w:vAlign w:val="center"/>
            <w:hideMark/>
          </w:tcPr>
          <w:p w14:paraId="1CDE3900" w14:textId="77777777" w:rsidR="003841A0" w:rsidRPr="007A39EE" w:rsidRDefault="000D5177" w:rsidP="000D5177">
            <w:pPr>
              <w:jc w:val="center"/>
            </w:pPr>
            <w:r>
              <w:t>SK3</w:t>
            </w:r>
          </w:p>
        </w:tc>
        <w:tc>
          <w:tcPr>
            <w:tcW w:w="1838" w:type="dxa"/>
            <w:tcBorders>
              <w:top w:val="nil"/>
              <w:left w:val="nil"/>
              <w:bottom w:val="single" w:sz="4" w:space="0" w:color="auto"/>
              <w:right w:val="single" w:sz="4" w:space="0" w:color="auto"/>
            </w:tcBorders>
            <w:shd w:val="clear" w:color="auto" w:fill="auto"/>
            <w:noWrap/>
            <w:vAlign w:val="center"/>
            <w:hideMark/>
          </w:tcPr>
          <w:p w14:paraId="143D8434" w14:textId="77777777" w:rsidR="003841A0" w:rsidRPr="007A39EE" w:rsidRDefault="000D5177" w:rsidP="000D5177">
            <w:pPr>
              <w:jc w:val="center"/>
            </w:pPr>
            <w:r>
              <w:t>562970</w:t>
            </w:r>
          </w:p>
        </w:tc>
        <w:tc>
          <w:tcPr>
            <w:tcW w:w="2035" w:type="dxa"/>
            <w:gridSpan w:val="3"/>
            <w:tcBorders>
              <w:top w:val="nil"/>
              <w:left w:val="nil"/>
              <w:bottom w:val="single" w:sz="4" w:space="0" w:color="auto"/>
              <w:right w:val="single" w:sz="4" w:space="0" w:color="auto"/>
            </w:tcBorders>
            <w:shd w:val="clear" w:color="auto" w:fill="auto"/>
            <w:noWrap/>
            <w:vAlign w:val="center"/>
            <w:hideMark/>
          </w:tcPr>
          <w:p w14:paraId="17057225" w14:textId="77777777" w:rsidR="003841A0" w:rsidRPr="007A39EE" w:rsidRDefault="000D5177" w:rsidP="000D5177">
            <w:pPr>
              <w:jc w:val="center"/>
            </w:pPr>
            <w:proofErr w:type="spellStart"/>
            <w:r>
              <w:t>Biolegend</w:t>
            </w:r>
            <w:proofErr w:type="spellEnd"/>
          </w:p>
        </w:tc>
      </w:tr>
      <w:tr w:rsidR="003841A0" w:rsidRPr="007A39EE" w14:paraId="39DF52F6" w14:textId="77777777" w:rsidTr="73830063">
        <w:trPr>
          <w:trHeight w:val="32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4DD98102" w14:textId="77777777" w:rsidR="003841A0" w:rsidRPr="007A39EE" w:rsidRDefault="000D5177" w:rsidP="000D5177">
            <w:pPr>
              <w:jc w:val="center"/>
            </w:pPr>
            <w:r>
              <w:t>anti-CD8-APC-Cy7</w:t>
            </w:r>
          </w:p>
        </w:tc>
        <w:tc>
          <w:tcPr>
            <w:tcW w:w="2131" w:type="dxa"/>
            <w:gridSpan w:val="3"/>
            <w:tcBorders>
              <w:top w:val="nil"/>
              <w:left w:val="nil"/>
              <w:bottom w:val="single" w:sz="4" w:space="0" w:color="auto"/>
              <w:right w:val="single" w:sz="4" w:space="0" w:color="auto"/>
            </w:tcBorders>
            <w:shd w:val="clear" w:color="auto" w:fill="auto"/>
            <w:noWrap/>
            <w:vAlign w:val="center"/>
            <w:hideMark/>
          </w:tcPr>
          <w:p w14:paraId="2C36F6D4" w14:textId="77777777" w:rsidR="003841A0" w:rsidRPr="007A39EE" w:rsidRDefault="000D5177" w:rsidP="000D5177">
            <w:pPr>
              <w:jc w:val="center"/>
            </w:pPr>
            <w:r>
              <w:t>SK1</w:t>
            </w:r>
          </w:p>
        </w:tc>
        <w:tc>
          <w:tcPr>
            <w:tcW w:w="1838" w:type="dxa"/>
            <w:tcBorders>
              <w:top w:val="nil"/>
              <w:left w:val="nil"/>
              <w:bottom w:val="single" w:sz="4" w:space="0" w:color="auto"/>
              <w:right w:val="single" w:sz="4" w:space="0" w:color="auto"/>
            </w:tcBorders>
            <w:shd w:val="clear" w:color="auto" w:fill="auto"/>
            <w:noWrap/>
            <w:vAlign w:val="center"/>
            <w:hideMark/>
          </w:tcPr>
          <w:p w14:paraId="53A7F955" w14:textId="77777777" w:rsidR="003841A0" w:rsidRPr="007A39EE" w:rsidRDefault="000D5177" w:rsidP="000D5177">
            <w:pPr>
              <w:jc w:val="center"/>
            </w:pPr>
            <w:r>
              <w:t>344714</w:t>
            </w:r>
          </w:p>
        </w:tc>
        <w:tc>
          <w:tcPr>
            <w:tcW w:w="2035" w:type="dxa"/>
            <w:gridSpan w:val="3"/>
            <w:tcBorders>
              <w:top w:val="nil"/>
              <w:left w:val="nil"/>
              <w:bottom w:val="single" w:sz="4" w:space="0" w:color="auto"/>
              <w:right w:val="single" w:sz="4" w:space="0" w:color="auto"/>
            </w:tcBorders>
            <w:shd w:val="clear" w:color="auto" w:fill="auto"/>
            <w:noWrap/>
            <w:vAlign w:val="center"/>
            <w:hideMark/>
          </w:tcPr>
          <w:p w14:paraId="6E15154E" w14:textId="77777777" w:rsidR="003841A0" w:rsidRPr="007A39EE" w:rsidRDefault="000D5177" w:rsidP="000D5177">
            <w:pPr>
              <w:jc w:val="center"/>
            </w:pPr>
            <w:proofErr w:type="spellStart"/>
            <w:r>
              <w:t>Biolegend</w:t>
            </w:r>
            <w:proofErr w:type="spellEnd"/>
          </w:p>
        </w:tc>
      </w:tr>
      <w:tr w:rsidR="003841A0" w:rsidRPr="007A39EE" w14:paraId="53A06FB9" w14:textId="77777777" w:rsidTr="73830063">
        <w:trPr>
          <w:trHeight w:val="32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477E8A7F" w14:textId="77777777" w:rsidR="003841A0" w:rsidRPr="007A39EE" w:rsidRDefault="000D5177" w:rsidP="000D5177">
            <w:pPr>
              <w:jc w:val="center"/>
            </w:pPr>
            <w:r>
              <w:t xml:space="preserve">anti-CD25-BV605 </w:t>
            </w:r>
          </w:p>
        </w:tc>
        <w:tc>
          <w:tcPr>
            <w:tcW w:w="2131" w:type="dxa"/>
            <w:gridSpan w:val="3"/>
            <w:tcBorders>
              <w:top w:val="nil"/>
              <w:left w:val="nil"/>
              <w:bottom w:val="single" w:sz="4" w:space="0" w:color="auto"/>
              <w:right w:val="single" w:sz="4" w:space="0" w:color="auto"/>
            </w:tcBorders>
            <w:shd w:val="clear" w:color="auto" w:fill="auto"/>
            <w:noWrap/>
            <w:vAlign w:val="center"/>
            <w:hideMark/>
          </w:tcPr>
          <w:p w14:paraId="5C940FE3" w14:textId="77777777" w:rsidR="003841A0" w:rsidRPr="007A39EE" w:rsidRDefault="000D5177" w:rsidP="000D5177">
            <w:pPr>
              <w:jc w:val="center"/>
            </w:pPr>
            <w:r>
              <w:t>2A3</w:t>
            </w:r>
          </w:p>
        </w:tc>
        <w:tc>
          <w:tcPr>
            <w:tcW w:w="1838" w:type="dxa"/>
            <w:tcBorders>
              <w:top w:val="nil"/>
              <w:left w:val="nil"/>
              <w:bottom w:val="single" w:sz="4" w:space="0" w:color="auto"/>
              <w:right w:val="single" w:sz="4" w:space="0" w:color="auto"/>
            </w:tcBorders>
            <w:shd w:val="clear" w:color="auto" w:fill="auto"/>
            <w:noWrap/>
            <w:vAlign w:val="center"/>
            <w:hideMark/>
          </w:tcPr>
          <w:p w14:paraId="37326AEE" w14:textId="77777777" w:rsidR="003841A0" w:rsidRPr="007A39EE" w:rsidRDefault="000D5177" w:rsidP="000D5177">
            <w:pPr>
              <w:jc w:val="center"/>
            </w:pPr>
            <w:r>
              <w:t>562660</w:t>
            </w:r>
          </w:p>
        </w:tc>
        <w:tc>
          <w:tcPr>
            <w:tcW w:w="2035" w:type="dxa"/>
            <w:gridSpan w:val="3"/>
            <w:tcBorders>
              <w:top w:val="nil"/>
              <w:left w:val="nil"/>
              <w:bottom w:val="single" w:sz="4" w:space="0" w:color="auto"/>
              <w:right w:val="single" w:sz="4" w:space="0" w:color="auto"/>
            </w:tcBorders>
            <w:shd w:val="clear" w:color="auto" w:fill="auto"/>
            <w:noWrap/>
            <w:vAlign w:val="center"/>
            <w:hideMark/>
          </w:tcPr>
          <w:p w14:paraId="243D02C8" w14:textId="77777777" w:rsidR="003841A0" w:rsidRPr="007A39EE" w:rsidRDefault="000D5177" w:rsidP="000D5177">
            <w:pPr>
              <w:jc w:val="center"/>
            </w:pPr>
            <w:proofErr w:type="spellStart"/>
            <w:r>
              <w:t>Biolegend</w:t>
            </w:r>
            <w:proofErr w:type="spellEnd"/>
          </w:p>
        </w:tc>
      </w:tr>
      <w:tr w:rsidR="003841A0" w:rsidRPr="007A39EE" w14:paraId="5418EE81" w14:textId="77777777" w:rsidTr="73830063">
        <w:trPr>
          <w:trHeight w:val="32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4CEAE778" w14:textId="77777777" w:rsidR="003841A0" w:rsidRPr="007A39EE" w:rsidRDefault="000D5177" w:rsidP="000D5177">
            <w:pPr>
              <w:jc w:val="center"/>
            </w:pPr>
            <w:r>
              <w:t xml:space="preserve">anti-CD127-APC </w:t>
            </w:r>
          </w:p>
        </w:tc>
        <w:tc>
          <w:tcPr>
            <w:tcW w:w="2131" w:type="dxa"/>
            <w:gridSpan w:val="3"/>
            <w:tcBorders>
              <w:top w:val="nil"/>
              <w:left w:val="nil"/>
              <w:bottom w:val="single" w:sz="4" w:space="0" w:color="auto"/>
              <w:right w:val="single" w:sz="4" w:space="0" w:color="auto"/>
            </w:tcBorders>
            <w:shd w:val="clear" w:color="auto" w:fill="auto"/>
            <w:noWrap/>
            <w:vAlign w:val="center"/>
            <w:hideMark/>
          </w:tcPr>
          <w:p w14:paraId="6ABEC992" w14:textId="77777777" w:rsidR="003841A0" w:rsidRPr="007A39EE" w:rsidRDefault="000D5177" w:rsidP="000D5177">
            <w:pPr>
              <w:jc w:val="center"/>
            </w:pPr>
            <w:r>
              <w:t>A019D5</w:t>
            </w:r>
          </w:p>
        </w:tc>
        <w:tc>
          <w:tcPr>
            <w:tcW w:w="1838" w:type="dxa"/>
            <w:tcBorders>
              <w:top w:val="nil"/>
              <w:left w:val="nil"/>
              <w:bottom w:val="single" w:sz="4" w:space="0" w:color="auto"/>
              <w:right w:val="single" w:sz="4" w:space="0" w:color="auto"/>
            </w:tcBorders>
            <w:shd w:val="clear" w:color="auto" w:fill="auto"/>
            <w:noWrap/>
            <w:vAlign w:val="center"/>
            <w:hideMark/>
          </w:tcPr>
          <w:p w14:paraId="3447E438" w14:textId="77777777" w:rsidR="003841A0" w:rsidRPr="007A39EE" w:rsidRDefault="000D5177" w:rsidP="000D5177">
            <w:pPr>
              <w:jc w:val="center"/>
            </w:pPr>
            <w:r>
              <w:t>351316</w:t>
            </w:r>
          </w:p>
        </w:tc>
        <w:tc>
          <w:tcPr>
            <w:tcW w:w="2035" w:type="dxa"/>
            <w:gridSpan w:val="3"/>
            <w:tcBorders>
              <w:top w:val="nil"/>
              <w:left w:val="nil"/>
              <w:bottom w:val="single" w:sz="4" w:space="0" w:color="auto"/>
              <w:right w:val="single" w:sz="4" w:space="0" w:color="auto"/>
            </w:tcBorders>
            <w:shd w:val="clear" w:color="auto" w:fill="auto"/>
            <w:noWrap/>
            <w:vAlign w:val="center"/>
            <w:hideMark/>
          </w:tcPr>
          <w:p w14:paraId="450B0DB0" w14:textId="77777777" w:rsidR="003841A0" w:rsidRPr="007A39EE" w:rsidRDefault="000D5177" w:rsidP="000D5177">
            <w:pPr>
              <w:jc w:val="center"/>
            </w:pPr>
            <w:proofErr w:type="spellStart"/>
            <w:r>
              <w:t>Biolegend</w:t>
            </w:r>
            <w:proofErr w:type="spellEnd"/>
          </w:p>
        </w:tc>
      </w:tr>
      <w:tr w:rsidR="003841A0" w:rsidRPr="007A39EE" w14:paraId="763BF591" w14:textId="77777777" w:rsidTr="73830063">
        <w:trPr>
          <w:trHeight w:val="32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5B82B556" w14:textId="77777777" w:rsidR="003841A0" w:rsidRPr="007A39EE" w:rsidRDefault="000D5177" w:rsidP="000D5177">
            <w:pPr>
              <w:jc w:val="center"/>
            </w:pPr>
            <w:r>
              <w:t xml:space="preserve">anti-CCR7-BV421 </w:t>
            </w:r>
          </w:p>
        </w:tc>
        <w:tc>
          <w:tcPr>
            <w:tcW w:w="2131" w:type="dxa"/>
            <w:gridSpan w:val="3"/>
            <w:tcBorders>
              <w:top w:val="nil"/>
              <w:left w:val="nil"/>
              <w:bottom w:val="single" w:sz="4" w:space="0" w:color="auto"/>
              <w:right w:val="single" w:sz="4" w:space="0" w:color="auto"/>
            </w:tcBorders>
            <w:shd w:val="clear" w:color="auto" w:fill="auto"/>
            <w:noWrap/>
            <w:vAlign w:val="center"/>
            <w:hideMark/>
          </w:tcPr>
          <w:p w14:paraId="4073825A" w14:textId="77777777" w:rsidR="003841A0" w:rsidRPr="007A39EE" w:rsidRDefault="000D5177" w:rsidP="000D5177">
            <w:pPr>
              <w:jc w:val="center"/>
            </w:pPr>
            <w:r>
              <w:t>G043H7</w:t>
            </w:r>
          </w:p>
        </w:tc>
        <w:tc>
          <w:tcPr>
            <w:tcW w:w="1838" w:type="dxa"/>
            <w:tcBorders>
              <w:top w:val="nil"/>
              <w:left w:val="nil"/>
              <w:bottom w:val="single" w:sz="4" w:space="0" w:color="auto"/>
              <w:right w:val="single" w:sz="4" w:space="0" w:color="auto"/>
            </w:tcBorders>
            <w:shd w:val="clear" w:color="auto" w:fill="auto"/>
            <w:noWrap/>
            <w:vAlign w:val="center"/>
            <w:hideMark/>
          </w:tcPr>
          <w:p w14:paraId="2A5C95EE" w14:textId="61210E73" w:rsidR="003841A0" w:rsidRPr="000B2C23" w:rsidRDefault="000D5177" w:rsidP="000B2C23">
            <w:pPr>
              <w:jc w:val="center"/>
            </w:pPr>
            <w:r>
              <w:t>353208</w:t>
            </w:r>
          </w:p>
        </w:tc>
        <w:tc>
          <w:tcPr>
            <w:tcW w:w="2035" w:type="dxa"/>
            <w:gridSpan w:val="3"/>
            <w:tcBorders>
              <w:top w:val="nil"/>
              <w:left w:val="nil"/>
              <w:bottom w:val="single" w:sz="4" w:space="0" w:color="auto"/>
              <w:right w:val="single" w:sz="4" w:space="0" w:color="auto"/>
            </w:tcBorders>
            <w:shd w:val="clear" w:color="auto" w:fill="auto"/>
            <w:noWrap/>
            <w:vAlign w:val="center"/>
            <w:hideMark/>
          </w:tcPr>
          <w:p w14:paraId="3CF0A021" w14:textId="77777777" w:rsidR="003841A0" w:rsidRPr="000B2C23" w:rsidRDefault="000D5177" w:rsidP="000D5177">
            <w:pPr>
              <w:jc w:val="center"/>
            </w:pPr>
            <w:proofErr w:type="spellStart"/>
            <w:r>
              <w:t>Biolegend</w:t>
            </w:r>
            <w:proofErr w:type="spellEnd"/>
          </w:p>
        </w:tc>
      </w:tr>
      <w:tr w:rsidR="003841A0" w:rsidRPr="007A39EE" w14:paraId="24543BF2" w14:textId="77777777" w:rsidTr="73830063">
        <w:trPr>
          <w:trHeight w:val="32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7548A4DF" w14:textId="77777777" w:rsidR="003841A0" w:rsidRPr="007A39EE" w:rsidRDefault="000D5177" w:rsidP="000D5177">
            <w:pPr>
              <w:jc w:val="center"/>
            </w:pPr>
            <w:r>
              <w:t xml:space="preserve">anti-CD45RO-PE-Cy7 </w:t>
            </w:r>
          </w:p>
        </w:tc>
        <w:tc>
          <w:tcPr>
            <w:tcW w:w="2131" w:type="dxa"/>
            <w:gridSpan w:val="3"/>
            <w:tcBorders>
              <w:top w:val="nil"/>
              <w:left w:val="nil"/>
              <w:bottom w:val="single" w:sz="4" w:space="0" w:color="auto"/>
              <w:right w:val="single" w:sz="4" w:space="0" w:color="auto"/>
            </w:tcBorders>
            <w:shd w:val="clear" w:color="auto" w:fill="auto"/>
            <w:noWrap/>
            <w:vAlign w:val="center"/>
            <w:hideMark/>
          </w:tcPr>
          <w:p w14:paraId="7EEA001C" w14:textId="77777777" w:rsidR="003841A0" w:rsidRPr="007A39EE" w:rsidRDefault="000D5177" w:rsidP="000D5177">
            <w:pPr>
              <w:jc w:val="center"/>
            </w:pPr>
            <w:r>
              <w:t>UCHL1</w:t>
            </w:r>
          </w:p>
        </w:tc>
        <w:tc>
          <w:tcPr>
            <w:tcW w:w="1838" w:type="dxa"/>
            <w:tcBorders>
              <w:top w:val="nil"/>
              <w:left w:val="nil"/>
              <w:bottom w:val="single" w:sz="4" w:space="0" w:color="auto"/>
              <w:right w:val="single" w:sz="4" w:space="0" w:color="auto"/>
            </w:tcBorders>
            <w:shd w:val="clear" w:color="auto" w:fill="auto"/>
            <w:noWrap/>
            <w:vAlign w:val="center"/>
            <w:hideMark/>
          </w:tcPr>
          <w:p w14:paraId="7213312C" w14:textId="77777777" w:rsidR="003841A0" w:rsidRPr="007A39EE" w:rsidRDefault="000D5177" w:rsidP="000D5177">
            <w:pPr>
              <w:jc w:val="center"/>
            </w:pPr>
            <w:r>
              <w:t>304229 or 304230</w:t>
            </w:r>
          </w:p>
        </w:tc>
        <w:tc>
          <w:tcPr>
            <w:tcW w:w="2035" w:type="dxa"/>
            <w:gridSpan w:val="3"/>
            <w:tcBorders>
              <w:top w:val="nil"/>
              <w:left w:val="nil"/>
              <w:bottom w:val="single" w:sz="4" w:space="0" w:color="auto"/>
              <w:right w:val="single" w:sz="4" w:space="0" w:color="auto"/>
            </w:tcBorders>
            <w:shd w:val="clear" w:color="auto" w:fill="auto"/>
            <w:noWrap/>
            <w:vAlign w:val="center"/>
            <w:hideMark/>
          </w:tcPr>
          <w:p w14:paraId="655260B0" w14:textId="77777777" w:rsidR="003841A0" w:rsidRPr="007A39EE" w:rsidRDefault="000D5177" w:rsidP="000D5177">
            <w:pPr>
              <w:jc w:val="center"/>
            </w:pPr>
            <w:proofErr w:type="spellStart"/>
            <w:r>
              <w:t>Biolegend</w:t>
            </w:r>
            <w:proofErr w:type="spellEnd"/>
          </w:p>
        </w:tc>
      </w:tr>
      <w:tr w:rsidR="003841A0" w:rsidRPr="007A39EE" w14:paraId="7ECA5342" w14:textId="77777777" w:rsidTr="73830063">
        <w:trPr>
          <w:gridAfter w:val="1"/>
          <w:wAfter w:w="12" w:type="dxa"/>
          <w:trHeight w:val="320"/>
        </w:trPr>
        <w:tc>
          <w:tcPr>
            <w:tcW w:w="8681" w:type="dxa"/>
            <w:gridSpan w:val="7"/>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noWrap/>
            <w:vAlign w:val="center"/>
            <w:hideMark/>
          </w:tcPr>
          <w:p w14:paraId="4E8C7DFE" w14:textId="77777777" w:rsidR="003841A0" w:rsidRPr="007A39EE" w:rsidRDefault="000D5177" w:rsidP="000D5177">
            <w:pPr>
              <w:jc w:val="center"/>
            </w:pPr>
            <w:r>
              <w:t xml:space="preserve">TIGIT </w:t>
            </w:r>
            <w:proofErr w:type="spellStart"/>
            <w:r>
              <w:t>phenotyping</w:t>
            </w:r>
            <w:proofErr w:type="spellEnd"/>
            <w:r>
              <w:t xml:space="preserve"> on gamma delta T </w:t>
            </w:r>
            <w:proofErr w:type="spellStart"/>
            <w:r>
              <w:t>cells</w:t>
            </w:r>
            <w:proofErr w:type="spellEnd"/>
            <w:r>
              <w:t xml:space="preserve"> (Figure 3)</w:t>
            </w:r>
          </w:p>
        </w:tc>
      </w:tr>
      <w:tr w:rsidR="003841A0" w:rsidRPr="007A39EE" w14:paraId="3F36B8AA" w14:textId="77777777" w:rsidTr="73830063">
        <w:trPr>
          <w:gridAfter w:val="1"/>
          <w:wAfter w:w="12" w:type="dxa"/>
          <w:trHeight w:val="36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32E910F3" w14:textId="77777777" w:rsidR="003841A0" w:rsidRPr="007A39EE" w:rsidRDefault="000D5177" w:rsidP="000D5177">
            <w:pPr>
              <w:jc w:val="center"/>
            </w:pPr>
            <w:r>
              <w:t>anti-CD27-APC-R700</w:t>
            </w:r>
          </w:p>
        </w:tc>
        <w:tc>
          <w:tcPr>
            <w:tcW w:w="2097" w:type="dxa"/>
            <w:gridSpan w:val="2"/>
            <w:tcBorders>
              <w:top w:val="nil"/>
              <w:left w:val="nil"/>
              <w:bottom w:val="single" w:sz="4" w:space="0" w:color="auto"/>
              <w:right w:val="single" w:sz="4" w:space="0" w:color="auto"/>
            </w:tcBorders>
            <w:shd w:val="clear" w:color="auto" w:fill="auto"/>
            <w:noWrap/>
            <w:vAlign w:val="center"/>
            <w:hideMark/>
          </w:tcPr>
          <w:p w14:paraId="323C0B6D" w14:textId="77777777" w:rsidR="003841A0" w:rsidRPr="007A39EE" w:rsidRDefault="000D5177" w:rsidP="000D5177">
            <w:pPr>
              <w:jc w:val="center"/>
            </w:pPr>
            <w:r>
              <w:t>M-T271</w:t>
            </w:r>
          </w:p>
        </w:tc>
        <w:tc>
          <w:tcPr>
            <w:tcW w:w="1872" w:type="dxa"/>
            <w:gridSpan w:val="2"/>
            <w:tcBorders>
              <w:top w:val="nil"/>
              <w:left w:val="nil"/>
              <w:bottom w:val="single" w:sz="4" w:space="0" w:color="auto"/>
              <w:right w:val="single" w:sz="4" w:space="0" w:color="auto"/>
            </w:tcBorders>
            <w:shd w:val="clear" w:color="auto" w:fill="auto"/>
            <w:noWrap/>
            <w:vAlign w:val="center"/>
            <w:hideMark/>
          </w:tcPr>
          <w:p w14:paraId="448F2392" w14:textId="0C94902F" w:rsidR="003841A0" w:rsidRPr="001B5E62" w:rsidRDefault="000D5177" w:rsidP="001B5E62">
            <w:r>
              <w:t>565116</w:t>
            </w:r>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4254831D" w14:textId="77777777" w:rsidR="003841A0" w:rsidRPr="007A39EE" w:rsidRDefault="000D5177" w:rsidP="000D5177">
            <w:pPr>
              <w:jc w:val="center"/>
            </w:pPr>
            <w:r>
              <w:t>BD Biosciences</w:t>
            </w:r>
          </w:p>
        </w:tc>
      </w:tr>
      <w:tr w:rsidR="003841A0" w:rsidRPr="007A39EE" w14:paraId="4D257AB0" w14:textId="77777777" w:rsidTr="73830063">
        <w:trPr>
          <w:gridAfter w:val="1"/>
          <w:wAfter w:w="12" w:type="dxa"/>
          <w:trHeight w:val="32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31573663" w14:textId="77777777" w:rsidR="003841A0" w:rsidRPr="007A39EE" w:rsidRDefault="000D5177" w:rsidP="000D5177">
            <w:pPr>
              <w:jc w:val="center"/>
            </w:pPr>
            <w:r>
              <w:t>anti-granulysin-AF488</w:t>
            </w:r>
          </w:p>
        </w:tc>
        <w:tc>
          <w:tcPr>
            <w:tcW w:w="2097" w:type="dxa"/>
            <w:gridSpan w:val="2"/>
            <w:tcBorders>
              <w:top w:val="nil"/>
              <w:left w:val="nil"/>
              <w:bottom w:val="single" w:sz="4" w:space="0" w:color="auto"/>
              <w:right w:val="single" w:sz="4" w:space="0" w:color="auto"/>
            </w:tcBorders>
            <w:shd w:val="clear" w:color="auto" w:fill="auto"/>
            <w:noWrap/>
            <w:vAlign w:val="center"/>
            <w:hideMark/>
          </w:tcPr>
          <w:p w14:paraId="79CE4BA1" w14:textId="77777777" w:rsidR="003841A0" w:rsidRPr="007A39EE" w:rsidRDefault="000D5177" w:rsidP="000D5177">
            <w:pPr>
              <w:jc w:val="center"/>
            </w:pPr>
            <w:r>
              <w:t>RB1</w:t>
            </w:r>
          </w:p>
        </w:tc>
        <w:tc>
          <w:tcPr>
            <w:tcW w:w="1872" w:type="dxa"/>
            <w:gridSpan w:val="2"/>
            <w:tcBorders>
              <w:top w:val="nil"/>
              <w:left w:val="nil"/>
              <w:bottom w:val="single" w:sz="4" w:space="0" w:color="auto"/>
              <w:right w:val="single" w:sz="4" w:space="0" w:color="auto"/>
            </w:tcBorders>
            <w:shd w:val="clear" w:color="auto" w:fill="auto"/>
            <w:noWrap/>
            <w:vAlign w:val="center"/>
            <w:hideMark/>
          </w:tcPr>
          <w:p w14:paraId="7A384D41" w14:textId="54E1D997" w:rsidR="003841A0" w:rsidRPr="001B5E62" w:rsidRDefault="000D5177" w:rsidP="001B5E62">
            <w:r>
              <w:t>558254</w:t>
            </w:r>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5CF8BADC" w14:textId="77777777" w:rsidR="003841A0" w:rsidRPr="007A39EE" w:rsidRDefault="000D5177" w:rsidP="000D5177">
            <w:pPr>
              <w:jc w:val="center"/>
            </w:pPr>
            <w:r>
              <w:t>BD Biosciences</w:t>
            </w:r>
          </w:p>
        </w:tc>
      </w:tr>
      <w:tr w:rsidR="003841A0" w:rsidRPr="007A39EE" w14:paraId="1A027DE8" w14:textId="77777777" w:rsidTr="73830063">
        <w:trPr>
          <w:gridAfter w:val="1"/>
          <w:wAfter w:w="12" w:type="dxa"/>
          <w:trHeight w:val="319"/>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31E099F0" w14:textId="77777777" w:rsidR="003841A0" w:rsidRPr="007A39EE" w:rsidRDefault="000D5177" w:rsidP="000D5177">
            <w:pPr>
              <w:jc w:val="center"/>
            </w:pPr>
            <w:r>
              <w:t>anti-CD28-BV605</w:t>
            </w:r>
          </w:p>
        </w:tc>
        <w:tc>
          <w:tcPr>
            <w:tcW w:w="2097" w:type="dxa"/>
            <w:gridSpan w:val="2"/>
            <w:tcBorders>
              <w:top w:val="nil"/>
              <w:left w:val="nil"/>
              <w:bottom w:val="single" w:sz="4" w:space="0" w:color="auto"/>
              <w:right w:val="single" w:sz="4" w:space="0" w:color="auto"/>
            </w:tcBorders>
            <w:shd w:val="clear" w:color="auto" w:fill="auto"/>
            <w:noWrap/>
            <w:vAlign w:val="center"/>
            <w:hideMark/>
          </w:tcPr>
          <w:p w14:paraId="107E6A87" w14:textId="77777777" w:rsidR="003841A0" w:rsidRPr="007A39EE" w:rsidRDefault="000D5177" w:rsidP="000D5177">
            <w:pPr>
              <w:jc w:val="center"/>
            </w:pPr>
            <w:r>
              <w:t>28.2</w:t>
            </w:r>
          </w:p>
        </w:tc>
        <w:tc>
          <w:tcPr>
            <w:tcW w:w="1872" w:type="dxa"/>
            <w:gridSpan w:val="2"/>
            <w:tcBorders>
              <w:top w:val="nil"/>
              <w:left w:val="nil"/>
              <w:bottom w:val="single" w:sz="4" w:space="0" w:color="auto"/>
              <w:right w:val="single" w:sz="4" w:space="0" w:color="auto"/>
            </w:tcBorders>
            <w:shd w:val="clear" w:color="auto" w:fill="auto"/>
            <w:noWrap/>
            <w:vAlign w:val="center"/>
            <w:hideMark/>
          </w:tcPr>
          <w:p w14:paraId="5CC96474" w14:textId="5761DFAC" w:rsidR="003841A0" w:rsidRPr="001B5E62" w:rsidRDefault="000D5177" w:rsidP="001B5E62">
            <w:pPr>
              <w:jc w:val="center"/>
            </w:pPr>
            <w:r>
              <w:t>562976</w:t>
            </w:r>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351FA4D0" w14:textId="77777777" w:rsidR="003841A0" w:rsidRPr="007A39EE" w:rsidRDefault="000D5177" w:rsidP="000D5177">
            <w:pPr>
              <w:jc w:val="center"/>
            </w:pPr>
            <w:r>
              <w:t>BD Biosciences</w:t>
            </w:r>
          </w:p>
        </w:tc>
      </w:tr>
      <w:tr w:rsidR="003841A0" w:rsidRPr="007A39EE" w14:paraId="5760867A" w14:textId="77777777" w:rsidTr="73830063">
        <w:trPr>
          <w:gridAfter w:val="1"/>
          <w:wAfter w:w="12" w:type="dxa"/>
          <w:trHeight w:val="32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6CA4E58D" w14:textId="77777777" w:rsidR="003841A0" w:rsidRPr="007A39EE" w:rsidRDefault="000D5177" w:rsidP="000D5177">
            <w:pPr>
              <w:jc w:val="center"/>
            </w:pPr>
            <w:r>
              <w:t>anti-CD279-BV605</w:t>
            </w:r>
          </w:p>
        </w:tc>
        <w:tc>
          <w:tcPr>
            <w:tcW w:w="2097" w:type="dxa"/>
            <w:gridSpan w:val="2"/>
            <w:tcBorders>
              <w:top w:val="nil"/>
              <w:left w:val="nil"/>
              <w:bottom w:val="single" w:sz="4" w:space="0" w:color="auto"/>
              <w:right w:val="single" w:sz="4" w:space="0" w:color="auto"/>
            </w:tcBorders>
            <w:shd w:val="clear" w:color="auto" w:fill="auto"/>
            <w:noWrap/>
            <w:vAlign w:val="center"/>
            <w:hideMark/>
          </w:tcPr>
          <w:p w14:paraId="0D073BE0" w14:textId="77777777" w:rsidR="003841A0" w:rsidRPr="007A39EE" w:rsidRDefault="000D5177" w:rsidP="000D5177">
            <w:pPr>
              <w:jc w:val="center"/>
            </w:pPr>
            <w:r>
              <w:t>EH12.1</w:t>
            </w:r>
          </w:p>
        </w:tc>
        <w:tc>
          <w:tcPr>
            <w:tcW w:w="1872" w:type="dxa"/>
            <w:gridSpan w:val="2"/>
            <w:tcBorders>
              <w:top w:val="nil"/>
              <w:left w:val="nil"/>
              <w:bottom w:val="single" w:sz="4" w:space="0" w:color="auto"/>
              <w:right w:val="single" w:sz="4" w:space="0" w:color="auto"/>
            </w:tcBorders>
            <w:shd w:val="clear" w:color="auto" w:fill="auto"/>
            <w:noWrap/>
            <w:vAlign w:val="center"/>
            <w:hideMark/>
          </w:tcPr>
          <w:p w14:paraId="6990B858" w14:textId="271D1129" w:rsidR="003841A0" w:rsidRPr="001B5E62" w:rsidRDefault="000D5177" w:rsidP="001B5E62">
            <w:pPr>
              <w:jc w:val="center"/>
            </w:pPr>
            <w:r>
              <w:t>563245</w:t>
            </w:r>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6FFCFC1B" w14:textId="77777777" w:rsidR="003841A0" w:rsidRPr="007A39EE" w:rsidRDefault="000D5177" w:rsidP="000D5177">
            <w:pPr>
              <w:jc w:val="center"/>
            </w:pPr>
            <w:r>
              <w:t>BD Biosciences</w:t>
            </w:r>
          </w:p>
        </w:tc>
      </w:tr>
      <w:tr w:rsidR="003841A0" w:rsidRPr="007A39EE" w14:paraId="1F9F72EB" w14:textId="77777777" w:rsidTr="73830063">
        <w:trPr>
          <w:gridAfter w:val="1"/>
          <w:wAfter w:w="12" w:type="dxa"/>
          <w:trHeight w:val="32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3DB1A" w14:textId="77777777" w:rsidR="003841A0" w:rsidRPr="007A39EE" w:rsidRDefault="000D5177" w:rsidP="000D5177">
            <w:pPr>
              <w:jc w:val="center"/>
            </w:pPr>
            <w:r>
              <w:t>anti-perforin-BV421</w:t>
            </w:r>
          </w:p>
        </w:tc>
        <w:tc>
          <w:tcPr>
            <w:tcW w:w="2097" w:type="dxa"/>
            <w:gridSpan w:val="2"/>
            <w:tcBorders>
              <w:top w:val="single" w:sz="4" w:space="0" w:color="auto"/>
              <w:left w:val="nil"/>
              <w:bottom w:val="single" w:sz="4" w:space="0" w:color="auto"/>
              <w:right w:val="nil"/>
            </w:tcBorders>
            <w:shd w:val="clear" w:color="auto" w:fill="auto"/>
            <w:noWrap/>
            <w:vAlign w:val="bottom"/>
            <w:hideMark/>
          </w:tcPr>
          <w:p w14:paraId="6DC933AF" w14:textId="77777777" w:rsidR="003841A0" w:rsidRPr="007A39EE" w:rsidRDefault="000D5177" w:rsidP="000D5177">
            <w:pPr>
              <w:jc w:val="center"/>
            </w:pPr>
            <w:r>
              <w:t>dG9</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0A61A" w14:textId="6B96B0BB" w:rsidR="003841A0" w:rsidRPr="005D02D2" w:rsidRDefault="000D5177" w:rsidP="001B5E62">
            <w:pPr>
              <w:jc w:val="center"/>
            </w:pPr>
            <w:r>
              <w:t>563393</w:t>
            </w:r>
          </w:p>
        </w:tc>
        <w:tc>
          <w:tcPr>
            <w:tcW w:w="2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11215" w14:textId="77777777" w:rsidR="003841A0" w:rsidRPr="007A39EE" w:rsidRDefault="000D5177" w:rsidP="000D5177">
            <w:pPr>
              <w:jc w:val="center"/>
            </w:pPr>
            <w:r>
              <w:t>BD Biosciences</w:t>
            </w:r>
          </w:p>
        </w:tc>
      </w:tr>
      <w:tr w:rsidR="003841A0" w:rsidRPr="007A39EE" w14:paraId="1455AE43" w14:textId="77777777" w:rsidTr="73830063">
        <w:trPr>
          <w:gridAfter w:val="1"/>
          <w:wAfter w:w="12" w:type="dxa"/>
          <w:trHeight w:val="32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85931" w14:textId="77777777" w:rsidR="003841A0" w:rsidRPr="007A39EE" w:rsidRDefault="000D5177" w:rsidP="000D5177">
            <w:pPr>
              <w:jc w:val="center"/>
            </w:pPr>
            <w:r>
              <w:t>anti-CD45-BB515</w:t>
            </w:r>
          </w:p>
        </w:tc>
        <w:tc>
          <w:tcPr>
            <w:tcW w:w="20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529301" w14:textId="77777777" w:rsidR="003841A0" w:rsidRPr="007A39EE" w:rsidRDefault="000D5177" w:rsidP="000D5177">
            <w:pPr>
              <w:jc w:val="center"/>
            </w:pPr>
            <w:r>
              <w:t>HI100</w:t>
            </w:r>
          </w:p>
        </w:tc>
        <w:tc>
          <w:tcPr>
            <w:tcW w:w="187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DE5DEA" w14:textId="4365749C" w:rsidR="003841A0" w:rsidRPr="005D02D2" w:rsidRDefault="000D5177" w:rsidP="008E4EE9">
            <w:pPr>
              <w:jc w:val="center"/>
            </w:pPr>
            <w:r>
              <w:t>564552</w:t>
            </w:r>
          </w:p>
        </w:tc>
        <w:tc>
          <w:tcPr>
            <w:tcW w:w="202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C5979A" w14:textId="77777777" w:rsidR="003841A0" w:rsidRPr="007A39EE" w:rsidRDefault="000D5177" w:rsidP="000D5177">
            <w:pPr>
              <w:jc w:val="center"/>
            </w:pPr>
            <w:r>
              <w:t>BD Biosciences</w:t>
            </w:r>
          </w:p>
        </w:tc>
      </w:tr>
      <w:tr w:rsidR="003841A0" w:rsidRPr="007A39EE" w14:paraId="08F41C76" w14:textId="77777777" w:rsidTr="73830063">
        <w:trPr>
          <w:gridAfter w:val="1"/>
          <w:wAfter w:w="12" w:type="dxa"/>
          <w:trHeight w:val="32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360B067A" w14:textId="77777777" w:rsidR="003841A0" w:rsidRPr="007A39EE" w:rsidRDefault="000D5177" w:rsidP="000D5177">
            <w:pPr>
              <w:jc w:val="center"/>
            </w:pPr>
            <w:r>
              <w:t>anti-granzymeB-AF700</w:t>
            </w:r>
          </w:p>
        </w:tc>
        <w:tc>
          <w:tcPr>
            <w:tcW w:w="2097" w:type="dxa"/>
            <w:gridSpan w:val="2"/>
            <w:tcBorders>
              <w:top w:val="nil"/>
              <w:left w:val="nil"/>
              <w:bottom w:val="single" w:sz="4" w:space="0" w:color="auto"/>
              <w:right w:val="single" w:sz="4" w:space="0" w:color="auto"/>
            </w:tcBorders>
            <w:shd w:val="clear" w:color="auto" w:fill="auto"/>
            <w:noWrap/>
            <w:vAlign w:val="center"/>
            <w:hideMark/>
          </w:tcPr>
          <w:p w14:paraId="60044166" w14:textId="77777777" w:rsidR="003841A0" w:rsidRPr="007A39EE" w:rsidRDefault="000D5177" w:rsidP="000D5177">
            <w:pPr>
              <w:jc w:val="center"/>
            </w:pPr>
            <w:r>
              <w:t>GB11</w:t>
            </w:r>
          </w:p>
        </w:tc>
        <w:tc>
          <w:tcPr>
            <w:tcW w:w="1872" w:type="dxa"/>
            <w:gridSpan w:val="2"/>
            <w:tcBorders>
              <w:top w:val="nil"/>
              <w:left w:val="nil"/>
              <w:bottom w:val="single" w:sz="4" w:space="0" w:color="auto"/>
              <w:right w:val="single" w:sz="4" w:space="0" w:color="auto"/>
            </w:tcBorders>
            <w:shd w:val="clear" w:color="auto" w:fill="auto"/>
            <w:noWrap/>
            <w:vAlign w:val="center"/>
            <w:hideMark/>
          </w:tcPr>
          <w:p w14:paraId="1E4DC00C" w14:textId="3809F594" w:rsidR="003841A0" w:rsidRPr="005D02D2" w:rsidRDefault="000D5177" w:rsidP="003D189A">
            <w:pPr>
              <w:jc w:val="center"/>
            </w:pPr>
            <w:r>
              <w:t>560213</w:t>
            </w:r>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27CD459B" w14:textId="77777777" w:rsidR="003841A0" w:rsidRPr="007A39EE" w:rsidRDefault="000D5177" w:rsidP="000D5177">
            <w:pPr>
              <w:jc w:val="center"/>
            </w:pPr>
            <w:r>
              <w:t>BD Biosciences</w:t>
            </w:r>
          </w:p>
        </w:tc>
      </w:tr>
      <w:tr w:rsidR="003841A0" w:rsidRPr="007A39EE" w14:paraId="0A27F00A" w14:textId="77777777" w:rsidTr="73830063">
        <w:trPr>
          <w:gridAfter w:val="1"/>
          <w:wAfter w:w="12" w:type="dxa"/>
          <w:trHeight w:val="32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17F4837B" w14:textId="77777777" w:rsidR="003841A0" w:rsidRPr="007A39EE" w:rsidRDefault="000D5177" w:rsidP="000D5177">
            <w:pPr>
              <w:jc w:val="center"/>
            </w:pPr>
            <w:r>
              <w:t>anti-</w:t>
            </w:r>
            <w:proofErr w:type="spellStart"/>
            <w:r>
              <w:t>TCRɣδ</w:t>
            </w:r>
            <w:proofErr w:type="spellEnd"/>
            <w:r>
              <w:t xml:space="preserve">-APC </w:t>
            </w:r>
          </w:p>
        </w:tc>
        <w:tc>
          <w:tcPr>
            <w:tcW w:w="2097" w:type="dxa"/>
            <w:gridSpan w:val="2"/>
            <w:tcBorders>
              <w:top w:val="nil"/>
              <w:left w:val="nil"/>
              <w:bottom w:val="single" w:sz="4" w:space="0" w:color="auto"/>
              <w:right w:val="single" w:sz="4" w:space="0" w:color="auto"/>
            </w:tcBorders>
            <w:shd w:val="clear" w:color="auto" w:fill="auto"/>
            <w:noWrap/>
            <w:vAlign w:val="center"/>
            <w:hideMark/>
          </w:tcPr>
          <w:p w14:paraId="1A64CA65" w14:textId="77777777" w:rsidR="003841A0" w:rsidRPr="007A39EE" w:rsidRDefault="000D5177" w:rsidP="000D5177">
            <w:pPr>
              <w:jc w:val="center"/>
            </w:pPr>
            <w:r>
              <w:t>REA591</w:t>
            </w:r>
          </w:p>
        </w:tc>
        <w:tc>
          <w:tcPr>
            <w:tcW w:w="1872" w:type="dxa"/>
            <w:gridSpan w:val="2"/>
            <w:tcBorders>
              <w:top w:val="nil"/>
              <w:left w:val="nil"/>
              <w:bottom w:val="single" w:sz="4" w:space="0" w:color="auto"/>
              <w:right w:val="single" w:sz="4" w:space="0" w:color="auto"/>
            </w:tcBorders>
            <w:shd w:val="clear" w:color="auto" w:fill="auto"/>
            <w:noWrap/>
            <w:vAlign w:val="center"/>
            <w:hideMark/>
          </w:tcPr>
          <w:p w14:paraId="27B54DD3" w14:textId="79A38E0F" w:rsidR="003841A0" w:rsidRPr="005D02D2" w:rsidRDefault="000D5177" w:rsidP="001B5E62">
            <w:pPr>
              <w:jc w:val="center"/>
            </w:pPr>
            <w:r>
              <w:t>130-113-508</w:t>
            </w:r>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717755EA" w14:textId="77777777" w:rsidR="003841A0" w:rsidRPr="007A39EE" w:rsidRDefault="000D5177" w:rsidP="000D5177">
            <w:pPr>
              <w:jc w:val="center"/>
            </w:pPr>
            <w:proofErr w:type="spellStart"/>
            <w:r>
              <w:t>Miltenyi</w:t>
            </w:r>
            <w:proofErr w:type="spellEnd"/>
            <w:r>
              <w:t xml:space="preserve"> </w:t>
            </w:r>
            <w:proofErr w:type="spellStart"/>
            <w:r>
              <w:t>Biotec</w:t>
            </w:r>
            <w:proofErr w:type="spellEnd"/>
          </w:p>
        </w:tc>
      </w:tr>
      <w:tr w:rsidR="003841A0" w:rsidRPr="007A39EE" w14:paraId="4A96F373" w14:textId="77777777" w:rsidTr="73830063">
        <w:trPr>
          <w:gridAfter w:val="1"/>
          <w:wAfter w:w="12" w:type="dxa"/>
          <w:trHeight w:val="32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39307731" w14:textId="77777777" w:rsidR="003841A0" w:rsidRPr="007A39EE" w:rsidRDefault="000D5177" w:rsidP="000D5177">
            <w:pPr>
              <w:jc w:val="center"/>
            </w:pPr>
            <w:r>
              <w:t xml:space="preserve">anti-CD3-BV421 </w:t>
            </w:r>
          </w:p>
        </w:tc>
        <w:tc>
          <w:tcPr>
            <w:tcW w:w="2097" w:type="dxa"/>
            <w:gridSpan w:val="2"/>
            <w:tcBorders>
              <w:top w:val="nil"/>
              <w:left w:val="nil"/>
              <w:bottom w:val="single" w:sz="4" w:space="0" w:color="auto"/>
              <w:right w:val="single" w:sz="4" w:space="0" w:color="auto"/>
            </w:tcBorders>
            <w:shd w:val="clear" w:color="auto" w:fill="auto"/>
            <w:noWrap/>
            <w:vAlign w:val="center"/>
            <w:hideMark/>
          </w:tcPr>
          <w:p w14:paraId="13595830" w14:textId="77777777" w:rsidR="003841A0" w:rsidRPr="007A39EE" w:rsidRDefault="000D5177" w:rsidP="000D5177">
            <w:pPr>
              <w:jc w:val="center"/>
            </w:pPr>
            <w:r>
              <w:t>UCHT-1</w:t>
            </w:r>
          </w:p>
        </w:tc>
        <w:tc>
          <w:tcPr>
            <w:tcW w:w="1872" w:type="dxa"/>
            <w:gridSpan w:val="2"/>
            <w:tcBorders>
              <w:top w:val="nil"/>
              <w:left w:val="nil"/>
              <w:bottom w:val="single" w:sz="4" w:space="0" w:color="auto"/>
              <w:right w:val="single" w:sz="4" w:space="0" w:color="auto"/>
            </w:tcBorders>
            <w:shd w:val="clear" w:color="auto" w:fill="auto"/>
            <w:noWrap/>
            <w:vAlign w:val="center"/>
            <w:hideMark/>
          </w:tcPr>
          <w:p w14:paraId="6598E48E" w14:textId="710DC34B" w:rsidR="003841A0" w:rsidRPr="005D02D2" w:rsidRDefault="000D5177" w:rsidP="003D189A">
            <w:pPr>
              <w:jc w:val="center"/>
            </w:pPr>
            <w:r>
              <w:t>562426</w:t>
            </w:r>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3585017D" w14:textId="77777777" w:rsidR="003841A0" w:rsidRPr="007A39EE" w:rsidRDefault="000D5177" w:rsidP="000D5177">
            <w:pPr>
              <w:jc w:val="center"/>
            </w:pPr>
            <w:r>
              <w:t>BD Biosciences</w:t>
            </w:r>
          </w:p>
        </w:tc>
      </w:tr>
      <w:tr w:rsidR="003841A0" w:rsidRPr="007A39EE" w14:paraId="32E568C2" w14:textId="77777777" w:rsidTr="73830063">
        <w:trPr>
          <w:gridAfter w:val="1"/>
          <w:wAfter w:w="12" w:type="dxa"/>
          <w:trHeight w:val="32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1C0650DB" w14:textId="77777777" w:rsidR="003841A0" w:rsidRPr="007A39EE" w:rsidRDefault="000D5177" w:rsidP="000D5177">
            <w:pPr>
              <w:jc w:val="center"/>
            </w:pPr>
            <w:r>
              <w:t>anti-Vδ2-PE-Vio770</w:t>
            </w:r>
          </w:p>
        </w:tc>
        <w:tc>
          <w:tcPr>
            <w:tcW w:w="2097" w:type="dxa"/>
            <w:gridSpan w:val="2"/>
            <w:tcBorders>
              <w:top w:val="nil"/>
              <w:left w:val="nil"/>
              <w:bottom w:val="single" w:sz="4" w:space="0" w:color="auto"/>
              <w:right w:val="single" w:sz="4" w:space="0" w:color="auto"/>
            </w:tcBorders>
            <w:shd w:val="clear" w:color="auto" w:fill="auto"/>
            <w:noWrap/>
            <w:vAlign w:val="center"/>
            <w:hideMark/>
          </w:tcPr>
          <w:p w14:paraId="39589F60" w14:textId="77777777" w:rsidR="003841A0" w:rsidRPr="007A39EE" w:rsidRDefault="000D5177" w:rsidP="000D5177">
            <w:pPr>
              <w:jc w:val="center"/>
            </w:pPr>
            <w:r>
              <w:t>REA771</w:t>
            </w:r>
          </w:p>
        </w:tc>
        <w:tc>
          <w:tcPr>
            <w:tcW w:w="1872" w:type="dxa"/>
            <w:gridSpan w:val="2"/>
            <w:tcBorders>
              <w:top w:val="nil"/>
              <w:left w:val="nil"/>
              <w:bottom w:val="single" w:sz="4" w:space="0" w:color="auto"/>
              <w:right w:val="single" w:sz="4" w:space="0" w:color="auto"/>
            </w:tcBorders>
            <w:shd w:val="clear" w:color="auto" w:fill="auto"/>
            <w:noWrap/>
            <w:vAlign w:val="center"/>
            <w:hideMark/>
          </w:tcPr>
          <w:p w14:paraId="17E6FA19" w14:textId="08425ABD" w:rsidR="003841A0" w:rsidRPr="005D02D2" w:rsidRDefault="000D5177" w:rsidP="001B5E62">
            <w:pPr>
              <w:jc w:val="center"/>
            </w:pPr>
            <w:r>
              <w:t>130-111-012</w:t>
            </w:r>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13154ADB" w14:textId="77777777" w:rsidR="003841A0" w:rsidRPr="007A39EE" w:rsidRDefault="000D5177" w:rsidP="000D5177">
            <w:pPr>
              <w:jc w:val="center"/>
            </w:pPr>
            <w:proofErr w:type="spellStart"/>
            <w:r>
              <w:t>Miltenyi</w:t>
            </w:r>
            <w:proofErr w:type="spellEnd"/>
            <w:r>
              <w:t xml:space="preserve"> </w:t>
            </w:r>
            <w:proofErr w:type="spellStart"/>
            <w:r>
              <w:t>Biotec</w:t>
            </w:r>
            <w:proofErr w:type="spellEnd"/>
          </w:p>
        </w:tc>
      </w:tr>
      <w:tr w:rsidR="003841A0" w:rsidRPr="007A39EE" w14:paraId="45B4F72F" w14:textId="77777777" w:rsidTr="73830063">
        <w:trPr>
          <w:gridAfter w:val="1"/>
          <w:wAfter w:w="12" w:type="dxa"/>
          <w:trHeight w:val="32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25F0B2F8" w14:textId="77777777" w:rsidR="003841A0" w:rsidRPr="007A39EE" w:rsidRDefault="000D5177" w:rsidP="000D5177">
            <w:pPr>
              <w:jc w:val="center"/>
            </w:pPr>
            <w:r>
              <w:t xml:space="preserve">anti-TIGIT-PE </w:t>
            </w:r>
          </w:p>
        </w:tc>
        <w:tc>
          <w:tcPr>
            <w:tcW w:w="2097" w:type="dxa"/>
            <w:gridSpan w:val="2"/>
            <w:tcBorders>
              <w:top w:val="nil"/>
              <w:left w:val="nil"/>
              <w:bottom w:val="single" w:sz="4" w:space="0" w:color="auto"/>
              <w:right w:val="single" w:sz="4" w:space="0" w:color="auto"/>
            </w:tcBorders>
            <w:shd w:val="clear" w:color="auto" w:fill="auto"/>
            <w:noWrap/>
            <w:vAlign w:val="center"/>
            <w:hideMark/>
          </w:tcPr>
          <w:p w14:paraId="1E0E9B6E" w14:textId="77777777" w:rsidR="003841A0" w:rsidRPr="007A39EE" w:rsidRDefault="000D5177" w:rsidP="000D5177">
            <w:pPr>
              <w:jc w:val="center"/>
            </w:pPr>
            <w:r>
              <w:t>MBSA43</w:t>
            </w:r>
          </w:p>
        </w:tc>
        <w:tc>
          <w:tcPr>
            <w:tcW w:w="1872" w:type="dxa"/>
            <w:gridSpan w:val="2"/>
            <w:tcBorders>
              <w:top w:val="nil"/>
              <w:left w:val="nil"/>
              <w:bottom w:val="single" w:sz="4" w:space="0" w:color="auto"/>
              <w:right w:val="single" w:sz="4" w:space="0" w:color="auto"/>
            </w:tcBorders>
            <w:shd w:val="clear" w:color="auto" w:fill="auto"/>
            <w:noWrap/>
            <w:vAlign w:val="center"/>
            <w:hideMark/>
          </w:tcPr>
          <w:p w14:paraId="316D7B71" w14:textId="749FBE6D" w:rsidR="003841A0" w:rsidRPr="005D02D2" w:rsidRDefault="000D5177" w:rsidP="001B5E62">
            <w:pPr>
              <w:jc w:val="center"/>
            </w:pPr>
            <w:r>
              <w:t>16-9500-82</w:t>
            </w:r>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50256588" w14:textId="77777777" w:rsidR="003841A0" w:rsidRPr="007A39EE" w:rsidRDefault="000D5177" w:rsidP="000D5177">
            <w:pPr>
              <w:jc w:val="center"/>
            </w:pPr>
            <w:proofErr w:type="spellStart"/>
            <w:r>
              <w:t>eBioscience</w:t>
            </w:r>
            <w:proofErr w:type="spellEnd"/>
          </w:p>
        </w:tc>
      </w:tr>
      <w:tr w:rsidR="003841A0" w:rsidRPr="007A39EE" w14:paraId="1F7D17AC" w14:textId="77777777" w:rsidTr="73830063">
        <w:trPr>
          <w:gridAfter w:val="1"/>
          <w:wAfter w:w="12" w:type="dxa"/>
          <w:trHeight w:val="320"/>
        </w:trPr>
        <w:tc>
          <w:tcPr>
            <w:tcW w:w="2689" w:type="dxa"/>
            <w:tcBorders>
              <w:top w:val="single" w:sz="4" w:space="0" w:color="auto"/>
              <w:left w:val="single" w:sz="4" w:space="0" w:color="auto"/>
              <w:bottom w:val="single" w:sz="4" w:space="0" w:color="auto"/>
              <w:right w:val="nil"/>
            </w:tcBorders>
            <w:shd w:val="clear" w:color="auto" w:fill="auto"/>
            <w:noWrap/>
            <w:vAlign w:val="bottom"/>
            <w:hideMark/>
          </w:tcPr>
          <w:p w14:paraId="4A7BABAD" w14:textId="77777777" w:rsidR="003841A0" w:rsidRPr="007A39EE" w:rsidRDefault="000D5177" w:rsidP="000D5177">
            <w:pPr>
              <w:jc w:val="center"/>
            </w:pPr>
            <w:r>
              <w:t xml:space="preserve">anti-TCR Vd1-FITC </w:t>
            </w:r>
          </w:p>
        </w:tc>
        <w:tc>
          <w:tcPr>
            <w:tcW w:w="2097"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75F161" w14:textId="77777777" w:rsidR="003841A0" w:rsidRPr="007A39EE" w:rsidRDefault="000D5177" w:rsidP="000D5177">
            <w:pPr>
              <w:jc w:val="center"/>
            </w:pPr>
            <w:r>
              <w:t>REA173</w:t>
            </w:r>
          </w:p>
        </w:tc>
        <w:tc>
          <w:tcPr>
            <w:tcW w:w="1872" w:type="dxa"/>
            <w:gridSpan w:val="2"/>
            <w:tcBorders>
              <w:top w:val="nil"/>
              <w:left w:val="nil"/>
              <w:bottom w:val="single" w:sz="4" w:space="0" w:color="auto"/>
              <w:right w:val="single" w:sz="4" w:space="0" w:color="auto"/>
            </w:tcBorders>
            <w:shd w:val="clear" w:color="auto" w:fill="auto"/>
            <w:noWrap/>
            <w:vAlign w:val="center"/>
            <w:hideMark/>
          </w:tcPr>
          <w:p w14:paraId="18B9CE70" w14:textId="79D7BE4E" w:rsidR="003841A0" w:rsidRPr="005D02D2" w:rsidRDefault="000D5177" w:rsidP="001B5E62">
            <w:pPr>
              <w:jc w:val="center"/>
            </w:pPr>
            <w:r>
              <w:t>130-100-534</w:t>
            </w:r>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2B315B02" w14:textId="77777777" w:rsidR="003841A0" w:rsidRPr="007A39EE" w:rsidRDefault="000D5177" w:rsidP="000D5177">
            <w:pPr>
              <w:jc w:val="center"/>
            </w:pPr>
            <w:proofErr w:type="spellStart"/>
            <w:r>
              <w:t>Miltenyi</w:t>
            </w:r>
            <w:proofErr w:type="spellEnd"/>
            <w:r>
              <w:t xml:space="preserve"> </w:t>
            </w:r>
            <w:proofErr w:type="spellStart"/>
            <w:r>
              <w:t>Biotec</w:t>
            </w:r>
            <w:proofErr w:type="spellEnd"/>
          </w:p>
        </w:tc>
      </w:tr>
      <w:tr w:rsidR="003841A0" w:rsidRPr="00DB7051" w14:paraId="6C1F9E58" w14:textId="77777777" w:rsidTr="73830063">
        <w:trPr>
          <w:gridAfter w:val="1"/>
          <w:wAfter w:w="12" w:type="dxa"/>
          <w:trHeight w:val="600"/>
        </w:trPr>
        <w:tc>
          <w:tcPr>
            <w:tcW w:w="868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D01E0F3" w14:textId="77777777" w:rsidR="003841A0" w:rsidRPr="00BE0326" w:rsidRDefault="000D5177" w:rsidP="000D5177">
            <w:pPr>
              <w:jc w:val="center"/>
              <w:rPr>
                <w:lang w:val="en-US"/>
              </w:rPr>
            </w:pPr>
            <w:r w:rsidRPr="00BE0326">
              <w:rPr>
                <w:lang w:val="en-US"/>
              </w:rPr>
              <w:lastRenderedPageBreak/>
              <w:t>Phenotyping of dissociated mouse CT26 tumors (Figure 5)</w:t>
            </w:r>
          </w:p>
        </w:tc>
      </w:tr>
      <w:tr w:rsidR="003841A0" w:rsidRPr="007A39EE" w14:paraId="1A1B1D30" w14:textId="77777777" w:rsidTr="73830063">
        <w:trPr>
          <w:gridAfter w:val="1"/>
          <w:wAfter w:w="12" w:type="dxa"/>
          <w:trHeight w:val="32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140A8E88" w14:textId="77777777" w:rsidR="003841A0" w:rsidRPr="007A39EE" w:rsidRDefault="000D5177" w:rsidP="000D5177">
            <w:pPr>
              <w:jc w:val="center"/>
            </w:pPr>
            <w:r>
              <w:t xml:space="preserve">anti-CD45-APC-eFluor780 </w:t>
            </w:r>
          </w:p>
        </w:tc>
        <w:tc>
          <w:tcPr>
            <w:tcW w:w="2080" w:type="dxa"/>
            <w:tcBorders>
              <w:top w:val="nil"/>
              <w:left w:val="nil"/>
              <w:bottom w:val="single" w:sz="4" w:space="0" w:color="auto"/>
              <w:right w:val="single" w:sz="4" w:space="0" w:color="auto"/>
            </w:tcBorders>
            <w:shd w:val="clear" w:color="auto" w:fill="auto"/>
            <w:noWrap/>
            <w:vAlign w:val="center"/>
            <w:hideMark/>
          </w:tcPr>
          <w:p w14:paraId="740AB4EB" w14:textId="77777777" w:rsidR="003841A0" w:rsidRPr="007A39EE" w:rsidRDefault="000D5177" w:rsidP="000D5177">
            <w:pPr>
              <w:jc w:val="center"/>
            </w:pPr>
            <w:r>
              <w:t>30-F11</w:t>
            </w:r>
          </w:p>
        </w:tc>
        <w:tc>
          <w:tcPr>
            <w:tcW w:w="1889" w:type="dxa"/>
            <w:gridSpan w:val="3"/>
            <w:tcBorders>
              <w:top w:val="nil"/>
              <w:left w:val="nil"/>
              <w:bottom w:val="single" w:sz="4" w:space="0" w:color="auto"/>
              <w:right w:val="single" w:sz="4" w:space="0" w:color="auto"/>
            </w:tcBorders>
            <w:shd w:val="clear" w:color="auto" w:fill="auto"/>
            <w:noWrap/>
            <w:vAlign w:val="center"/>
            <w:hideMark/>
          </w:tcPr>
          <w:p w14:paraId="59CBA071" w14:textId="77777777" w:rsidR="003841A0" w:rsidRPr="007A39EE" w:rsidRDefault="000D5177" w:rsidP="000D5177">
            <w:pPr>
              <w:jc w:val="center"/>
            </w:pPr>
            <w:r>
              <w:t>103138</w:t>
            </w:r>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73D6FFAA" w14:textId="77777777" w:rsidR="003841A0" w:rsidRPr="007A39EE" w:rsidRDefault="000D5177" w:rsidP="000D5177">
            <w:pPr>
              <w:jc w:val="center"/>
            </w:pPr>
            <w:r>
              <w:t xml:space="preserve">Bio </w:t>
            </w:r>
            <w:proofErr w:type="spellStart"/>
            <w:r>
              <w:t>Legend</w:t>
            </w:r>
            <w:proofErr w:type="spellEnd"/>
          </w:p>
        </w:tc>
      </w:tr>
      <w:tr w:rsidR="003841A0" w:rsidRPr="007A39EE" w14:paraId="7D62E433" w14:textId="77777777" w:rsidTr="73830063">
        <w:trPr>
          <w:gridAfter w:val="1"/>
          <w:wAfter w:w="12" w:type="dxa"/>
          <w:trHeight w:val="32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1D3B7ACE" w14:textId="77777777" w:rsidR="003841A0" w:rsidRPr="007A39EE" w:rsidRDefault="000D5177" w:rsidP="000D5177">
            <w:pPr>
              <w:jc w:val="center"/>
            </w:pPr>
            <w:r>
              <w:t xml:space="preserve">anti-CD4-FITC </w:t>
            </w:r>
          </w:p>
        </w:tc>
        <w:tc>
          <w:tcPr>
            <w:tcW w:w="2080" w:type="dxa"/>
            <w:tcBorders>
              <w:top w:val="nil"/>
              <w:left w:val="nil"/>
              <w:bottom w:val="single" w:sz="4" w:space="0" w:color="auto"/>
              <w:right w:val="single" w:sz="4" w:space="0" w:color="auto"/>
            </w:tcBorders>
            <w:shd w:val="clear" w:color="auto" w:fill="auto"/>
            <w:noWrap/>
            <w:vAlign w:val="center"/>
            <w:hideMark/>
          </w:tcPr>
          <w:p w14:paraId="0DE2E570" w14:textId="77777777" w:rsidR="003841A0" w:rsidRPr="007A39EE" w:rsidRDefault="000D5177" w:rsidP="000D5177">
            <w:pPr>
              <w:jc w:val="center"/>
            </w:pPr>
            <w:r>
              <w:t xml:space="preserve">RM4-5 </w:t>
            </w:r>
          </w:p>
        </w:tc>
        <w:tc>
          <w:tcPr>
            <w:tcW w:w="1889" w:type="dxa"/>
            <w:gridSpan w:val="3"/>
            <w:tcBorders>
              <w:top w:val="nil"/>
              <w:left w:val="nil"/>
              <w:bottom w:val="single" w:sz="4" w:space="0" w:color="auto"/>
              <w:right w:val="single" w:sz="4" w:space="0" w:color="auto"/>
            </w:tcBorders>
            <w:shd w:val="clear" w:color="auto" w:fill="auto"/>
            <w:noWrap/>
            <w:vAlign w:val="center"/>
            <w:hideMark/>
          </w:tcPr>
          <w:p w14:paraId="5488C0CB" w14:textId="77777777" w:rsidR="003841A0" w:rsidRPr="007A39EE" w:rsidRDefault="000D5177" w:rsidP="000D5177">
            <w:pPr>
              <w:jc w:val="center"/>
            </w:pPr>
            <w:r>
              <w:t xml:space="preserve">11-0042-82 </w:t>
            </w:r>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1D59140C" w14:textId="77777777" w:rsidR="003841A0" w:rsidRPr="007A39EE" w:rsidRDefault="000D5177" w:rsidP="000D5177">
            <w:pPr>
              <w:jc w:val="center"/>
            </w:pPr>
            <w:proofErr w:type="spellStart"/>
            <w:r>
              <w:t>eBioscience</w:t>
            </w:r>
            <w:proofErr w:type="spellEnd"/>
          </w:p>
        </w:tc>
      </w:tr>
      <w:tr w:rsidR="003841A0" w:rsidRPr="007A39EE" w14:paraId="1E39F230" w14:textId="77777777" w:rsidTr="73830063">
        <w:trPr>
          <w:gridAfter w:val="1"/>
          <w:wAfter w:w="12" w:type="dxa"/>
          <w:trHeight w:val="32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55D9828B" w14:textId="77777777" w:rsidR="003841A0" w:rsidRPr="007A39EE" w:rsidRDefault="000D5177" w:rsidP="000D5177">
            <w:pPr>
              <w:jc w:val="center"/>
            </w:pPr>
            <w:r>
              <w:t>anti-CD8-PE-Cy7</w:t>
            </w:r>
          </w:p>
        </w:tc>
        <w:tc>
          <w:tcPr>
            <w:tcW w:w="2080" w:type="dxa"/>
            <w:tcBorders>
              <w:top w:val="nil"/>
              <w:left w:val="nil"/>
              <w:bottom w:val="single" w:sz="4" w:space="0" w:color="auto"/>
              <w:right w:val="single" w:sz="4" w:space="0" w:color="auto"/>
            </w:tcBorders>
            <w:shd w:val="clear" w:color="auto" w:fill="auto"/>
            <w:noWrap/>
            <w:vAlign w:val="center"/>
            <w:hideMark/>
          </w:tcPr>
          <w:p w14:paraId="1471FED1" w14:textId="77777777" w:rsidR="003841A0" w:rsidRPr="007A39EE" w:rsidRDefault="000D5177" w:rsidP="000D5177">
            <w:pPr>
              <w:jc w:val="center"/>
            </w:pPr>
            <w:r>
              <w:t>53-6.7</w:t>
            </w:r>
          </w:p>
        </w:tc>
        <w:tc>
          <w:tcPr>
            <w:tcW w:w="1889" w:type="dxa"/>
            <w:gridSpan w:val="3"/>
            <w:tcBorders>
              <w:top w:val="nil"/>
              <w:left w:val="nil"/>
              <w:bottom w:val="single" w:sz="4" w:space="0" w:color="auto"/>
              <w:right w:val="single" w:sz="4" w:space="0" w:color="auto"/>
            </w:tcBorders>
            <w:shd w:val="clear" w:color="auto" w:fill="auto"/>
            <w:noWrap/>
            <w:vAlign w:val="center"/>
            <w:hideMark/>
          </w:tcPr>
          <w:p w14:paraId="7449561D" w14:textId="77777777" w:rsidR="003841A0" w:rsidRPr="007A39EE" w:rsidRDefault="000D5177" w:rsidP="000D5177">
            <w:pPr>
              <w:jc w:val="center"/>
            </w:pPr>
            <w:r>
              <w:t xml:space="preserve">25-0081-82 </w:t>
            </w:r>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3C798D99" w14:textId="77777777" w:rsidR="003841A0" w:rsidRPr="007A39EE" w:rsidRDefault="000D5177" w:rsidP="000D5177">
            <w:pPr>
              <w:jc w:val="center"/>
            </w:pPr>
            <w:proofErr w:type="spellStart"/>
            <w:r>
              <w:t>eBioscience</w:t>
            </w:r>
            <w:proofErr w:type="spellEnd"/>
          </w:p>
        </w:tc>
      </w:tr>
      <w:tr w:rsidR="003841A0" w:rsidRPr="007A39EE" w14:paraId="6AE5C081" w14:textId="77777777" w:rsidTr="73830063">
        <w:trPr>
          <w:gridAfter w:val="1"/>
          <w:wAfter w:w="12" w:type="dxa"/>
          <w:trHeight w:val="32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300CD97B" w14:textId="2B54264E" w:rsidR="003841A0" w:rsidRPr="007A39EE" w:rsidRDefault="46CDA410" w:rsidP="000D5177">
            <w:pPr>
              <w:jc w:val="center"/>
            </w:pPr>
            <w:r>
              <w:t>anti-</w:t>
            </w:r>
            <w:r w:rsidR="000D5177">
              <w:t xml:space="preserve">FoxP3-APC </w:t>
            </w:r>
          </w:p>
        </w:tc>
        <w:tc>
          <w:tcPr>
            <w:tcW w:w="2080" w:type="dxa"/>
            <w:tcBorders>
              <w:top w:val="nil"/>
              <w:left w:val="nil"/>
              <w:bottom w:val="single" w:sz="4" w:space="0" w:color="auto"/>
              <w:right w:val="single" w:sz="4" w:space="0" w:color="auto"/>
            </w:tcBorders>
            <w:shd w:val="clear" w:color="auto" w:fill="auto"/>
            <w:noWrap/>
            <w:vAlign w:val="center"/>
            <w:hideMark/>
          </w:tcPr>
          <w:p w14:paraId="78000671" w14:textId="77777777" w:rsidR="003841A0" w:rsidRPr="007A39EE" w:rsidRDefault="000D5177" w:rsidP="000D5177">
            <w:pPr>
              <w:jc w:val="center"/>
            </w:pPr>
            <w:r>
              <w:t>FJK-16s</w:t>
            </w:r>
          </w:p>
        </w:tc>
        <w:tc>
          <w:tcPr>
            <w:tcW w:w="1889" w:type="dxa"/>
            <w:gridSpan w:val="3"/>
            <w:tcBorders>
              <w:top w:val="nil"/>
              <w:left w:val="nil"/>
              <w:bottom w:val="single" w:sz="4" w:space="0" w:color="auto"/>
              <w:right w:val="single" w:sz="4" w:space="0" w:color="auto"/>
            </w:tcBorders>
            <w:shd w:val="clear" w:color="auto" w:fill="auto"/>
            <w:noWrap/>
            <w:vAlign w:val="center"/>
            <w:hideMark/>
          </w:tcPr>
          <w:p w14:paraId="3404172F" w14:textId="77777777" w:rsidR="003841A0" w:rsidRPr="007A39EE" w:rsidRDefault="000D5177" w:rsidP="000D5177">
            <w:pPr>
              <w:jc w:val="center"/>
            </w:pPr>
            <w:r>
              <w:t xml:space="preserve">17-5773-82 </w:t>
            </w:r>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1BFA42EA" w14:textId="77777777" w:rsidR="003841A0" w:rsidRPr="007A39EE" w:rsidRDefault="000D5177" w:rsidP="000D5177">
            <w:pPr>
              <w:jc w:val="center"/>
            </w:pPr>
            <w:proofErr w:type="spellStart"/>
            <w:r>
              <w:t>eBioscience</w:t>
            </w:r>
            <w:proofErr w:type="spellEnd"/>
          </w:p>
        </w:tc>
      </w:tr>
      <w:tr w:rsidR="003841A0" w:rsidRPr="007A39EE" w14:paraId="264DBC7B" w14:textId="77777777" w:rsidTr="73830063">
        <w:trPr>
          <w:gridAfter w:val="1"/>
          <w:wAfter w:w="12" w:type="dxa"/>
          <w:trHeight w:val="32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0B17093B" w14:textId="73908715" w:rsidR="003841A0" w:rsidRPr="007A39EE" w:rsidRDefault="000D5177" w:rsidP="51C62C70">
            <w:pPr>
              <w:jc w:val="center"/>
            </w:pPr>
            <w:r>
              <w:t>anti-</w:t>
            </w:r>
            <w:proofErr w:type="spellStart"/>
            <w:r>
              <w:t>IFNɣ</w:t>
            </w:r>
            <w:proofErr w:type="spellEnd"/>
            <w:r>
              <w:t xml:space="preserve">-APC </w:t>
            </w:r>
          </w:p>
        </w:tc>
        <w:tc>
          <w:tcPr>
            <w:tcW w:w="2080" w:type="dxa"/>
            <w:tcBorders>
              <w:top w:val="nil"/>
              <w:left w:val="nil"/>
              <w:bottom w:val="single" w:sz="4" w:space="0" w:color="auto"/>
              <w:right w:val="single" w:sz="4" w:space="0" w:color="auto"/>
            </w:tcBorders>
            <w:shd w:val="clear" w:color="auto" w:fill="auto"/>
            <w:noWrap/>
            <w:vAlign w:val="center"/>
            <w:hideMark/>
          </w:tcPr>
          <w:p w14:paraId="0DC9D35C" w14:textId="77777777" w:rsidR="003841A0" w:rsidRPr="007A39EE" w:rsidRDefault="000D5177" w:rsidP="000D5177">
            <w:pPr>
              <w:jc w:val="center"/>
            </w:pPr>
            <w:r>
              <w:t>XMG1.2</w:t>
            </w:r>
          </w:p>
        </w:tc>
        <w:tc>
          <w:tcPr>
            <w:tcW w:w="1889" w:type="dxa"/>
            <w:gridSpan w:val="3"/>
            <w:tcBorders>
              <w:top w:val="nil"/>
              <w:left w:val="nil"/>
              <w:bottom w:val="single" w:sz="4" w:space="0" w:color="auto"/>
              <w:right w:val="single" w:sz="4" w:space="0" w:color="auto"/>
            </w:tcBorders>
            <w:shd w:val="clear" w:color="auto" w:fill="auto"/>
            <w:noWrap/>
            <w:vAlign w:val="center"/>
            <w:hideMark/>
          </w:tcPr>
          <w:p w14:paraId="12BE295F" w14:textId="77777777" w:rsidR="003841A0" w:rsidRPr="007A39EE" w:rsidRDefault="000D5177" w:rsidP="000D5177">
            <w:pPr>
              <w:jc w:val="center"/>
            </w:pPr>
            <w:r>
              <w:t xml:space="preserve">17-7311-82 </w:t>
            </w:r>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2445D6CA" w14:textId="77777777" w:rsidR="003841A0" w:rsidRPr="007A39EE" w:rsidRDefault="000D5177" w:rsidP="000D5177">
            <w:pPr>
              <w:jc w:val="center"/>
            </w:pPr>
            <w:proofErr w:type="spellStart"/>
            <w:r>
              <w:t>eBioscience</w:t>
            </w:r>
            <w:proofErr w:type="spellEnd"/>
          </w:p>
        </w:tc>
      </w:tr>
      <w:tr w:rsidR="003841A0" w:rsidRPr="00DB7051" w14:paraId="519E9168" w14:textId="77777777" w:rsidTr="73830063">
        <w:trPr>
          <w:gridAfter w:val="1"/>
          <w:wAfter w:w="12" w:type="dxa"/>
          <w:trHeight w:val="600"/>
        </w:trPr>
        <w:tc>
          <w:tcPr>
            <w:tcW w:w="8681" w:type="dxa"/>
            <w:gridSpan w:val="7"/>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F447DE6" w14:textId="7561DE51" w:rsidR="003841A0" w:rsidRPr="00BE0326" w:rsidRDefault="000D5177" w:rsidP="000D5177">
            <w:pPr>
              <w:jc w:val="center"/>
              <w:rPr>
                <w:lang w:val="en-US"/>
              </w:rPr>
            </w:pPr>
            <w:r w:rsidRPr="00BE0326">
              <w:rPr>
                <w:lang w:val="en-US"/>
              </w:rPr>
              <w:t xml:space="preserve">Measure of TIGIT expression on Sezary syndrome samples by flow cytometry (Figure 6) </w:t>
            </w:r>
          </w:p>
        </w:tc>
      </w:tr>
      <w:tr w:rsidR="003841A0" w:rsidRPr="007A39EE" w14:paraId="2155BAB0" w14:textId="77777777" w:rsidTr="73830063">
        <w:trPr>
          <w:gridAfter w:val="1"/>
          <w:wAfter w:w="12" w:type="dxa"/>
          <w:trHeight w:val="32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4B3D2D1B" w14:textId="0564C50C" w:rsidR="003841A0" w:rsidRPr="007A39EE" w:rsidRDefault="215BFFA0" w:rsidP="000D5177">
            <w:pPr>
              <w:jc w:val="center"/>
            </w:pPr>
            <w:r>
              <w:t>anti-</w:t>
            </w:r>
            <w:r w:rsidR="000D5177">
              <w:t xml:space="preserve">CD19-AF750 </w:t>
            </w:r>
          </w:p>
        </w:tc>
        <w:tc>
          <w:tcPr>
            <w:tcW w:w="2080" w:type="dxa"/>
            <w:tcBorders>
              <w:top w:val="nil"/>
              <w:left w:val="nil"/>
              <w:bottom w:val="single" w:sz="4" w:space="0" w:color="auto"/>
              <w:right w:val="single" w:sz="4" w:space="0" w:color="auto"/>
            </w:tcBorders>
            <w:shd w:val="clear" w:color="auto" w:fill="auto"/>
            <w:noWrap/>
            <w:vAlign w:val="center"/>
            <w:hideMark/>
          </w:tcPr>
          <w:p w14:paraId="04F834FC" w14:textId="77777777" w:rsidR="003841A0" w:rsidRPr="007A39EE" w:rsidRDefault="000D5177" w:rsidP="000D5177">
            <w:pPr>
              <w:jc w:val="center"/>
            </w:pPr>
            <w:r>
              <w:t>J3-119</w:t>
            </w:r>
          </w:p>
        </w:tc>
        <w:tc>
          <w:tcPr>
            <w:tcW w:w="1889" w:type="dxa"/>
            <w:gridSpan w:val="3"/>
            <w:tcBorders>
              <w:top w:val="nil"/>
              <w:left w:val="nil"/>
              <w:bottom w:val="single" w:sz="4" w:space="0" w:color="auto"/>
              <w:right w:val="single" w:sz="4" w:space="0" w:color="auto"/>
            </w:tcBorders>
            <w:shd w:val="clear" w:color="auto" w:fill="auto"/>
            <w:noWrap/>
            <w:vAlign w:val="center"/>
            <w:hideMark/>
          </w:tcPr>
          <w:p w14:paraId="411568A9" w14:textId="77777777" w:rsidR="003841A0" w:rsidRPr="007A39EE" w:rsidRDefault="000D5177" w:rsidP="000D5177">
            <w:pPr>
              <w:jc w:val="center"/>
            </w:pPr>
            <w:r>
              <w:t>A94681</w:t>
            </w:r>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6D5CEF50" w14:textId="77777777" w:rsidR="003841A0" w:rsidRPr="007A39EE" w:rsidRDefault="000D5177" w:rsidP="000D5177">
            <w:pPr>
              <w:jc w:val="center"/>
            </w:pPr>
            <w:proofErr w:type="spellStart"/>
            <w:r>
              <w:t>Beckman</w:t>
            </w:r>
            <w:proofErr w:type="spellEnd"/>
            <w:r>
              <w:t xml:space="preserve"> Coulter</w:t>
            </w:r>
          </w:p>
        </w:tc>
      </w:tr>
      <w:tr w:rsidR="003841A0" w:rsidRPr="007A39EE" w14:paraId="011A1A0F" w14:textId="77777777" w:rsidTr="73830063">
        <w:trPr>
          <w:gridAfter w:val="1"/>
          <w:wAfter w:w="12" w:type="dxa"/>
          <w:trHeight w:val="32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70E7B7B1" w14:textId="1296629A" w:rsidR="003841A0" w:rsidRPr="007A39EE" w:rsidRDefault="4EF6FA48" w:rsidP="73830063">
            <w:pPr>
              <w:jc w:val="center"/>
            </w:pPr>
            <w:r>
              <w:t xml:space="preserve">anti- </w:t>
            </w:r>
            <w:r w:rsidR="000D5177">
              <w:t xml:space="preserve">CD3-Krome Orange </w:t>
            </w:r>
          </w:p>
        </w:tc>
        <w:tc>
          <w:tcPr>
            <w:tcW w:w="2080" w:type="dxa"/>
            <w:tcBorders>
              <w:top w:val="nil"/>
              <w:left w:val="nil"/>
              <w:bottom w:val="single" w:sz="4" w:space="0" w:color="auto"/>
              <w:right w:val="single" w:sz="4" w:space="0" w:color="auto"/>
            </w:tcBorders>
            <w:shd w:val="clear" w:color="auto" w:fill="auto"/>
            <w:noWrap/>
            <w:vAlign w:val="center"/>
            <w:hideMark/>
          </w:tcPr>
          <w:p w14:paraId="047F05A1" w14:textId="77777777" w:rsidR="003841A0" w:rsidRPr="007A39EE" w:rsidRDefault="000D5177" w:rsidP="000D5177">
            <w:pPr>
              <w:jc w:val="center"/>
            </w:pPr>
            <w:r>
              <w:t>UCHT1</w:t>
            </w:r>
          </w:p>
        </w:tc>
        <w:tc>
          <w:tcPr>
            <w:tcW w:w="1889" w:type="dxa"/>
            <w:gridSpan w:val="3"/>
            <w:tcBorders>
              <w:top w:val="nil"/>
              <w:left w:val="nil"/>
              <w:bottom w:val="single" w:sz="4" w:space="0" w:color="auto"/>
              <w:right w:val="single" w:sz="4" w:space="0" w:color="auto"/>
            </w:tcBorders>
            <w:shd w:val="clear" w:color="auto" w:fill="auto"/>
            <w:noWrap/>
            <w:vAlign w:val="center"/>
            <w:hideMark/>
          </w:tcPr>
          <w:p w14:paraId="18079C93" w14:textId="77777777" w:rsidR="003841A0" w:rsidRPr="007A39EE" w:rsidRDefault="000D5177" w:rsidP="000D5177">
            <w:pPr>
              <w:jc w:val="center"/>
            </w:pPr>
            <w:r>
              <w:t>B00068</w:t>
            </w:r>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770E77E2" w14:textId="77777777" w:rsidR="003841A0" w:rsidRPr="007A39EE" w:rsidRDefault="000D5177" w:rsidP="000D5177">
            <w:pPr>
              <w:jc w:val="center"/>
            </w:pPr>
            <w:proofErr w:type="spellStart"/>
            <w:r>
              <w:t>Beckman</w:t>
            </w:r>
            <w:proofErr w:type="spellEnd"/>
            <w:r>
              <w:t xml:space="preserve"> Coulter</w:t>
            </w:r>
          </w:p>
        </w:tc>
      </w:tr>
      <w:tr w:rsidR="003841A0" w:rsidRPr="007A39EE" w14:paraId="50D367EB" w14:textId="77777777" w:rsidTr="73830063">
        <w:trPr>
          <w:gridAfter w:val="1"/>
          <w:wAfter w:w="12" w:type="dxa"/>
          <w:trHeight w:val="32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616655CA" w14:textId="297BB3C7" w:rsidR="003841A0" w:rsidRPr="007A39EE" w:rsidRDefault="6BD15B9C" w:rsidP="73830063">
            <w:pPr>
              <w:jc w:val="center"/>
            </w:pPr>
            <w:r>
              <w:t xml:space="preserve">anti- </w:t>
            </w:r>
            <w:r w:rsidR="000D5177">
              <w:t xml:space="preserve">CD3-PC5 </w:t>
            </w:r>
          </w:p>
        </w:tc>
        <w:tc>
          <w:tcPr>
            <w:tcW w:w="2080" w:type="dxa"/>
            <w:tcBorders>
              <w:top w:val="nil"/>
              <w:left w:val="nil"/>
              <w:bottom w:val="single" w:sz="4" w:space="0" w:color="auto"/>
              <w:right w:val="single" w:sz="4" w:space="0" w:color="auto"/>
            </w:tcBorders>
            <w:shd w:val="clear" w:color="auto" w:fill="auto"/>
            <w:noWrap/>
            <w:vAlign w:val="center"/>
            <w:hideMark/>
          </w:tcPr>
          <w:p w14:paraId="2DF603E5" w14:textId="77777777" w:rsidR="003841A0" w:rsidRPr="007A39EE" w:rsidRDefault="000D5177" w:rsidP="000D5177">
            <w:pPr>
              <w:jc w:val="center"/>
            </w:pPr>
            <w:r>
              <w:t>UCHT1</w:t>
            </w:r>
          </w:p>
        </w:tc>
        <w:tc>
          <w:tcPr>
            <w:tcW w:w="1889" w:type="dxa"/>
            <w:gridSpan w:val="3"/>
            <w:tcBorders>
              <w:top w:val="nil"/>
              <w:left w:val="nil"/>
              <w:bottom w:val="single" w:sz="4" w:space="0" w:color="auto"/>
              <w:right w:val="single" w:sz="4" w:space="0" w:color="auto"/>
            </w:tcBorders>
            <w:shd w:val="clear" w:color="auto" w:fill="auto"/>
            <w:noWrap/>
            <w:vAlign w:val="center"/>
            <w:hideMark/>
          </w:tcPr>
          <w:p w14:paraId="52004181" w14:textId="77777777" w:rsidR="003841A0" w:rsidRPr="007A39EE" w:rsidRDefault="000D5177" w:rsidP="000D5177">
            <w:pPr>
              <w:jc w:val="center"/>
            </w:pPr>
            <w:r>
              <w:t>A07749</w:t>
            </w:r>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6EDDDF7B" w14:textId="77777777" w:rsidR="003841A0" w:rsidRPr="007A39EE" w:rsidRDefault="000D5177" w:rsidP="000D5177">
            <w:pPr>
              <w:jc w:val="center"/>
            </w:pPr>
            <w:proofErr w:type="spellStart"/>
            <w:r>
              <w:t>Beckman</w:t>
            </w:r>
            <w:proofErr w:type="spellEnd"/>
            <w:r>
              <w:t xml:space="preserve"> Coulter</w:t>
            </w:r>
          </w:p>
        </w:tc>
      </w:tr>
      <w:tr w:rsidR="003841A0" w:rsidRPr="007A39EE" w14:paraId="742A0456" w14:textId="77777777" w:rsidTr="73830063">
        <w:trPr>
          <w:gridAfter w:val="1"/>
          <w:wAfter w:w="12" w:type="dxa"/>
          <w:trHeight w:val="32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5946947C" w14:textId="5A8654E9" w:rsidR="003841A0" w:rsidRPr="007A39EE" w:rsidRDefault="215A19E1" w:rsidP="73830063">
            <w:pPr>
              <w:jc w:val="center"/>
            </w:pPr>
            <w:r>
              <w:t xml:space="preserve">anti- </w:t>
            </w:r>
            <w:r w:rsidR="000D5177">
              <w:t xml:space="preserve">CD4-PC7 </w:t>
            </w:r>
          </w:p>
        </w:tc>
        <w:tc>
          <w:tcPr>
            <w:tcW w:w="2080" w:type="dxa"/>
            <w:tcBorders>
              <w:top w:val="nil"/>
              <w:left w:val="nil"/>
              <w:bottom w:val="single" w:sz="4" w:space="0" w:color="auto"/>
              <w:right w:val="single" w:sz="4" w:space="0" w:color="auto"/>
            </w:tcBorders>
            <w:shd w:val="clear" w:color="auto" w:fill="auto"/>
            <w:noWrap/>
            <w:vAlign w:val="center"/>
            <w:hideMark/>
          </w:tcPr>
          <w:p w14:paraId="03BB4B64" w14:textId="77777777" w:rsidR="003841A0" w:rsidRPr="007A39EE" w:rsidRDefault="000D5177" w:rsidP="000D5177">
            <w:pPr>
              <w:jc w:val="center"/>
            </w:pPr>
            <w:r>
              <w:t>SFCI12T4D11</w:t>
            </w:r>
          </w:p>
        </w:tc>
        <w:tc>
          <w:tcPr>
            <w:tcW w:w="1889" w:type="dxa"/>
            <w:gridSpan w:val="3"/>
            <w:tcBorders>
              <w:top w:val="nil"/>
              <w:left w:val="nil"/>
              <w:bottom w:val="single" w:sz="4" w:space="0" w:color="auto"/>
              <w:right w:val="single" w:sz="4" w:space="0" w:color="auto"/>
            </w:tcBorders>
            <w:shd w:val="clear" w:color="auto" w:fill="auto"/>
            <w:noWrap/>
            <w:vAlign w:val="center"/>
            <w:hideMark/>
          </w:tcPr>
          <w:p w14:paraId="4347F5D9" w14:textId="77777777" w:rsidR="003841A0" w:rsidRPr="007A39EE" w:rsidRDefault="000D5177" w:rsidP="000D5177">
            <w:pPr>
              <w:jc w:val="center"/>
            </w:pPr>
            <w:r>
              <w:t>737660</w:t>
            </w:r>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3AAF5A5A" w14:textId="77777777" w:rsidR="003841A0" w:rsidRPr="007A39EE" w:rsidRDefault="000D5177" w:rsidP="000D5177">
            <w:pPr>
              <w:jc w:val="center"/>
            </w:pPr>
            <w:proofErr w:type="spellStart"/>
            <w:r>
              <w:t>Beckman</w:t>
            </w:r>
            <w:proofErr w:type="spellEnd"/>
            <w:r>
              <w:t xml:space="preserve"> Coulter</w:t>
            </w:r>
          </w:p>
        </w:tc>
      </w:tr>
      <w:tr w:rsidR="003841A0" w:rsidRPr="007A39EE" w14:paraId="0CE8353A" w14:textId="77777777" w:rsidTr="73830063">
        <w:trPr>
          <w:gridAfter w:val="1"/>
          <w:wAfter w:w="12" w:type="dxa"/>
          <w:trHeight w:val="32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0AF548B0" w14:textId="6F762A09" w:rsidR="003841A0" w:rsidRPr="007A39EE" w:rsidRDefault="5D7E6F8E" w:rsidP="73830063">
            <w:pPr>
              <w:jc w:val="center"/>
            </w:pPr>
            <w:r>
              <w:t xml:space="preserve">anti- </w:t>
            </w:r>
            <w:r w:rsidR="000D5177">
              <w:t xml:space="preserve">CD4-PE </w:t>
            </w:r>
          </w:p>
        </w:tc>
        <w:tc>
          <w:tcPr>
            <w:tcW w:w="2080" w:type="dxa"/>
            <w:tcBorders>
              <w:top w:val="nil"/>
              <w:left w:val="nil"/>
              <w:bottom w:val="single" w:sz="4" w:space="0" w:color="auto"/>
              <w:right w:val="single" w:sz="4" w:space="0" w:color="auto"/>
            </w:tcBorders>
            <w:shd w:val="clear" w:color="auto" w:fill="auto"/>
            <w:noWrap/>
            <w:vAlign w:val="center"/>
            <w:hideMark/>
          </w:tcPr>
          <w:p w14:paraId="7EF23BB6" w14:textId="77777777" w:rsidR="003841A0" w:rsidRPr="007A39EE" w:rsidRDefault="000D5177" w:rsidP="000D5177">
            <w:pPr>
              <w:jc w:val="center"/>
            </w:pPr>
            <w:r>
              <w:t>13B8.2</w:t>
            </w:r>
          </w:p>
        </w:tc>
        <w:tc>
          <w:tcPr>
            <w:tcW w:w="1889" w:type="dxa"/>
            <w:gridSpan w:val="3"/>
            <w:tcBorders>
              <w:top w:val="nil"/>
              <w:left w:val="nil"/>
              <w:bottom w:val="single" w:sz="4" w:space="0" w:color="auto"/>
              <w:right w:val="single" w:sz="4" w:space="0" w:color="auto"/>
            </w:tcBorders>
            <w:shd w:val="clear" w:color="auto" w:fill="auto"/>
            <w:noWrap/>
            <w:vAlign w:val="center"/>
            <w:hideMark/>
          </w:tcPr>
          <w:p w14:paraId="2DE9A2AA" w14:textId="77777777" w:rsidR="003841A0" w:rsidRPr="007A39EE" w:rsidRDefault="000D5177" w:rsidP="000D5177">
            <w:pPr>
              <w:jc w:val="center"/>
            </w:pPr>
            <w:r>
              <w:t xml:space="preserve">A07751 </w:t>
            </w:r>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77121CCF" w14:textId="77777777" w:rsidR="003841A0" w:rsidRPr="007A39EE" w:rsidRDefault="000D5177" w:rsidP="000D5177">
            <w:pPr>
              <w:jc w:val="center"/>
            </w:pPr>
            <w:proofErr w:type="spellStart"/>
            <w:r>
              <w:t>Beckman</w:t>
            </w:r>
            <w:proofErr w:type="spellEnd"/>
            <w:r>
              <w:t xml:space="preserve"> Coulter</w:t>
            </w:r>
          </w:p>
        </w:tc>
      </w:tr>
      <w:tr w:rsidR="003841A0" w:rsidRPr="007A39EE" w14:paraId="093C5855" w14:textId="77777777" w:rsidTr="73830063">
        <w:trPr>
          <w:gridAfter w:val="1"/>
          <w:wAfter w:w="12" w:type="dxa"/>
          <w:trHeight w:val="32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434EA7A5" w14:textId="7D6E3328" w:rsidR="003841A0" w:rsidRPr="007A39EE" w:rsidRDefault="1155EA07" w:rsidP="73830063">
            <w:pPr>
              <w:jc w:val="center"/>
            </w:pPr>
            <w:r>
              <w:t xml:space="preserve">anti- </w:t>
            </w:r>
            <w:r w:rsidR="000D5177">
              <w:t xml:space="preserve">CD45-Pacific Blue </w:t>
            </w:r>
          </w:p>
        </w:tc>
        <w:tc>
          <w:tcPr>
            <w:tcW w:w="2080" w:type="dxa"/>
            <w:tcBorders>
              <w:top w:val="nil"/>
              <w:left w:val="nil"/>
              <w:bottom w:val="single" w:sz="4" w:space="0" w:color="auto"/>
              <w:right w:val="single" w:sz="4" w:space="0" w:color="auto"/>
            </w:tcBorders>
            <w:shd w:val="clear" w:color="auto" w:fill="auto"/>
            <w:noWrap/>
            <w:vAlign w:val="center"/>
            <w:hideMark/>
          </w:tcPr>
          <w:p w14:paraId="3B8239E9" w14:textId="77777777" w:rsidR="003841A0" w:rsidRPr="007A39EE" w:rsidRDefault="000D5177" w:rsidP="000D5177">
            <w:pPr>
              <w:jc w:val="center"/>
            </w:pPr>
            <w:r>
              <w:t>J33</w:t>
            </w:r>
          </w:p>
        </w:tc>
        <w:tc>
          <w:tcPr>
            <w:tcW w:w="1889" w:type="dxa"/>
            <w:gridSpan w:val="3"/>
            <w:tcBorders>
              <w:top w:val="nil"/>
              <w:left w:val="nil"/>
              <w:bottom w:val="single" w:sz="4" w:space="0" w:color="auto"/>
              <w:right w:val="single" w:sz="4" w:space="0" w:color="auto"/>
            </w:tcBorders>
            <w:shd w:val="clear" w:color="auto" w:fill="auto"/>
            <w:noWrap/>
            <w:vAlign w:val="center"/>
            <w:hideMark/>
          </w:tcPr>
          <w:p w14:paraId="0DF478BD" w14:textId="77777777" w:rsidR="003841A0" w:rsidRPr="007A39EE" w:rsidRDefault="000D5177" w:rsidP="000D5177">
            <w:pPr>
              <w:jc w:val="center"/>
            </w:pPr>
            <w:r>
              <w:t>A74763</w:t>
            </w:r>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76C89D02" w14:textId="77777777" w:rsidR="003841A0" w:rsidRPr="007A39EE" w:rsidRDefault="000D5177" w:rsidP="000D5177">
            <w:pPr>
              <w:jc w:val="center"/>
            </w:pPr>
            <w:proofErr w:type="spellStart"/>
            <w:r>
              <w:t>Beckman</w:t>
            </w:r>
            <w:proofErr w:type="spellEnd"/>
            <w:r>
              <w:t xml:space="preserve"> Coulter</w:t>
            </w:r>
          </w:p>
        </w:tc>
      </w:tr>
      <w:tr w:rsidR="003841A0" w:rsidRPr="007A39EE" w14:paraId="7F0C52A5" w14:textId="77777777" w:rsidTr="73830063">
        <w:trPr>
          <w:gridAfter w:val="1"/>
          <w:wAfter w:w="12" w:type="dxa"/>
          <w:trHeight w:val="32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6B155911" w14:textId="46E835C9" w:rsidR="003841A0" w:rsidRPr="007A39EE" w:rsidRDefault="6ADC44E0" w:rsidP="73830063">
            <w:pPr>
              <w:jc w:val="center"/>
            </w:pPr>
            <w:r>
              <w:t xml:space="preserve">anti- </w:t>
            </w:r>
            <w:r w:rsidR="000D5177">
              <w:t xml:space="preserve">CD56-PC5 </w:t>
            </w:r>
          </w:p>
        </w:tc>
        <w:tc>
          <w:tcPr>
            <w:tcW w:w="2080" w:type="dxa"/>
            <w:tcBorders>
              <w:top w:val="nil"/>
              <w:left w:val="nil"/>
              <w:bottom w:val="single" w:sz="4" w:space="0" w:color="auto"/>
              <w:right w:val="single" w:sz="4" w:space="0" w:color="auto"/>
            </w:tcBorders>
            <w:shd w:val="clear" w:color="auto" w:fill="auto"/>
            <w:noWrap/>
            <w:vAlign w:val="center"/>
            <w:hideMark/>
          </w:tcPr>
          <w:p w14:paraId="2D06D71D" w14:textId="77777777" w:rsidR="003841A0" w:rsidRPr="007A39EE" w:rsidRDefault="000D5177" w:rsidP="000D5177">
            <w:pPr>
              <w:jc w:val="center"/>
            </w:pPr>
            <w:r>
              <w:t>N901</w:t>
            </w:r>
          </w:p>
        </w:tc>
        <w:tc>
          <w:tcPr>
            <w:tcW w:w="1889" w:type="dxa"/>
            <w:gridSpan w:val="3"/>
            <w:tcBorders>
              <w:top w:val="nil"/>
              <w:left w:val="nil"/>
              <w:bottom w:val="single" w:sz="4" w:space="0" w:color="auto"/>
              <w:right w:val="single" w:sz="4" w:space="0" w:color="auto"/>
            </w:tcBorders>
            <w:shd w:val="clear" w:color="auto" w:fill="auto"/>
            <w:noWrap/>
            <w:vAlign w:val="center"/>
            <w:hideMark/>
          </w:tcPr>
          <w:p w14:paraId="7A7749C6" w14:textId="77777777" w:rsidR="003841A0" w:rsidRPr="007A39EE" w:rsidRDefault="000D5177" w:rsidP="000D5177">
            <w:pPr>
              <w:jc w:val="center"/>
            </w:pPr>
            <w:r>
              <w:t>A07789</w:t>
            </w:r>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4D5633C1" w14:textId="77777777" w:rsidR="003841A0" w:rsidRPr="007A39EE" w:rsidRDefault="000D5177" w:rsidP="000D5177">
            <w:pPr>
              <w:jc w:val="center"/>
            </w:pPr>
            <w:proofErr w:type="spellStart"/>
            <w:r>
              <w:t>Beckman</w:t>
            </w:r>
            <w:proofErr w:type="spellEnd"/>
            <w:r>
              <w:t xml:space="preserve"> Coulter</w:t>
            </w:r>
          </w:p>
        </w:tc>
      </w:tr>
      <w:tr w:rsidR="003841A0" w:rsidRPr="007A39EE" w14:paraId="4B0EE031" w14:textId="77777777" w:rsidTr="73830063">
        <w:trPr>
          <w:gridAfter w:val="1"/>
          <w:wAfter w:w="12" w:type="dxa"/>
          <w:trHeight w:val="32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16CB747D" w14:textId="2267A887" w:rsidR="003841A0" w:rsidRPr="007A39EE" w:rsidRDefault="0E766E26" w:rsidP="73830063">
            <w:pPr>
              <w:jc w:val="center"/>
            </w:pPr>
            <w:r>
              <w:t xml:space="preserve">anti- </w:t>
            </w:r>
            <w:r w:rsidR="000D5177">
              <w:t xml:space="preserve">CD8-PC7 </w:t>
            </w:r>
          </w:p>
        </w:tc>
        <w:tc>
          <w:tcPr>
            <w:tcW w:w="2080" w:type="dxa"/>
            <w:tcBorders>
              <w:top w:val="nil"/>
              <w:left w:val="nil"/>
              <w:bottom w:val="single" w:sz="4" w:space="0" w:color="auto"/>
              <w:right w:val="single" w:sz="4" w:space="0" w:color="auto"/>
            </w:tcBorders>
            <w:shd w:val="clear" w:color="auto" w:fill="auto"/>
            <w:noWrap/>
            <w:vAlign w:val="center"/>
            <w:hideMark/>
          </w:tcPr>
          <w:p w14:paraId="16408C4C" w14:textId="77777777" w:rsidR="003841A0" w:rsidRPr="007A39EE" w:rsidRDefault="000D5177" w:rsidP="000D5177">
            <w:pPr>
              <w:jc w:val="center"/>
            </w:pPr>
            <w:r>
              <w:t>SFCI21Thy2D3</w:t>
            </w:r>
          </w:p>
        </w:tc>
        <w:tc>
          <w:tcPr>
            <w:tcW w:w="1889" w:type="dxa"/>
            <w:gridSpan w:val="3"/>
            <w:tcBorders>
              <w:top w:val="nil"/>
              <w:left w:val="nil"/>
              <w:bottom w:val="single" w:sz="4" w:space="0" w:color="auto"/>
              <w:right w:val="single" w:sz="4" w:space="0" w:color="auto"/>
            </w:tcBorders>
            <w:shd w:val="clear" w:color="auto" w:fill="auto"/>
            <w:noWrap/>
            <w:vAlign w:val="center"/>
            <w:hideMark/>
          </w:tcPr>
          <w:p w14:paraId="4552EB84" w14:textId="77777777" w:rsidR="003841A0" w:rsidRPr="007A39EE" w:rsidRDefault="000D5177" w:rsidP="000D5177">
            <w:pPr>
              <w:jc w:val="center"/>
            </w:pPr>
            <w:r>
              <w:t>737661</w:t>
            </w:r>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192211BB" w14:textId="77777777" w:rsidR="003841A0" w:rsidRPr="007A39EE" w:rsidRDefault="000D5177" w:rsidP="000D5177">
            <w:pPr>
              <w:jc w:val="center"/>
            </w:pPr>
            <w:proofErr w:type="spellStart"/>
            <w:r>
              <w:t>Beckman</w:t>
            </w:r>
            <w:proofErr w:type="spellEnd"/>
            <w:r>
              <w:t xml:space="preserve"> Coulter</w:t>
            </w:r>
          </w:p>
        </w:tc>
      </w:tr>
      <w:tr w:rsidR="003841A0" w:rsidRPr="007A39EE" w14:paraId="16958EDA" w14:textId="77777777" w:rsidTr="73830063">
        <w:trPr>
          <w:gridAfter w:val="1"/>
          <w:wAfter w:w="12" w:type="dxa"/>
          <w:trHeight w:val="32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14BB868E" w14:textId="394CC037" w:rsidR="003841A0" w:rsidRPr="007A39EE" w:rsidRDefault="0E766E26" w:rsidP="73830063">
            <w:pPr>
              <w:jc w:val="center"/>
            </w:pPr>
            <w:r>
              <w:t xml:space="preserve">anti- </w:t>
            </w:r>
            <w:r w:rsidR="000D5177">
              <w:t xml:space="preserve">TIGIT-APC </w:t>
            </w:r>
          </w:p>
        </w:tc>
        <w:tc>
          <w:tcPr>
            <w:tcW w:w="2080" w:type="dxa"/>
            <w:tcBorders>
              <w:top w:val="nil"/>
              <w:left w:val="nil"/>
              <w:bottom w:val="single" w:sz="4" w:space="0" w:color="auto"/>
              <w:right w:val="single" w:sz="4" w:space="0" w:color="auto"/>
            </w:tcBorders>
            <w:shd w:val="clear" w:color="auto" w:fill="auto"/>
            <w:noWrap/>
            <w:vAlign w:val="center"/>
            <w:hideMark/>
          </w:tcPr>
          <w:p w14:paraId="7925A563" w14:textId="77777777" w:rsidR="003841A0" w:rsidRPr="007A39EE" w:rsidRDefault="000D5177" w:rsidP="000D5177">
            <w:pPr>
              <w:jc w:val="center"/>
            </w:pPr>
            <w:r>
              <w:t>MBSA43</w:t>
            </w:r>
          </w:p>
        </w:tc>
        <w:tc>
          <w:tcPr>
            <w:tcW w:w="1889" w:type="dxa"/>
            <w:gridSpan w:val="3"/>
            <w:tcBorders>
              <w:top w:val="nil"/>
              <w:left w:val="nil"/>
              <w:bottom w:val="single" w:sz="4" w:space="0" w:color="auto"/>
              <w:right w:val="single" w:sz="4" w:space="0" w:color="auto"/>
            </w:tcBorders>
            <w:shd w:val="clear" w:color="auto" w:fill="auto"/>
            <w:noWrap/>
            <w:vAlign w:val="center"/>
            <w:hideMark/>
          </w:tcPr>
          <w:p w14:paraId="3446C2D3" w14:textId="77777777" w:rsidR="003841A0" w:rsidRPr="007A39EE" w:rsidRDefault="000D5177" w:rsidP="000D5177">
            <w:pPr>
              <w:jc w:val="center"/>
            </w:pPr>
            <w:r>
              <w:t xml:space="preserve">17-9500-42 </w:t>
            </w:r>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19ACD5DF" w14:textId="77777777" w:rsidR="003841A0" w:rsidRPr="007A39EE" w:rsidRDefault="000D5177" w:rsidP="000D5177">
            <w:pPr>
              <w:jc w:val="center"/>
            </w:pPr>
            <w:proofErr w:type="spellStart"/>
            <w:r>
              <w:t>eBiosciences</w:t>
            </w:r>
            <w:proofErr w:type="spellEnd"/>
          </w:p>
        </w:tc>
      </w:tr>
      <w:tr w:rsidR="003841A0" w:rsidRPr="007A39EE" w14:paraId="70AED3D8" w14:textId="77777777" w:rsidTr="73830063">
        <w:trPr>
          <w:gridAfter w:val="1"/>
          <w:wAfter w:w="12" w:type="dxa"/>
          <w:trHeight w:val="32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0295F593" w14:textId="0A8F8870" w:rsidR="003841A0" w:rsidRPr="007A39EE" w:rsidRDefault="1D54A8B0" w:rsidP="73830063">
            <w:pPr>
              <w:jc w:val="center"/>
            </w:pPr>
            <w:r>
              <w:t xml:space="preserve">anti- </w:t>
            </w:r>
            <w:r w:rsidR="000D5177">
              <w:t xml:space="preserve">Vb1-FITC </w:t>
            </w:r>
          </w:p>
        </w:tc>
        <w:tc>
          <w:tcPr>
            <w:tcW w:w="2080" w:type="dxa"/>
            <w:tcBorders>
              <w:top w:val="nil"/>
              <w:left w:val="nil"/>
              <w:bottom w:val="single" w:sz="4" w:space="0" w:color="auto"/>
              <w:right w:val="single" w:sz="4" w:space="0" w:color="auto"/>
            </w:tcBorders>
            <w:shd w:val="clear" w:color="auto" w:fill="auto"/>
            <w:noWrap/>
            <w:vAlign w:val="center"/>
            <w:hideMark/>
          </w:tcPr>
          <w:p w14:paraId="4DFABA9B" w14:textId="77777777" w:rsidR="003841A0" w:rsidRPr="007A39EE" w:rsidRDefault="000D5177" w:rsidP="000D5177">
            <w:pPr>
              <w:jc w:val="center"/>
            </w:pPr>
            <w:r>
              <w:t>BL37.2</w:t>
            </w:r>
          </w:p>
        </w:tc>
        <w:tc>
          <w:tcPr>
            <w:tcW w:w="1889" w:type="dxa"/>
            <w:gridSpan w:val="3"/>
            <w:tcBorders>
              <w:top w:val="nil"/>
              <w:left w:val="nil"/>
              <w:bottom w:val="single" w:sz="4" w:space="0" w:color="auto"/>
              <w:right w:val="single" w:sz="4" w:space="0" w:color="auto"/>
            </w:tcBorders>
            <w:shd w:val="clear" w:color="auto" w:fill="auto"/>
            <w:noWrap/>
            <w:vAlign w:val="center"/>
            <w:hideMark/>
          </w:tcPr>
          <w:p w14:paraId="26D59A9D" w14:textId="77777777" w:rsidR="003841A0" w:rsidRPr="007A39EE" w:rsidRDefault="000D5177" w:rsidP="000D5177">
            <w:pPr>
              <w:jc w:val="center"/>
            </w:pPr>
            <w:r>
              <w:t>IM2406</w:t>
            </w:r>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6B993C65" w14:textId="77777777" w:rsidR="003841A0" w:rsidRPr="007A39EE" w:rsidRDefault="000D5177" w:rsidP="000D5177">
            <w:pPr>
              <w:jc w:val="center"/>
            </w:pPr>
            <w:proofErr w:type="spellStart"/>
            <w:r>
              <w:t>Beckman</w:t>
            </w:r>
            <w:proofErr w:type="spellEnd"/>
            <w:r>
              <w:t xml:space="preserve"> Coulter</w:t>
            </w:r>
          </w:p>
        </w:tc>
      </w:tr>
      <w:tr w:rsidR="003841A0" w:rsidRPr="007A39EE" w14:paraId="12055A9E" w14:textId="77777777" w:rsidTr="73830063">
        <w:trPr>
          <w:gridAfter w:val="1"/>
          <w:wAfter w:w="12" w:type="dxa"/>
          <w:trHeight w:val="32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7E01E7B2" w14:textId="41BE536C" w:rsidR="003841A0" w:rsidRPr="007A39EE" w:rsidRDefault="1D54A8B0" w:rsidP="73830063">
            <w:pPr>
              <w:jc w:val="center"/>
            </w:pPr>
            <w:r>
              <w:t xml:space="preserve">anti- </w:t>
            </w:r>
            <w:r w:rsidR="000D5177">
              <w:t xml:space="preserve">Vb13.1-FITC </w:t>
            </w:r>
          </w:p>
        </w:tc>
        <w:tc>
          <w:tcPr>
            <w:tcW w:w="2080" w:type="dxa"/>
            <w:tcBorders>
              <w:top w:val="nil"/>
              <w:left w:val="nil"/>
              <w:bottom w:val="single" w:sz="4" w:space="0" w:color="auto"/>
              <w:right w:val="single" w:sz="4" w:space="0" w:color="auto"/>
            </w:tcBorders>
            <w:shd w:val="clear" w:color="auto" w:fill="auto"/>
            <w:noWrap/>
            <w:vAlign w:val="center"/>
            <w:hideMark/>
          </w:tcPr>
          <w:p w14:paraId="2A229CF7" w14:textId="77777777" w:rsidR="003841A0" w:rsidRPr="007A39EE" w:rsidRDefault="000D5177" w:rsidP="000D5177">
            <w:pPr>
              <w:jc w:val="center"/>
            </w:pPr>
            <w:r>
              <w:t>IMMU 222</w:t>
            </w:r>
          </w:p>
        </w:tc>
        <w:tc>
          <w:tcPr>
            <w:tcW w:w="1889" w:type="dxa"/>
            <w:gridSpan w:val="3"/>
            <w:tcBorders>
              <w:top w:val="nil"/>
              <w:left w:val="nil"/>
              <w:bottom w:val="single" w:sz="4" w:space="0" w:color="auto"/>
              <w:right w:val="single" w:sz="4" w:space="0" w:color="auto"/>
            </w:tcBorders>
            <w:shd w:val="clear" w:color="auto" w:fill="auto"/>
            <w:noWrap/>
            <w:vAlign w:val="center"/>
            <w:hideMark/>
          </w:tcPr>
          <w:p w14:paraId="0CEC689B" w14:textId="77777777" w:rsidR="003841A0" w:rsidRPr="007A39EE" w:rsidRDefault="000D5177" w:rsidP="000D5177">
            <w:pPr>
              <w:jc w:val="center"/>
            </w:pPr>
            <w:r>
              <w:t>IM1554</w:t>
            </w:r>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6475B09D" w14:textId="77777777" w:rsidR="003841A0" w:rsidRPr="007A39EE" w:rsidRDefault="000D5177" w:rsidP="000D5177">
            <w:pPr>
              <w:jc w:val="center"/>
            </w:pPr>
            <w:proofErr w:type="spellStart"/>
            <w:r>
              <w:t>Beckman</w:t>
            </w:r>
            <w:proofErr w:type="spellEnd"/>
            <w:r>
              <w:t xml:space="preserve"> Coulter</w:t>
            </w:r>
          </w:p>
        </w:tc>
      </w:tr>
      <w:tr w:rsidR="003841A0" w:rsidRPr="007A39EE" w14:paraId="7E20B81B" w14:textId="77777777" w:rsidTr="73830063">
        <w:trPr>
          <w:gridAfter w:val="1"/>
          <w:wAfter w:w="12" w:type="dxa"/>
          <w:trHeight w:val="32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7272223B" w14:textId="2958B398" w:rsidR="003841A0" w:rsidRPr="007A39EE" w:rsidRDefault="28738F0C" w:rsidP="73830063">
            <w:pPr>
              <w:jc w:val="center"/>
            </w:pPr>
            <w:r>
              <w:t xml:space="preserve">anti- </w:t>
            </w:r>
            <w:r w:rsidR="000D5177">
              <w:t xml:space="preserve">Vb13.6-FITC </w:t>
            </w:r>
          </w:p>
        </w:tc>
        <w:tc>
          <w:tcPr>
            <w:tcW w:w="2080" w:type="dxa"/>
            <w:tcBorders>
              <w:top w:val="nil"/>
              <w:left w:val="nil"/>
              <w:bottom w:val="single" w:sz="4" w:space="0" w:color="auto"/>
              <w:right w:val="single" w:sz="4" w:space="0" w:color="auto"/>
            </w:tcBorders>
            <w:shd w:val="clear" w:color="auto" w:fill="auto"/>
            <w:noWrap/>
            <w:vAlign w:val="center"/>
            <w:hideMark/>
          </w:tcPr>
          <w:p w14:paraId="1F98328A" w14:textId="77777777" w:rsidR="003841A0" w:rsidRPr="007A39EE" w:rsidRDefault="000D5177" w:rsidP="000D5177">
            <w:pPr>
              <w:jc w:val="center"/>
            </w:pPr>
            <w:r>
              <w:t>JU74.3</w:t>
            </w:r>
          </w:p>
        </w:tc>
        <w:tc>
          <w:tcPr>
            <w:tcW w:w="1889" w:type="dxa"/>
            <w:gridSpan w:val="3"/>
            <w:tcBorders>
              <w:top w:val="nil"/>
              <w:left w:val="nil"/>
              <w:bottom w:val="single" w:sz="4" w:space="0" w:color="auto"/>
              <w:right w:val="single" w:sz="4" w:space="0" w:color="auto"/>
            </w:tcBorders>
            <w:shd w:val="clear" w:color="auto" w:fill="auto"/>
            <w:noWrap/>
            <w:vAlign w:val="center"/>
            <w:hideMark/>
          </w:tcPr>
          <w:p w14:paraId="2CD78A69" w14:textId="77777777" w:rsidR="003841A0" w:rsidRPr="007A39EE" w:rsidRDefault="000D5177" w:rsidP="000D5177">
            <w:pPr>
              <w:jc w:val="center"/>
            </w:pPr>
            <w:r>
              <w:t>IM1330</w:t>
            </w:r>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63E5B369" w14:textId="77777777" w:rsidR="003841A0" w:rsidRPr="007A39EE" w:rsidRDefault="000D5177" w:rsidP="000D5177">
            <w:pPr>
              <w:jc w:val="center"/>
            </w:pPr>
            <w:proofErr w:type="spellStart"/>
            <w:r>
              <w:t>Beckman</w:t>
            </w:r>
            <w:proofErr w:type="spellEnd"/>
            <w:r>
              <w:t xml:space="preserve"> Coulter</w:t>
            </w:r>
          </w:p>
        </w:tc>
      </w:tr>
      <w:tr w:rsidR="003841A0" w:rsidRPr="007A39EE" w14:paraId="24BEB62D" w14:textId="77777777" w:rsidTr="73830063">
        <w:trPr>
          <w:gridAfter w:val="1"/>
          <w:wAfter w:w="12" w:type="dxa"/>
          <w:trHeight w:val="32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4843D267" w14:textId="055F18AE" w:rsidR="003841A0" w:rsidRPr="007A39EE" w:rsidRDefault="2BA3744D" w:rsidP="73830063">
            <w:pPr>
              <w:jc w:val="center"/>
            </w:pPr>
            <w:r>
              <w:t xml:space="preserve">anti- </w:t>
            </w:r>
            <w:r w:rsidR="000D5177">
              <w:t xml:space="preserve">Vb16-FITC </w:t>
            </w:r>
          </w:p>
        </w:tc>
        <w:tc>
          <w:tcPr>
            <w:tcW w:w="2080" w:type="dxa"/>
            <w:tcBorders>
              <w:top w:val="nil"/>
              <w:left w:val="nil"/>
              <w:bottom w:val="single" w:sz="4" w:space="0" w:color="auto"/>
              <w:right w:val="single" w:sz="4" w:space="0" w:color="auto"/>
            </w:tcBorders>
            <w:shd w:val="clear" w:color="auto" w:fill="auto"/>
            <w:noWrap/>
            <w:vAlign w:val="center"/>
            <w:hideMark/>
          </w:tcPr>
          <w:p w14:paraId="6CEB9727" w14:textId="77777777" w:rsidR="003841A0" w:rsidRPr="007A39EE" w:rsidRDefault="000D5177" w:rsidP="000D5177">
            <w:pPr>
              <w:jc w:val="center"/>
            </w:pPr>
            <w:r>
              <w:t>TAMAYA1.2</w:t>
            </w:r>
          </w:p>
        </w:tc>
        <w:tc>
          <w:tcPr>
            <w:tcW w:w="1889" w:type="dxa"/>
            <w:gridSpan w:val="3"/>
            <w:tcBorders>
              <w:top w:val="nil"/>
              <w:left w:val="nil"/>
              <w:bottom w:val="single" w:sz="4" w:space="0" w:color="auto"/>
              <w:right w:val="single" w:sz="4" w:space="0" w:color="auto"/>
            </w:tcBorders>
            <w:shd w:val="clear" w:color="auto" w:fill="auto"/>
            <w:noWrap/>
            <w:vAlign w:val="center"/>
            <w:hideMark/>
          </w:tcPr>
          <w:p w14:paraId="251295ED" w14:textId="77777777" w:rsidR="003841A0" w:rsidRPr="007A39EE" w:rsidRDefault="000D5177" w:rsidP="000D5177">
            <w:pPr>
              <w:jc w:val="center"/>
            </w:pPr>
            <w:r>
              <w:t>IM1560</w:t>
            </w:r>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550E6828" w14:textId="77777777" w:rsidR="003841A0" w:rsidRPr="007A39EE" w:rsidRDefault="000D5177" w:rsidP="000D5177">
            <w:pPr>
              <w:jc w:val="center"/>
            </w:pPr>
            <w:proofErr w:type="spellStart"/>
            <w:r>
              <w:t>Beckman</w:t>
            </w:r>
            <w:proofErr w:type="spellEnd"/>
            <w:r>
              <w:t xml:space="preserve"> Coulter</w:t>
            </w:r>
          </w:p>
        </w:tc>
      </w:tr>
      <w:tr w:rsidR="003841A0" w:rsidRPr="007A39EE" w14:paraId="4B6C3EBA" w14:textId="77777777" w:rsidTr="73830063">
        <w:trPr>
          <w:gridAfter w:val="1"/>
          <w:wAfter w:w="12" w:type="dxa"/>
          <w:trHeight w:val="32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435FA88D" w14:textId="5D46F82A" w:rsidR="003841A0" w:rsidRPr="007A39EE" w:rsidRDefault="48DCC981" w:rsidP="73830063">
            <w:pPr>
              <w:jc w:val="center"/>
            </w:pPr>
            <w:r>
              <w:t xml:space="preserve">anti- </w:t>
            </w:r>
            <w:r w:rsidR="000D5177">
              <w:t xml:space="preserve">Vb17-FITC </w:t>
            </w:r>
          </w:p>
        </w:tc>
        <w:tc>
          <w:tcPr>
            <w:tcW w:w="2080" w:type="dxa"/>
            <w:tcBorders>
              <w:top w:val="nil"/>
              <w:left w:val="nil"/>
              <w:bottom w:val="single" w:sz="4" w:space="0" w:color="auto"/>
              <w:right w:val="single" w:sz="4" w:space="0" w:color="auto"/>
            </w:tcBorders>
            <w:shd w:val="clear" w:color="auto" w:fill="auto"/>
            <w:noWrap/>
            <w:vAlign w:val="center"/>
            <w:hideMark/>
          </w:tcPr>
          <w:p w14:paraId="47D1F8A6" w14:textId="77777777" w:rsidR="003841A0" w:rsidRPr="007A39EE" w:rsidRDefault="000D5177" w:rsidP="000D5177">
            <w:pPr>
              <w:jc w:val="center"/>
            </w:pPr>
            <w:r>
              <w:t>E17.5F3.15.13</w:t>
            </w:r>
          </w:p>
        </w:tc>
        <w:tc>
          <w:tcPr>
            <w:tcW w:w="1889" w:type="dxa"/>
            <w:gridSpan w:val="3"/>
            <w:tcBorders>
              <w:top w:val="nil"/>
              <w:left w:val="nil"/>
              <w:bottom w:val="single" w:sz="4" w:space="0" w:color="auto"/>
              <w:right w:val="single" w:sz="4" w:space="0" w:color="auto"/>
            </w:tcBorders>
            <w:shd w:val="clear" w:color="auto" w:fill="auto"/>
            <w:noWrap/>
            <w:vAlign w:val="center"/>
            <w:hideMark/>
          </w:tcPr>
          <w:p w14:paraId="5D3CC076" w14:textId="77777777" w:rsidR="003841A0" w:rsidRPr="007A39EE" w:rsidRDefault="000D5177" w:rsidP="000D5177">
            <w:pPr>
              <w:jc w:val="center"/>
            </w:pPr>
            <w:r>
              <w:t>IM1234</w:t>
            </w:r>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7EB045A1" w14:textId="77777777" w:rsidR="003841A0" w:rsidRPr="007A39EE" w:rsidRDefault="000D5177" w:rsidP="000D5177">
            <w:pPr>
              <w:jc w:val="center"/>
            </w:pPr>
            <w:proofErr w:type="spellStart"/>
            <w:r>
              <w:t>Beckman</w:t>
            </w:r>
            <w:proofErr w:type="spellEnd"/>
            <w:r>
              <w:t xml:space="preserve"> Coulter</w:t>
            </w:r>
          </w:p>
        </w:tc>
      </w:tr>
      <w:tr w:rsidR="003841A0" w:rsidRPr="007A39EE" w14:paraId="187442F6" w14:textId="77777777" w:rsidTr="73830063">
        <w:trPr>
          <w:gridAfter w:val="1"/>
          <w:wAfter w:w="12" w:type="dxa"/>
          <w:trHeight w:val="32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12AF4E8C" w14:textId="589B4C92" w:rsidR="003841A0" w:rsidRPr="007A39EE" w:rsidRDefault="512AE678" w:rsidP="73830063">
            <w:pPr>
              <w:jc w:val="center"/>
            </w:pPr>
            <w:r>
              <w:t xml:space="preserve">anti- </w:t>
            </w:r>
            <w:r w:rsidR="000D5177">
              <w:t xml:space="preserve">Vb18-PE </w:t>
            </w:r>
          </w:p>
        </w:tc>
        <w:tc>
          <w:tcPr>
            <w:tcW w:w="2080" w:type="dxa"/>
            <w:tcBorders>
              <w:top w:val="nil"/>
              <w:left w:val="nil"/>
              <w:bottom w:val="single" w:sz="4" w:space="0" w:color="auto"/>
              <w:right w:val="single" w:sz="4" w:space="0" w:color="auto"/>
            </w:tcBorders>
            <w:shd w:val="clear" w:color="auto" w:fill="auto"/>
            <w:noWrap/>
            <w:vAlign w:val="center"/>
            <w:hideMark/>
          </w:tcPr>
          <w:p w14:paraId="6A6516B1" w14:textId="77777777" w:rsidR="003841A0" w:rsidRPr="007A39EE" w:rsidRDefault="000D5177" w:rsidP="000D5177">
            <w:pPr>
              <w:jc w:val="center"/>
            </w:pPr>
            <w:r>
              <w:t>BA62.6</w:t>
            </w:r>
          </w:p>
        </w:tc>
        <w:tc>
          <w:tcPr>
            <w:tcW w:w="1889" w:type="dxa"/>
            <w:gridSpan w:val="3"/>
            <w:tcBorders>
              <w:top w:val="nil"/>
              <w:left w:val="nil"/>
              <w:bottom w:val="single" w:sz="4" w:space="0" w:color="auto"/>
              <w:right w:val="single" w:sz="4" w:space="0" w:color="auto"/>
            </w:tcBorders>
            <w:shd w:val="clear" w:color="auto" w:fill="auto"/>
            <w:noWrap/>
            <w:vAlign w:val="center"/>
            <w:hideMark/>
          </w:tcPr>
          <w:p w14:paraId="4324693B" w14:textId="77777777" w:rsidR="003841A0" w:rsidRPr="007A39EE" w:rsidRDefault="000D5177" w:rsidP="000D5177">
            <w:pPr>
              <w:jc w:val="center"/>
            </w:pPr>
            <w:r>
              <w:t>IM2049</w:t>
            </w:r>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66E5C99C" w14:textId="77777777" w:rsidR="003841A0" w:rsidRPr="007A39EE" w:rsidRDefault="000D5177" w:rsidP="000D5177">
            <w:pPr>
              <w:jc w:val="center"/>
            </w:pPr>
            <w:proofErr w:type="spellStart"/>
            <w:r>
              <w:t>Beckman</w:t>
            </w:r>
            <w:proofErr w:type="spellEnd"/>
            <w:r>
              <w:t xml:space="preserve"> Coulter</w:t>
            </w:r>
          </w:p>
        </w:tc>
      </w:tr>
      <w:tr w:rsidR="003841A0" w:rsidRPr="007A39EE" w14:paraId="5008FAFA" w14:textId="77777777" w:rsidTr="73830063">
        <w:trPr>
          <w:gridAfter w:val="1"/>
          <w:wAfter w:w="12" w:type="dxa"/>
          <w:trHeight w:val="32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3F399050" w14:textId="2D456DBB" w:rsidR="003841A0" w:rsidRPr="007A39EE" w:rsidRDefault="1547D8E0" w:rsidP="73830063">
            <w:pPr>
              <w:jc w:val="center"/>
            </w:pPr>
            <w:r>
              <w:t xml:space="preserve">anti- </w:t>
            </w:r>
            <w:r w:rsidR="000D5177">
              <w:t xml:space="preserve">Vb2-FITC </w:t>
            </w:r>
          </w:p>
        </w:tc>
        <w:tc>
          <w:tcPr>
            <w:tcW w:w="2080" w:type="dxa"/>
            <w:tcBorders>
              <w:top w:val="nil"/>
              <w:left w:val="nil"/>
              <w:bottom w:val="single" w:sz="4" w:space="0" w:color="auto"/>
              <w:right w:val="single" w:sz="4" w:space="0" w:color="auto"/>
            </w:tcBorders>
            <w:shd w:val="clear" w:color="auto" w:fill="auto"/>
            <w:noWrap/>
            <w:vAlign w:val="center"/>
            <w:hideMark/>
          </w:tcPr>
          <w:p w14:paraId="1E6228B4" w14:textId="77777777" w:rsidR="003841A0" w:rsidRPr="007A39EE" w:rsidRDefault="000D5177" w:rsidP="000D5177">
            <w:pPr>
              <w:jc w:val="center"/>
            </w:pPr>
            <w:r>
              <w:t>MPB2D5</w:t>
            </w:r>
          </w:p>
        </w:tc>
        <w:tc>
          <w:tcPr>
            <w:tcW w:w="1889" w:type="dxa"/>
            <w:gridSpan w:val="3"/>
            <w:tcBorders>
              <w:top w:val="nil"/>
              <w:left w:val="nil"/>
              <w:bottom w:val="single" w:sz="4" w:space="0" w:color="auto"/>
              <w:right w:val="single" w:sz="4" w:space="0" w:color="auto"/>
            </w:tcBorders>
            <w:shd w:val="clear" w:color="auto" w:fill="auto"/>
            <w:noWrap/>
            <w:vAlign w:val="center"/>
            <w:hideMark/>
          </w:tcPr>
          <w:p w14:paraId="36C03A7D" w14:textId="77777777" w:rsidR="003841A0" w:rsidRPr="007A39EE" w:rsidRDefault="000D5177" w:rsidP="000D5177">
            <w:pPr>
              <w:jc w:val="center"/>
            </w:pPr>
            <w:r>
              <w:t>IM2407</w:t>
            </w:r>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079090A0" w14:textId="77777777" w:rsidR="003841A0" w:rsidRPr="007A39EE" w:rsidRDefault="000D5177" w:rsidP="000D5177">
            <w:pPr>
              <w:jc w:val="center"/>
            </w:pPr>
            <w:proofErr w:type="spellStart"/>
            <w:r>
              <w:t>Beckman</w:t>
            </w:r>
            <w:proofErr w:type="spellEnd"/>
            <w:r>
              <w:t xml:space="preserve"> Coulter</w:t>
            </w:r>
          </w:p>
        </w:tc>
      </w:tr>
      <w:tr w:rsidR="003841A0" w:rsidRPr="007A39EE" w14:paraId="229F8EB9" w14:textId="77777777" w:rsidTr="73830063">
        <w:trPr>
          <w:gridAfter w:val="1"/>
          <w:wAfter w:w="12" w:type="dxa"/>
          <w:trHeight w:val="32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03913326" w14:textId="08030E72" w:rsidR="003841A0" w:rsidRPr="007A39EE" w:rsidRDefault="44D3E4AE" w:rsidP="73830063">
            <w:pPr>
              <w:jc w:val="center"/>
            </w:pPr>
            <w:r>
              <w:t xml:space="preserve">anti- </w:t>
            </w:r>
            <w:r w:rsidR="000D5177">
              <w:t xml:space="preserve">Vb20-FITC </w:t>
            </w:r>
          </w:p>
        </w:tc>
        <w:tc>
          <w:tcPr>
            <w:tcW w:w="2080" w:type="dxa"/>
            <w:tcBorders>
              <w:top w:val="nil"/>
              <w:left w:val="nil"/>
              <w:bottom w:val="single" w:sz="4" w:space="0" w:color="auto"/>
              <w:right w:val="single" w:sz="4" w:space="0" w:color="auto"/>
            </w:tcBorders>
            <w:shd w:val="clear" w:color="auto" w:fill="auto"/>
            <w:noWrap/>
            <w:vAlign w:val="center"/>
            <w:hideMark/>
          </w:tcPr>
          <w:p w14:paraId="7463E29D" w14:textId="77777777" w:rsidR="003841A0" w:rsidRPr="007A39EE" w:rsidRDefault="000D5177" w:rsidP="000D5177">
            <w:pPr>
              <w:jc w:val="center"/>
            </w:pPr>
            <w:r>
              <w:t>ELL1.4</w:t>
            </w:r>
          </w:p>
        </w:tc>
        <w:tc>
          <w:tcPr>
            <w:tcW w:w="1889" w:type="dxa"/>
            <w:gridSpan w:val="3"/>
            <w:tcBorders>
              <w:top w:val="nil"/>
              <w:left w:val="nil"/>
              <w:bottom w:val="single" w:sz="4" w:space="0" w:color="auto"/>
              <w:right w:val="single" w:sz="4" w:space="0" w:color="auto"/>
            </w:tcBorders>
            <w:shd w:val="clear" w:color="auto" w:fill="auto"/>
            <w:noWrap/>
            <w:vAlign w:val="center"/>
            <w:hideMark/>
          </w:tcPr>
          <w:p w14:paraId="36F98883" w14:textId="77777777" w:rsidR="003841A0" w:rsidRPr="007A39EE" w:rsidRDefault="000D5177" w:rsidP="000D5177">
            <w:pPr>
              <w:jc w:val="center"/>
            </w:pPr>
            <w:r>
              <w:t>IM1562</w:t>
            </w:r>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1DF6DD96" w14:textId="77777777" w:rsidR="003841A0" w:rsidRPr="007A39EE" w:rsidRDefault="000D5177" w:rsidP="000D5177">
            <w:pPr>
              <w:jc w:val="center"/>
            </w:pPr>
            <w:proofErr w:type="spellStart"/>
            <w:r>
              <w:t>Beckman</w:t>
            </w:r>
            <w:proofErr w:type="spellEnd"/>
            <w:r>
              <w:t xml:space="preserve"> Coulter</w:t>
            </w:r>
          </w:p>
        </w:tc>
      </w:tr>
      <w:tr w:rsidR="003841A0" w:rsidRPr="007A39EE" w14:paraId="018C11F2" w14:textId="77777777" w:rsidTr="73830063">
        <w:trPr>
          <w:gridAfter w:val="1"/>
          <w:wAfter w:w="12" w:type="dxa"/>
          <w:trHeight w:val="32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5E3310C5" w14:textId="21C33A67" w:rsidR="003841A0" w:rsidRPr="007A39EE" w:rsidRDefault="2883A180" w:rsidP="73830063">
            <w:pPr>
              <w:jc w:val="center"/>
            </w:pPr>
            <w:r>
              <w:t xml:space="preserve">anti- </w:t>
            </w:r>
            <w:r w:rsidR="000D5177">
              <w:t xml:space="preserve">Vb7.2-FITC </w:t>
            </w:r>
          </w:p>
        </w:tc>
        <w:tc>
          <w:tcPr>
            <w:tcW w:w="2080" w:type="dxa"/>
            <w:tcBorders>
              <w:top w:val="nil"/>
              <w:left w:val="nil"/>
              <w:bottom w:val="single" w:sz="4" w:space="0" w:color="auto"/>
              <w:right w:val="single" w:sz="4" w:space="0" w:color="auto"/>
            </w:tcBorders>
            <w:shd w:val="clear" w:color="auto" w:fill="auto"/>
            <w:noWrap/>
            <w:vAlign w:val="center"/>
            <w:hideMark/>
          </w:tcPr>
          <w:p w14:paraId="68172CEE" w14:textId="77777777" w:rsidR="003841A0" w:rsidRPr="007A39EE" w:rsidRDefault="000D5177" w:rsidP="000D5177">
            <w:pPr>
              <w:jc w:val="center"/>
            </w:pPr>
            <w:r>
              <w:t>ZIZOU4</w:t>
            </w:r>
          </w:p>
        </w:tc>
        <w:tc>
          <w:tcPr>
            <w:tcW w:w="1889" w:type="dxa"/>
            <w:gridSpan w:val="3"/>
            <w:tcBorders>
              <w:top w:val="nil"/>
              <w:left w:val="nil"/>
              <w:bottom w:val="single" w:sz="4" w:space="0" w:color="auto"/>
              <w:right w:val="single" w:sz="4" w:space="0" w:color="auto"/>
            </w:tcBorders>
            <w:shd w:val="clear" w:color="auto" w:fill="auto"/>
            <w:noWrap/>
            <w:vAlign w:val="center"/>
            <w:hideMark/>
          </w:tcPr>
          <w:p w14:paraId="5C239EB8" w14:textId="77777777" w:rsidR="003841A0" w:rsidRPr="007A39EE" w:rsidRDefault="000D5177" w:rsidP="000D5177">
            <w:pPr>
              <w:jc w:val="center"/>
            </w:pPr>
            <w:r>
              <w:t>B06666</w:t>
            </w:r>
          </w:p>
        </w:tc>
        <w:tc>
          <w:tcPr>
            <w:tcW w:w="2023" w:type="dxa"/>
            <w:gridSpan w:val="2"/>
            <w:tcBorders>
              <w:top w:val="nil"/>
              <w:left w:val="nil"/>
              <w:bottom w:val="single" w:sz="4" w:space="0" w:color="auto"/>
              <w:right w:val="single" w:sz="4" w:space="0" w:color="auto"/>
            </w:tcBorders>
            <w:shd w:val="clear" w:color="auto" w:fill="auto"/>
            <w:noWrap/>
            <w:vAlign w:val="center"/>
            <w:hideMark/>
          </w:tcPr>
          <w:p w14:paraId="5D8CE723" w14:textId="77777777" w:rsidR="003841A0" w:rsidRPr="007A39EE" w:rsidRDefault="000D5177" w:rsidP="000D5177">
            <w:pPr>
              <w:jc w:val="center"/>
            </w:pPr>
            <w:proofErr w:type="spellStart"/>
            <w:r>
              <w:t>Beckman</w:t>
            </w:r>
            <w:proofErr w:type="spellEnd"/>
            <w:r>
              <w:t xml:space="preserve"> Coulter</w:t>
            </w:r>
          </w:p>
        </w:tc>
      </w:tr>
    </w:tbl>
    <w:p w14:paraId="106347AC" w14:textId="77777777" w:rsidR="003841A0" w:rsidRPr="00621EA5" w:rsidRDefault="003841A0" w:rsidP="007B0B0B">
      <w:pPr>
        <w:jc w:val="both"/>
      </w:pPr>
    </w:p>
    <w:sectPr w:rsidR="003841A0" w:rsidRPr="00621EA5" w:rsidSect="00353FD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17BED" w14:textId="77777777" w:rsidR="004569A6" w:rsidRDefault="004569A6" w:rsidP="00467665">
      <w:r>
        <w:separator/>
      </w:r>
    </w:p>
  </w:endnote>
  <w:endnote w:type="continuationSeparator" w:id="0">
    <w:p w14:paraId="62C722CA" w14:textId="77777777" w:rsidR="004569A6" w:rsidRDefault="004569A6" w:rsidP="00467665">
      <w:r>
        <w:continuationSeparator/>
      </w:r>
    </w:p>
  </w:endnote>
  <w:endnote w:type="continuationNotice" w:id="1">
    <w:p w14:paraId="5259FF88" w14:textId="77777777" w:rsidR="004569A6" w:rsidRDefault="004569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1E023" w14:textId="77777777" w:rsidR="004569A6" w:rsidRDefault="004569A6" w:rsidP="00467665">
      <w:r>
        <w:separator/>
      </w:r>
    </w:p>
  </w:footnote>
  <w:footnote w:type="continuationSeparator" w:id="0">
    <w:p w14:paraId="0A97CC29" w14:textId="77777777" w:rsidR="004569A6" w:rsidRDefault="004569A6" w:rsidP="00467665">
      <w:r>
        <w:continuationSeparator/>
      </w:r>
    </w:p>
  </w:footnote>
  <w:footnote w:type="continuationNotice" w:id="1">
    <w:p w14:paraId="55B75C32" w14:textId="77777777" w:rsidR="004569A6" w:rsidRDefault="004569A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proofState w:spelling="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688"/>
    <w:rsid w:val="00001EC3"/>
    <w:rsid w:val="00004B3E"/>
    <w:rsid w:val="0000569A"/>
    <w:rsid w:val="000373FA"/>
    <w:rsid w:val="00040149"/>
    <w:rsid w:val="000428D2"/>
    <w:rsid w:val="00042E53"/>
    <w:rsid w:val="00045178"/>
    <w:rsid w:val="00051C96"/>
    <w:rsid w:val="0006642B"/>
    <w:rsid w:val="00067301"/>
    <w:rsid w:val="00075A0B"/>
    <w:rsid w:val="000825F6"/>
    <w:rsid w:val="00083419"/>
    <w:rsid w:val="000844CF"/>
    <w:rsid w:val="00093F07"/>
    <w:rsid w:val="00096ED1"/>
    <w:rsid w:val="000A1D00"/>
    <w:rsid w:val="000A3AAC"/>
    <w:rsid w:val="000A4363"/>
    <w:rsid w:val="000A50BF"/>
    <w:rsid w:val="000A7FAB"/>
    <w:rsid w:val="000B0688"/>
    <w:rsid w:val="000B2C23"/>
    <w:rsid w:val="000C7B80"/>
    <w:rsid w:val="000D15AB"/>
    <w:rsid w:val="000D5177"/>
    <w:rsid w:val="000E2151"/>
    <w:rsid w:val="000E230E"/>
    <w:rsid w:val="000F2C14"/>
    <w:rsid w:val="000F5259"/>
    <w:rsid w:val="000F67A0"/>
    <w:rsid w:val="000F68ED"/>
    <w:rsid w:val="000F70A9"/>
    <w:rsid w:val="00102823"/>
    <w:rsid w:val="001033ED"/>
    <w:rsid w:val="00103EDC"/>
    <w:rsid w:val="001041C4"/>
    <w:rsid w:val="00107BE9"/>
    <w:rsid w:val="00111696"/>
    <w:rsid w:val="001140ED"/>
    <w:rsid w:val="00121047"/>
    <w:rsid w:val="00130027"/>
    <w:rsid w:val="0013304A"/>
    <w:rsid w:val="00142589"/>
    <w:rsid w:val="00143E21"/>
    <w:rsid w:val="00147253"/>
    <w:rsid w:val="00152E95"/>
    <w:rsid w:val="0017056F"/>
    <w:rsid w:val="0017272F"/>
    <w:rsid w:val="001746A2"/>
    <w:rsid w:val="00174FB5"/>
    <w:rsid w:val="00175C26"/>
    <w:rsid w:val="00176857"/>
    <w:rsid w:val="00177BB1"/>
    <w:rsid w:val="001812F9"/>
    <w:rsid w:val="00183822"/>
    <w:rsid w:val="00195723"/>
    <w:rsid w:val="00195E0B"/>
    <w:rsid w:val="001B14B2"/>
    <w:rsid w:val="001B2D7E"/>
    <w:rsid w:val="001B3A4E"/>
    <w:rsid w:val="001B5E62"/>
    <w:rsid w:val="001C03E8"/>
    <w:rsid w:val="001D0EED"/>
    <w:rsid w:val="001D0F83"/>
    <w:rsid w:val="001D3728"/>
    <w:rsid w:val="001D388F"/>
    <w:rsid w:val="001E28F2"/>
    <w:rsid w:val="001F1492"/>
    <w:rsid w:val="001F2B00"/>
    <w:rsid w:val="001F46D6"/>
    <w:rsid w:val="001F706A"/>
    <w:rsid w:val="00202E0F"/>
    <w:rsid w:val="002071A5"/>
    <w:rsid w:val="00211519"/>
    <w:rsid w:val="00212ACA"/>
    <w:rsid w:val="00213523"/>
    <w:rsid w:val="00217690"/>
    <w:rsid w:val="00220608"/>
    <w:rsid w:val="00222957"/>
    <w:rsid w:val="0022712B"/>
    <w:rsid w:val="0024354F"/>
    <w:rsid w:val="00245646"/>
    <w:rsid w:val="00246DAC"/>
    <w:rsid w:val="00250069"/>
    <w:rsid w:val="002504BF"/>
    <w:rsid w:val="002558C9"/>
    <w:rsid w:val="002560AE"/>
    <w:rsid w:val="002630A0"/>
    <w:rsid w:val="00266EF5"/>
    <w:rsid w:val="0027464B"/>
    <w:rsid w:val="002772CB"/>
    <w:rsid w:val="00282668"/>
    <w:rsid w:val="002941DA"/>
    <w:rsid w:val="002A61BD"/>
    <w:rsid w:val="002A61C8"/>
    <w:rsid w:val="002A6816"/>
    <w:rsid w:val="002C07C1"/>
    <w:rsid w:val="002C0A45"/>
    <w:rsid w:val="002C0EB2"/>
    <w:rsid w:val="002C14DB"/>
    <w:rsid w:val="002C67DA"/>
    <w:rsid w:val="002D2656"/>
    <w:rsid w:val="002D3B43"/>
    <w:rsid w:val="002D40E1"/>
    <w:rsid w:val="002D57AA"/>
    <w:rsid w:val="002E6E13"/>
    <w:rsid w:val="002E6E23"/>
    <w:rsid w:val="002E74F1"/>
    <w:rsid w:val="002F4396"/>
    <w:rsid w:val="002F45CA"/>
    <w:rsid w:val="002F6711"/>
    <w:rsid w:val="00300169"/>
    <w:rsid w:val="00303A0D"/>
    <w:rsid w:val="003058B1"/>
    <w:rsid w:val="00312B11"/>
    <w:rsid w:val="00313D8E"/>
    <w:rsid w:val="00314C52"/>
    <w:rsid w:val="003222B3"/>
    <w:rsid w:val="00322E5B"/>
    <w:rsid w:val="00326655"/>
    <w:rsid w:val="0033186C"/>
    <w:rsid w:val="00342F9A"/>
    <w:rsid w:val="00350DEE"/>
    <w:rsid w:val="00353FDB"/>
    <w:rsid w:val="00355B4B"/>
    <w:rsid w:val="00355DBE"/>
    <w:rsid w:val="00363C26"/>
    <w:rsid w:val="00366411"/>
    <w:rsid w:val="003703F1"/>
    <w:rsid w:val="00382C82"/>
    <w:rsid w:val="003841A0"/>
    <w:rsid w:val="003A2E38"/>
    <w:rsid w:val="003A3466"/>
    <w:rsid w:val="003B0236"/>
    <w:rsid w:val="003B658E"/>
    <w:rsid w:val="003C59E4"/>
    <w:rsid w:val="003C7883"/>
    <w:rsid w:val="003D189A"/>
    <w:rsid w:val="003E146A"/>
    <w:rsid w:val="003E2D72"/>
    <w:rsid w:val="003E3187"/>
    <w:rsid w:val="003F50F4"/>
    <w:rsid w:val="003F554B"/>
    <w:rsid w:val="003F72B0"/>
    <w:rsid w:val="00402BA2"/>
    <w:rsid w:val="0040314B"/>
    <w:rsid w:val="004043BA"/>
    <w:rsid w:val="00413164"/>
    <w:rsid w:val="00441EC9"/>
    <w:rsid w:val="00442328"/>
    <w:rsid w:val="004550D0"/>
    <w:rsid w:val="00456883"/>
    <w:rsid w:val="004569A6"/>
    <w:rsid w:val="00457939"/>
    <w:rsid w:val="004616FF"/>
    <w:rsid w:val="00464A5E"/>
    <w:rsid w:val="00467665"/>
    <w:rsid w:val="00470B1C"/>
    <w:rsid w:val="00475675"/>
    <w:rsid w:val="004849A1"/>
    <w:rsid w:val="00485C68"/>
    <w:rsid w:val="00487DD0"/>
    <w:rsid w:val="004914A7"/>
    <w:rsid w:val="004A5A35"/>
    <w:rsid w:val="004B10CD"/>
    <w:rsid w:val="004B770C"/>
    <w:rsid w:val="004D490D"/>
    <w:rsid w:val="004E3444"/>
    <w:rsid w:val="004E617F"/>
    <w:rsid w:val="004F06E9"/>
    <w:rsid w:val="004F49D1"/>
    <w:rsid w:val="0051409A"/>
    <w:rsid w:val="005168A1"/>
    <w:rsid w:val="00521612"/>
    <w:rsid w:val="00530582"/>
    <w:rsid w:val="00533F9B"/>
    <w:rsid w:val="00537677"/>
    <w:rsid w:val="00543CE7"/>
    <w:rsid w:val="00545B92"/>
    <w:rsid w:val="00556978"/>
    <w:rsid w:val="00557F6E"/>
    <w:rsid w:val="00587B11"/>
    <w:rsid w:val="00590E5C"/>
    <w:rsid w:val="00592468"/>
    <w:rsid w:val="005956BC"/>
    <w:rsid w:val="00596BF5"/>
    <w:rsid w:val="00597351"/>
    <w:rsid w:val="005A62F1"/>
    <w:rsid w:val="005A726B"/>
    <w:rsid w:val="005B327A"/>
    <w:rsid w:val="005B59FE"/>
    <w:rsid w:val="005C0BA9"/>
    <w:rsid w:val="005C6CBC"/>
    <w:rsid w:val="005D02D2"/>
    <w:rsid w:val="005D1A20"/>
    <w:rsid w:val="005D1AA6"/>
    <w:rsid w:val="005E0D39"/>
    <w:rsid w:val="005F2242"/>
    <w:rsid w:val="005F3192"/>
    <w:rsid w:val="005F35D6"/>
    <w:rsid w:val="00620FBB"/>
    <w:rsid w:val="00621EA5"/>
    <w:rsid w:val="00627785"/>
    <w:rsid w:val="0062782F"/>
    <w:rsid w:val="00636354"/>
    <w:rsid w:val="00636EDB"/>
    <w:rsid w:val="00637116"/>
    <w:rsid w:val="00640C0E"/>
    <w:rsid w:val="00643D95"/>
    <w:rsid w:val="00644AE6"/>
    <w:rsid w:val="006451BE"/>
    <w:rsid w:val="00645B5F"/>
    <w:rsid w:val="006609F8"/>
    <w:rsid w:val="00661027"/>
    <w:rsid w:val="00684007"/>
    <w:rsid w:val="00685EBA"/>
    <w:rsid w:val="00691D12"/>
    <w:rsid w:val="00694DAA"/>
    <w:rsid w:val="006977D6"/>
    <w:rsid w:val="006A23D7"/>
    <w:rsid w:val="006A5FEF"/>
    <w:rsid w:val="006A6441"/>
    <w:rsid w:val="006B038B"/>
    <w:rsid w:val="006B50EC"/>
    <w:rsid w:val="006B73D2"/>
    <w:rsid w:val="006C3D90"/>
    <w:rsid w:val="006C758F"/>
    <w:rsid w:val="006D02D0"/>
    <w:rsid w:val="006D122F"/>
    <w:rsid w:val="006E44E9"/>
    <w:rsid w:val="006F4BA9"/>
    <w:rsid w:val="006F6D23"/>
    <w:rsid w:val="0070169A"/>
    <w:rsid w:val="00704539"/>
    <w:rsid w:val="00705D2C"/>
    <w:rsid w:val="00707925"/>
    <w:rsid w:val="00710901"/>
    <w:rsid w:val="0071101D"/>
    <w:rsid w:val="007114B9"/>
    <w:rsid w:val="0071589A"/>
    <w:rsid w:val="00716398"/>
    <w:rsid w:val="007213E3"/>
    <w:rsid w:val="00721D2B"/>
    <w:rsid w:val="00726B04"/>
    <w:rsid w:val="0072788F"/>
    <w:rsid w:val="007342E6"/>
    <w:rsid w:val="007346C2"/>
    <w:rsid w:val="0073485D"/>
    <w:rsid w:val="007366CF"/>
    <w:rsid w:val="007451A8"/>
    <w:rsid w:val="00746CDA"/>
    <w:rsid w:val="00750464"/>
    <w:rsid w:val="00755F23"/>
    <w:rsid w:val="007572E4"/>
    <w:rsid w:val="00762FDF"/>
    <w:rsid w:val="00770ABA"/>
    <w:rsid w:val="00782447"/>
    <w:rsid w:val="0078589F"/>
    <w:rsid w:val="00790FB8"/>
    <w:rsid w:val="007926B0"/>
    <w:rsid w:val="00793175"/>
    <w:rsid w:val="0079483B"/>
    <w:rsid w:val="007A3574"/>
    <w:rsid w:val="007B0B0B"/>
    <w:rsid w:val="007B41AD"/>
    <w:rsid w:val="007C3470"/>
    <w:rsid w:val="007D553D"/>
    <w:rsid w:val="007D6DE4"/>
    <w:rsid w:val="007E1CFE"/>
    <w:rsid w:val="007E5CF9"/>
    <w:rsid w:val="007E6EAB"/>
    <w:rsid w:val="007F2AF3"/>
    <w:rsid w:val="007F367B"/>
    <w:rsid w:val="007F68E4"/>
    <w:rsid w:val="007F73A7"/>
    <w:rsid w:val="008137FE"/>
    <w:rsid w:val="00823459"/>
    <w:rsid w:val="008301B9"/>
    <w:rsid w:val="00832159"/>
    <w:rsid w:val="00837397"/>
    <w:rsid w:val="0084095E"/>
    <w:rsid w:val="00846087"/>
    <w:rsid w:val="00846626"/>
    <w:rsid w:val="00847CDA"/>
    <w:rsid w:val="00847F23"/>
    <w:rsid w:val="00850F95"/>
    <w:rsid w:val="00856C7E"/>
    <w:rsid w:val="008628D7"/>
    <w:rsid w:val="0086705A"/>
    <w:rsid w:val="00873BC6"/>
    <w:rsid w:val="008834DC"/>
    <w:rsid w:val="008846BE"/>
    <w:rsid w:val="00895CB5"/>
    <w:rsid w:val="008B1065"/>
    <w:rsid w:val="008B22DA"/>
    <w:rsid w:val="008B3847"/>
    <w:rsid w:val="008B55DC"/>
    <w:rsid w:val="008C2060"/>
    <w:rsid w:val="008C36B6"/>
    <w:rsid w:val="008C5B8D"/>
    <w:rsid w:val="008C663C"/>
    <w:rsid w:val="008D3BD7"/>
    <w:rsid w:val="008E4EE9"/>
    <w:rsid w:val="008E634D"/>
    <w:rsid w:val="008E7D98"/>
    <w:rsid w:val="008F3478"/>
    <w:rsid w:val="008F374B"/>
    <w:rsid w:val="008F46D8"/>
    <w:rsid w:val="009107A5"/>
    <w:rsid w:val="0091123D"/>
    <w:rsid w:val="0091467F"/>
    <w:rsid w:val="009150FE"/>
    <w:rsid w:val="0091630B"/>
    <w:rsid w:val="00920467"/>
    <w:rsid w:val="00924C72"/>
    <w:rsid w:val="009256DA"/>
    <w:rsid w:val="0093398A"/>
    <w:rsid w:val="009374C0"/>
    <w:rsid w:val="00947471"/>
    <w:rsid w:val="00951222"/>
    <w:rsid w:val="0096038F"/>
    <w:rsid w:val="0097000D"/>
    <w:rsid w:val="009723E2"/>
    <w:rsid w:val="0097731F"/>
    <w:rsid w:val="00982F22"/>
    <w:rsid w:val="00985AC2"/>
    <w:rsid w:val="00985F27"/>
    <w:rsid w:val="009914E8"/>
    <w:rsid w:val="009A0F76"/>
    <w:rsid w:val="009B6D63"/>
    <w:rsid w:val="009C6646"/>
    <w:rsid w:val="009D0EB6"/>
    <w:rsid w:val="009F5CCC"/>
    <w:rsid w:val="00A0234D"/>
    <w:rsid w:val="00A03F0F"/>
    <w:rsid w:val="00A04155"/>
    <w:rsid w:val="00A046F5"/>
    <w:rsid w:val="00A0507B"/>
    <w:rsid w:val="00A152FF"/>
    <w:rsid w:val="00A15927"/>
    <w:rsid w:val="00A205C4"/>
    <w:rsid w:val="00A320DA"/>
    <w:rsid w:val="00A40EA1"/>
    <w:rsid w:val="00A42E5F"/>
    <w:rsid w:val="00A53E1F"/>
    <w:rsid w:val="00A57731"/>
    <w:rsid w:val="00A65416"/>
    <w:rsid w:val="00A67411"/>
    <w:rsid w:val="00A72433"/>
    <w:rsid w:val="00A82BAC"/>
    <w:rsid w:val="00A82C89"/>
    <w:rsid w:val="00A85FF2"/>
    <w:rsid w:val="00A908CF"/>
    <w:rsid w:val="00A91B85"/>
    <w:rsid w:val="00A932B8"/>
    <w:rsid w:val="00A932BF"/>
    <w:rsid w:val="00AA504F"/>
    <w:rsid w:val="00AB0877"/>
    <w:rsid w:val="00AB0CE2"/>
    <w:rsid w:val="00AC1058"/>
    <w:rsid w:val="00AE26E6"/>
    <w:rsid w:val="00AE5507"/>
    <w:rsid w:val="00AE5915"/>
    <w:rsid w:val="00AF071D"/>
    <w:rsid w:val="00AF33F8"/>
    <w:rsid w:val="00AF6F9E"/>
    <w:rsid w:val="00B010D5"/>
    <w:rsid w:val="00B029B8"/>
    <w:rsid w:val="00B04028"/>
    <w:rsid w:val="00B1003A"/>
    <w:rsid w:val="00B27B9D"/>
    <w:rsid w:val="00B317B1"/>
    <w:rsid w:val="00B31B96"/>
    <w:rsid w:val="00B31ECF"/>
    <w:rsid w:val="00B346B6"/>
    <w:rsid w:val="00B37C82"/>
    <w:rsid w:val="00B37CA4"/>
    <w:rsid w:val="00B37D03"/>
    <w:rsid w:val="00B431DA"/>
    <w:rsid w:val="00B43958"/>
    <w:rsid w:val="00B43B77"/>
    <w:rsid w:val="00B51B84"/>
    <w:rsid w:val="00B525A8"/>
    <w:rsid w:val="00B613B7"/>
    <w:rsid w:val="00B619B0"/>
    <w:rsid w:val="00B620BD"/>
    <w:rsid w:val="00B64C1F"/>
    <w:rsid w:val="00B83542"/>
    <w:rsid w:val="00B954E7"/>
    <w:rsid w:val="00BA1550"/>
    <w:rsid w:val="00BA4513"/>
    <w:rsid w:val="00BA68BC"/>
    <w:rsid w:val="00BA6EBD"/>
    <w:rsid w:val="00BB2B17"/>
    <w:rsid w:val="00BB3D01"/>
    <w:rsid w:val="00BB4B4D"/>
    <w:rsid w:val="00BB735D"/>
    <w:rsid w:val="00BC3A37"/>
    <w:rsid w:val="00BD06B4"/>
    <w:rsid w:val="00BD144D"/>
    <w:rsid w:val="00BD2542"/>
    <w:rsid w:val="00BD2C3B"/>
    <w:rsid w:val="00BD2E91"/>
    <w:rsid w:val="00BD2EA5"/>
    <w:rsid w:val="00BD6DFE"/>
    <w:rsid w:val="00BE0326"/>
    <w:rsid w:val="00BE3F48"/>
    <w:rsid w:val="00BF39C8"/>
    <w:rsid w:val="00C03FFA"/>
    <w:rsid w:val="00C05A35"/>
    <w:rsid w:val="00C14AD9"/>
    <w:rsid w:val="00C16998"/>
    <w:rsid w:val="00C17D70"/>
    <w:rsid w:val="00C222B1"/>
    <w:rsid w:val="00C33693"/>
    <w:rsid w:val="00C37381"/>
    <w:rsid w:val="00C4043D"/>
    <w:rsid w:val="00C422E8"/>
    <w:rsid w:val="00C4429A"/>
    <w:rsid w:val="00C476B2"/>
    <w:rsid w:val="00C52082"/>
    <w:rsid w:val="00C6001A"/>
    <w:rsid w:val="00C630C1"/>
    <w:rsid w:val="00C66ABE"/>
    <w:rsid w:val="00C734BA"/>
    <w:rsid w:val="00C76C3D"/>
    <w:rsid w:val="00C804E7"/>
    <w:rsid w:val="00C82A37"/>
    <w:rsid w:val="00C84576"/>
    <w:rsid w:val="00C902DA"/>
    <w:rsid w:val="00C9206D"/>
    <w:rsid w:val="00C95772"/>
    <w:rsid w:val="00C97D56"/>
    <w:rsid w:val="00CA1795"/>
    <w:rsid w:val="00CA7185"/>
    <w:rsid w:val="00CB3B61"/>
    <w:rsid w:val="00CB6F48"/>
    <w:rsid w:val="00CC43FD"/>
    <w:rsid w:val="00CC5033"/>
    <w:rsid w:val="00CC78B9"/>
    <w:rsid w:val="00CD203E"/>
    <w:rsid w:val="00CD2071"/>
    <w:rsid w:val="00CD4734"/>
    <w:rsid w:val="00CD5805"/>
    <w:rsid w:val="00CE43B3"/>
    <w:rsid w:val="00CE537A"/>
    <w:rsid w:val="00CF1358"/>
    <w:rsid w:val="00D04FF0"/>
    <w:rsid w:val="00D1219F"/>
    <w:rsid w:val="00D15F17"/>
    <w:rsid w:val="00D17A84"/>
    <w:rsid w:val="00D17C36"/>
    <w:rsid w:val="00D228FF"/>
    <w:rsid w:val="00D22998"/>
    <w:rsid w:val="00D26E8F"/>
    <w:rsid w:val="00D278E6"/>
    <w:rsid w:val="00D30F90"/>
    <w:rsid w:val="00D33DC2"/>
    <w:rsid w:val="00D35036"/>
    <w:rsid w:val="00D4049C"/>
    <w:rsid w:val="00D41275"/>
    <w:rsid w:val="00D458AF"/>
    <w:rsid w:val="00D463BF"/>
    <w:rsid w:val="00D50567"/>
    <w:rsid w:val="00D5416B"/>
    <w:rsid w:val="00D5573F"/>
    <w:rsid w:val="00D622D1"/>
    <w:rsid w:val="00D6362F"/>
    <w:rsid w:val="00D648EF"/>
    <w:rsid w:val="00D737F3"/>
    <w:rsid w:val="00D739F6"/>
    <w:rsid w:val="00D7562B"/>
    <w:rsid w:val="00DB2ACF"/>
    <w:rsid w:val="00DB7051"/>
    <w:rsid w:val="00DB70D2"/>
    <w:rsid w:val="00DC077B"/>
    <w:rsid w:val="00DC281C"/>
    <w:rsid w:val="00DC3C99"/>
    <w:rsid w:val="00DC66FD"/>
    <w:rsid w:val="00DD68C5"/>
    <w:rsid w:val="00DE2646"/>
    <w:rsid w:val="00E05EB8"/>
    <w:rsid w:val="00E05EBF"/>
    <w:rsid w:val="00E068FD"/>
    <w:rsid w:val="00E14EA3"/>
    <w:rsid w:val="00E160B3"/>
    <w:rsid w:val="00E21825"/>
    <w:rsid w:val="00E21A4C"/>
    <w:rsid w:val="00E26806"/>
    <w:rsid w:val="00E27B7F"/>
    <w:rsid w:val="00E32619"/>
    <w:rsid w:val="00E40A86"/>
    <w:rsid w:val="00E50E15"/>
    <w:rsid w:val="00E5451C"/>
    <w:rsid w:val="00E56D58"/>
    <w:rsid w:val="00E646E6"/>
    <w:rsid w:val="00E66BB8"/>
    <w:rsid w:val="00E730CC"/>
    <w:rsid w:val="00E755E9"/>
    <w:rsid w:val="00E82049"/>
    <w:rsid w:val="00E82FEF"/>
    <w:rsid w:val="00E877C7"/>
    <w:rsid w:val="00E915F4"/>
    <w:rsid w:val="00E9739F"/>
    <w:rsid w:val="00EA3D47"/>
    <w:rsid w:val="00EC4810"/>
    <w:rsid w:val="00EC4957"/>
    <w:rsid w:val="00ED2E0E"/>
    <w:rsid w:val="00ED326C"/>
    <w:rsid w:val="00EE0E10"/>
    <w:rsid w:val="00EE32B3"/>
    <w:rsid w:val="00EE7873"/>
    <w:rsid w:val="00EF16B9"/>
    <w:rsid w:val="00EF40F8"/>
    <w:rsid w:val="00F05227"/>
    <w:rsid w:val="00F159B2"/>
    <w:rsid w:val="00F166CD"/>
    <w:rsid w:val="00F16762"/>
    <w:rsid w:val="00F2080B"/>
    <w:rsid w:val="00F237A3"/>
    <w:rsid w:val="00F33FA6"/>
    <w:rsid w:val="00F358C8"/>
    <w:rsid w:val="00F41674"/>
    <w:rsid w:val="00F52116"/>
    <w:rsid w:val="00F52D50"/>
    <w:rsid w:val="00F53F5D"/>
    <w:rsid w:val="00F6027B"/>
    <w:rsid w:val="00F83CD8"/>
    <w:rsid w:val="00F8469F"/>
    <w:rsid w:val="00F86D28"/>
    <w:rsid w:val="00F930B7"/>
    <w:rsid w:val="00F94734"/>
    <w:rsid w:val="00F95A10"/>
    <w:rsid w:val="00FA072A"/>
    <w:rsid w:val="00FA528A"/>
    <w:rsid w:val="00FA657A"/>
    <w:rsid w:val="00FA65EB"/>
    <w:rsid w:val="00FB29ED"/>
    <w:rsid w:val="00FB41DA"/>
    <w:rsid w:val="00FC22B6"/>
    <w:rsid w:val="00FC3B87"/>
    <w:rsid w:val="00FC4B44"/>
    <w:rsid w:val="00FC5096"/>
    <w:rsid w:val="00FC53E2"/>
    <w:rsid w:val="00FC7098"/>
    <w:rsid w:val="00FD191D"/>
    <w:rsid w:val="00FE2D06"/>
    <w:rsid w:val="00FF20A3"/>
    <w:rsid w:val="01AE41C1"/>
    <w:rsid w:val="02025D80"/>
    <w:rsid w:val="026C9805"/>
    <w:rsid w:val="0508DFFE"/>
    <w:rsid w:val="0A4A27C8"/>
    <w:rsid w:val="0B7A58BB"/>
    <w:rsid w:val="0B988A59"/>
    <w:rsid w:val="0C46471C"/>
    <w:rsid w:val="0E29D588"/>
    <w:rsid w:val="0E766E26"/>
    <w:rsid w:val="0E7A75BF"/>
    <w:rsid w:val="10EE53E4"/>
    <w:rsid w:val="1155EA07"/>
    <w:rsid w:val="11BFB921"/>
    <w:rsid w:val="1257EC73"/>
    <w:rsid w:val="126A6988"/>
    <w:rsid w:val="13A25FBC"/>
    <w:rsid w:val="149094ED"/>
    <w:rsid w:val="14C9C144"/>
    <w:rsid w:val="14DA911E"/>
    <w:rsid w:val="1547D8E0"/>
    <w:rsid w:val="1616AC75"/>
    <w:rsid w:val="1C0548C6"/>
    <w:rsid w:val="1CAD1296"/>
    <w:rsid w:val="1D54A8B0"/>
    <w:rsid w:val="208DD750"/>
    <w:rsid w:val="215A19E1"/>
    <w:rsid w:val="215BFFA0"/>
    <w:rsid w:val="21CBDE34"/>
    <w:rsid w:val="22843FCD"/>
    <w:rsid w:val="22BD793C"/>
    <w:rsid w:val="23A12191"/>
    <w:rsid w:val="24B75988"/>
    <w:rsid w:val="250EB318"/>
    <w:rsid w:val="25637F78"/>
    <w:rsid w:val="25BA8F2E"/>
    <w:rsid w:val="27884073"/>
    <w:rsid w:val="28738F0C"/>
    <w:rsid w:val="2883A180"/>
    <w:rsid w:val="2A6563E9"/>
    <w:rsid w:val="2B726267"/>
    <w:rsid w:val="2BA3744D"/>
    <w:rsid w:val="2BF72B06"/>
    <w:rsid w:val="2D8D114A"/>
    <w:rsid w:val="2FA72B43"/>
    <w:rsid w:val="310F9C7F"/>
    <w:rsid w:val="33D18280"/>
    <w:rsid w:val="348E3A58"/>
    <w:rsid w:val="35AD11BB"/>
    <w:rsid w:val="35D4D1D6"/>
    <w:rsid w:val="372C12BD"/>
    <w:rsid w:val="37B73F25"/>
    <w:rsid w:val="3BA53E27"/>
    <w:rsid w:val="3BB9B7A3"/>
    <w:rsid w:val="3CEA9F99"/>
    <w:rsid w:val="3E1C45EB"/>
    <w:rsid w:val="3F3E8895"/>
    <w:rsid w:val="42036C52"/>
    <w:rsid w:val="430E0028"/>
    <w:rsid w:val="4494C60E"/>
    <w:rsid w:val="44D08737"/>
    <w:rsid w:val="44D3E4AE"/>
    <w:rsid w:val="45D9DCBA"/>
    <w:rsid w:val="46BA370D"/>
    <w:rsid w:val="46CDA410"/>
    <w:rsid w:val="48B8A44E"/>
    <w:rsid w:val="48DCC981"/>
    <w:rsid w:val="49201914"/>
    <w:rsid w:val="494E3FC5"/>
    <w:rsid w:val="4AD1D741"/>
    <w:rsid w:val="4EF6FA48"/>
    <w:rsid w:val="512AE678"/>
    <w:rsid w:val="51C62C70"/>
    <w:rsid w:val="522427F6"/>
    <w:rsid w:val="53C7A306"/>
    <w:rsid w:val="54C0418E"/>
    <w:rsid w:val="55EE5D64"/>
    <w:rsid w:val="560B208B"/>
    <w:rsid w:val="58074E4C"/>
    <w:rsid w:val="589423BD"/>
    <w:rsid w:val="58EDC086"/>
    <w:rsid w:val="59380346"/>
    <w:rsid w:val="5B713203"/>
    <w:rsid w:val="5C2CDA34"/>
    <w:rsid w:val="5C762D6C"/>
    <w:rsid w:val="5D7E6F8E"/>
    <w:rsid w:val="601D6C0C"/>
    <w:rsid w:val="607C244C"/>
    <w:rsid w:val="610CC5AA"/>
    <w:rsid w:val="64426A57"/>
    <w:rsid w:val="6457F098"/>
    <w:rsid w:val="67D7A457"/>
    <w:rsid w:val="681F7CE3"/>
    <w:rsid w:val="693172DE"/>
    <w:rsid w:val="6A9F2B29"/>
    <w:rsid w:val="6ADC44E0"/>
    <w:rsid w:val="6BD15B9C"/>
    <w:rsid w:val="6BD1BA4A"/>
    <w:rsid w:val="6C13E08C"/>
    <w:rsid w:val="6C7A0808"/>
    <w:rsid w:val="73830063"/>
    <w:rsid w:val="7520246A"/>
    <w:rsid w:val="7667BAA4"/>
    <w:rsid w:val="7C088671"/>
    <w:rsid w:val="7DFBA897"/>
    <w:rsid w:val="7F04C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02CDB"/>
  <w14:defaultImageDpi w14:val="32767"/>
  <w15:chartTrackingRefBased/>
  <w15:docId w15:val="{1AFBE869-F7AB-4081-9C58-45232EE1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5E62"/>
    <w:rPr>
      <w:rFonts w:ascii="Times New Roman" w:eastAsia="Times New Roman" w:hAnsi="Times New Roman" w:cs="Times New Roman"/>
      <w:lang w:val="fr-BE" w:eastAsia="fr-FR"/>
    </w:rPr>
  </w:style>
  <w:style w:type="paragraph" w:styleId="Heading1">
    <w:name w:val="heading 1"/>
    <w:basedOn w:val="Normal"/>
    <w:next w:val="Normal"/>
    <w:link w:val="Heading1Char"/>
    <w:uiPriority w:val="9"/>
    <w:qFormat/>
    <w:rsid w:val="00B525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1B14B2"/>
    <w:pPr>
      <w:spacing w:before="120" w:beforeAutospacing="1" w:after="120" w:afterAutospacing="1" w:line="360" w:lineRule="auto"/>
      <w:outlineLvl w:val="2"/>
    </w:pPr>
    <w:rPr>
      <w:b/>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B4D"/>
    <w:rPr>
      <w:sz w:val="18"/>
      <w:szCs w:val="18"/>
      <w:lang w:val="en-GB"/>
    </w:rPr>
  </w:style>
  <w:style w:type="character" w:customStyle="1" w:styleId="BalloonTextChar">
    <w:name w:val="Balloon Text Char"/>
    <w:basedOn w:val="DefaultParagraphFont"/>
    <w:link w:val="BalloonText"/>
    <w:uiPriority w:val="99"/>
    <w:semiHidden/>
    <w:rsid w:val="00BB4B4D"/>
    <w:rPr>
      <w:rFonts w:ascii="Times New Roman" w:hAnsi="Times New Roman" w:cs="Times New Roman"/>
      <w:sz w:val="18"/>
      <w:szCs w:val="18"/>
    </w:rPr>
  </w:style>
  <w:style w:type="paragraph" w:customStyle="1" w:styleId="p1">
    <w:name w:val="p1"/>
    <w:basedOn w:val="Normal"/>
    <w:rsid w:val="007F73A7"/>
    <w:rPr>
      <w:rFonts w:ascii="Helvetica" w:hAnsi="Helvetica"/>
      <w:sz w:val="14"/>
      <w:szCs w:val="14"/>
    </w:rPr>
  </w:style>
  <w:style w:type="character" w:customStyle="1" w:styleId="metadata-label">
    <w:name w:val="metadata-label"/>
    <w:basedOn w:val="DefaultParagraphFont"/>
    <w:rsid w:val="0071589A"/>
  </w:style>
  <w:style w:type="character" w:customStyle="1" w:styleId="apple-converted-space">
    <w:name w:val="apple-converted-space"/>
    <w:basedOn w:val="DefaultParagraphFont"/>
    <w:rsid w:val="0071589A"/>
  </w:style>
  <w:style w:type="character" w:styleId="CommentReference">
    <w:name w:val="annotation reference"/>
    <w:basedOn w:val="DefaultParagraphFont"/>
    <w:uiPriority w:val="99"/>
    <w:semiHidden/>
    <w:unhideWhenUsed/>
    <w:rsid w:val="00312B11"/>
    <w:rPr>
      <w:sz w:val="16"/>
      <w:szCs w:val="16"/>
    </w:rPr>
  </w:style>
  <w:style w:type="paragraph" w:styleId="CommentText">
    <w:name w:val="annotation text"/>
    <w:basedOn w:val="Normal"/>
    <w:link w:val="CommentTextChar"/>
    <w:uiPriority w:val="99"/>
    <w:unhideWhenUsed/>
    <w:rsid w:val="00312B11"/>
    <w:rPr>
      <w:rFonts w:ascii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312B11"/>
    <w:rPr>
      <w:sz w:val="20"/>
      <w:szCs w:val="20"/>
    </w:rPr>
  </w:style>
  <w:style w:type="paragraph" w:styleId="CommentSubject">
    <w:name w:val="annotation subject"/>
    <w:basedOn w:val="CommentText"/>
    <w:next w:val="CommentText"/>
    <w:link w:val="CommentSubjectChar"/>
    <w:uiPriority w:val="99"/>
    <w:semiHidden/>
    <w:unhideWhenUsed/>
    <w:rsid w:val="00312B11"/>
    <w:rPr>
      <w:b/>
      <w:bCs/>
    </w:rPr>
  </w:style>
  <w:style w:type="character" w:customStyle="1" w:styleId="CommentSubjectChar">
    <w:name w:val="Comment Subject Char"/>
    <w:basedOn w:val="CommentTextChar"/>
    <w:link w:val="CommentSubject"/>
    <w:uiPriority w:val="99"/>
    <w:semiHidden/>
    <w:rsid w:val="00312B11"/>
    <w:rPr>
      <w:b/>
      <w:bCs/>
      <w:sz w:val="20"/>
      <w:szCs w:val="20"/>
    </w:rPr>
  </w:style>
  <w:style w:type="paragraph" w:customStyle="1" w:styleId="Text1">
    <w:name w:val="Text 1"/>
    <w:link w:val="Text1Char"/>
    <w:qFormat/>
    <w:rsid w:val="007F2AF3"/>
    <w:pPr>
      <w:spacing w:after="240"/>
    </w:pPr>
    <w:rPr>
      <w:rFonts w:ascii="Times New Roman" w:eastAsia="Times New Roman" w:hAnsi="Times New Roman" w:cs="Times New Roman"/>
      <w:color w:val="000000"/>
      <w:szCs w:val="20"/>
      <w:lang w:val="en-US"/>
    </w:rPr>
  </w:style>
  <w:style w:type="character" w:customStyle="1" w:styleId="Text1Char">
    <w:name w:val="Text 1 Char"/>
    <w:link w:val="Text1"/>
    <w:rsid w:val="007F2AF3"/>
    <w:rPr>
      <w:rFonts w:ascii="Times New Roman" w:eastAsia="Times New Roman" w:hAnsi="Times New Roman" w:cs="Times New Roman"/>
      <w:color w:val="000000"/>
      <w:szCs w:val="20"/>
      <w:lang w:val="en-US"/>
    </w:rPr>
  </w:style>
  <w:style w:type="character" w:styleId="PlaceholderText">
    <w:name w:val="Placeholder Text"/>
    <w:basedOn w:val="DefaultParagraphFont"/>
    <w:uiPriority w:val="99"/>
    <w:semiHidden/>
    <w:rsid w:val="007F2AF3"/>
    <w:rPr>
      <w:color w:val="808080"/>
    </w:rPr>
  </w:style>
  <w:style w:type="paragraph" w:styleId="Revision">
    <w:name w:val="Revision"/>
    <w:hidden/>
    <w:uiPriority w:val="99"/>
    <w:semiHidden/>
    <w:rsid w:val="00103EDC"/>
    <w:rPr>
      <w:rFonts w:ascii="Times New Roman" w:eastAsia="Times New Roman" w:hAnsi="Times New Roman" w:cs="Times New Roman"/>
      <w:lang w:val="en-US" w:eastAsia="en-GB"/>
    </w:rPr>
  </w:style>
  <w:style w:type="paragraph" w:styleId="Header">
    <w:name w:val="header"/>
    <w:basedOn w:val="Normal"/>
    <w:link w:val="HeaderChar"/>
    <w:uiPriority w:val="99"/>
    <w:unhideWhenUsed/>
    <w:rsid w:val="00467665"/>
    <w:pPr>
      <w:tabs>
        <w:tab w:val="center" w:pos="4680"/>
        <w:tab w:val="right" w:pos="9360"/>
      </w:tabs>
    </w:pPr>
    <w:rPr>
      <w:lang w:eastAsia="en-GB"/>
    </w:rPr>
  </w:style>
  <w:style w:type="character" w:customStyle="1" w:styleId="HeaderChar">
    <w:name w:val="Header Char"/>
    <w:basedOn w:val="DefaultParagraphFont"/>
    <w:link w:val="Header"/>
    <w:uiPriority w:val="99"/>
    <w:rsid w:val="00467665"/>
    <w:rPr>
      <w:rFonts w:ascii="Times New Roman" w:eastAsia="Times New Roman" w:hAnsi="Times New Roman" w:cs="Times New Roman"/>
      <w:lang w:val="en-US" w:eastAsia="en-GB"/>
    </w:rPr>
  </w:style>
  <w:style w:type="paragraph" w:styleId="Footer">
    <w:name w:val="footer"/>
    <w:basedOn w:val="Normal"/>
    <w:link w:val="FooterChar"/>
    <w:uiPriority w:val="99"/>
    <w:unhideWhenUsed/>
    <w:rsid w:val="00467665"/>
    <w:pPr>
      <w:tabs>
        <w:tab w:val="center" w:pos="4680"/>
        <w:tab w:val="right" w:pos="9360"/>
      </w:tabs>
    </w:pPr>
    <w:rPr>
      <w:lang w:eastAsia="en-GB"/>
    </w:rPr>
  </w:style>
  <w:style w:type="character" w:customStyle="1" w:styleId="FooterChar">
    <w:name w:val="Footer Char"/>
    <w:basedOn w:val="DefaultParagraphFont"/>
    <w:link w:val="Footer"/>
    <w:uiPriority w:val="99"/>
    <w:rsid w:val="00467665"/>
    <w:rPr>
      <w:rFonts w:ascii="Times New Roman" w:eastAsia="Times New Roman" w:hAnsi="Times New Roman" w:cs="Times New Roman"/>
      <w:lang w:val="en-US" w:eastAsia="en-GB"/>
    </w:rPr>
  </w:style>
  <w:style w:type="character" w:customStyle="1" w:styleId="Heading3Char">
    <w:name w:val="Heading 3 Char"/>
    <w:basedOn w:val="DefaultParagraphFont"/>
    <w:link w:val="Heading3"/>
    <w:uiPriority w:val="9"/>
    <w:rsid w:val="001B14B2"/>
    <w:rPr>
      <w:rFonts w:ascii="Times New Roman" w:eastAsia="Times New Roman" w:hAnsi="Times New Roman" w:cs="Times New Roman"/>
      <w:b/>
      <w:bCs/>
      <w:szCs w:val="27"/>
      <w:lang w:val="en-US"/>
    </w:rPr>
  </w:style>
  <w:style w:type="character" w:styleId="Hyperlink">
    <w:name w:val="Hyperlink"/>
    <w:basedOn w:val="DefaultParagraphFont"/>
    <w:uiPriority w:val="99"/>
    <w:unhideWhenUsed/>
    <w:rsid w:val="00C97D56"/>
    <w:rPr>
      <w:color w:val="0563C1" w:themeColor="hyperlink"/>
      <w:u w:val="single"/>
    </w:rPr>
  </w:style>
  <w:style w:type="character" w:customStyle="1" w:styleId="Mentionnonrsolue1">
    <w:name w:val="Mention non résolue1"/>
    <w:basedOn w:val="DefaultParagraphFont"/>
    <w:uiPriority w:val="99"/>
    <w:semiHidden/>
    <w:unhideWhenUsed/>
    <w:rsid w:val="00C97D56"/>
    <w:rPr>
      <w:color w:val="605E5C"/>
      <w:shd w:val="clear" w:color="auto" w:fill="E1DFDD"/>
    </w:rPr>
  </w:style>
  <w:style w:type="character" w:customStyle="1" w:styleId="Heading1Char">
    <w:name w:val="Heading 1 Char"/>
    <w:basedOn w:val="DefaultParagraphFont"/>
    <w:link w:val="Heading1"/>
    <w:uiPriority w:val="9"/>
    <w:rsid w:val="00B525A8"/>
    <w:rPr>
      <w:rFonts w:asciiTheme="majorHAnsi" w:eastAsiaTheme="majorEastAsia" w:hAnsiTheme="majorHAnsi" w:cstheme="majorBidi"/>
      <w:color w:val="2F5496" w:themeColor="accent1" w:themeShade="BF"/>
      <w:sz w:val="32"/>
      <w:szCs w:val="32"/>
      <w:lang w:val="en-US"/>
    </w:rPr>
  </w:style>
  <w:style w:type="character" w:customStyle="1" w:styleId="normaltextrun">
    <w:name w:val="normaltextrun"/>
    <w:basedOn w:val="DefaultParagraphFont"/>
    <w:rsid w:val="00263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34504">
      <w:bodyDiv w:val="1"/>
      <w:marLeft w:val="0"/>
      <w:marRight w:val="0"/>
      <w:marTop w:val="0"/>
      <w:marBottom w:val="0"/>
      <w:divBdr>
        <w:top w:val="none" w:sz="0" w:space="0" w:color="auto"/>
        <w:left w:val="none" w:sz="0" w:space="0" w:color="auto"/>
        <w:bottom w:val="none" w:sz="0" w:space="0" w:color="auto"/>
        <w:right w:val="none" w:sz="0" w:space="0" w:color="auto"/>
      </w:divBdr>
    </w:div>
    <w:div w:id="82186135">
      <w:bodyDiv w:val="1"/>
      <w:marLeft w:val="0"/>
      <w:marRight w:val="0"/>
      <w:marTop w:val="0"/>
      <w:marBottom w:val="0"/>
      <w:divBdr>
        <w:top w:val="none" w:sz="0" w:space="0" w:color="auto"/>
        <w:left w:val="none" w:sz="0" w:space="0" w:color="auto"/>
        <w:bottom w:val="none" w:sz="0" w:space="0" w:color="auto"/>
        <w:right w:val="none" w:sz="0" w:space="0" w:color="auto"/>
      </w:divBdr>
    </w:div>
    <w:div w:id="153836938">
      <w:bodyDiv w:val="1"/>
      <w:marLeft w:val="0"/>
      <w:marRight w:val="0"/>
      <w:marTop w:val="0"/>
      <w:marBottom w:val="0"/>
      <w:divBdr>
        <w:top w:val="none" w:sz="0" w:space="0" w:color="auto"/>
        <w:left w:val="none" w:sz="0" w:space="0" w:color="auto"/>
        <w:bottom w:val="none" w:sz="0" w:space="0" w:color="auto"/>
        <w:right w:val="none" w:sz="0" w:space="0" w:color="auto"/>
      </w:divBdr>
    </w:div>
    <w:div w:id="246809116">
      <w:bodyDiv w:val="1"/>
      <w:marLeft w:val="0"/>
      <w:marRight w:val="0"/>
      <w:marTop w:val="0"/>
      <w:marBottom w:val="0"/>
      <w:divBdr>
        <w:top w:val="none" w:sz="0" w:space="0" w:color="auto"/>
        <w:left w:val="none" w:sz="0" w:space="0" w:color="auto"/>
        <w:bottom w:val="none" w:sz="0" w:space="0" w:color="auto"/>
        <w:right w:val="none" w:sz="0" w:space="0" w:color="auto"/>
      </w:divBdr>
    </w:div>
    <w:div w:id="267583546">
      <w:bodyDiv w:val="1"/>
      <w:marLeft w:val="0"/>
      <w:marRight w:val="0"/>
      <w:marTop w:val="0"/>
      <w:marBottom w:val="0"/>
      <w:divBdr>
        <w:top w:val="none" w:sz="0" w:space="0" w:color="auto"/>
        <w:left w:val="none" w:sz="0" w:space="0" w:color="auto"/>
        <w:bottom w:val="none" w:sz="0" w:space="0" w:color="auto"/>
        <w:right w:val="none" w:sz="0" w:space="0" w:color="auto"/>
      </w:divBdr>
    </w:div>
    <w:div w:id="586111166">
      <w:bodyDiv w:val="1"/>
      <w:marLeft w:val="0"/>
      <w:marRight w:val="0"/>
      <w:marTop w:val="0"/>
      <w:marBottom w:val="0"/>
      <w:divBdr>
        <w:top w:val="none" w:sz="0" w:space="0" w:color="auto"/>
        <w:left w:val="none" w:sz="0" w:space="0" w:color="auto"/>
        <w:bottom w:val="none" w:sz="0" w:space="0" w:color="auto"/>
        <w:right w:val="none" w:sz="0" w:space="0" w:color="auto"/>
      </w:divBdr>
    </w:div>
    <w:div w:id="709065883">
      <w:bodyDiv w:val="1"/>
      <w:marLeft w:val="0"/>
      <w:marRight w:val="0"/>
      <w:marTop w:val="0"/>
      <w:marBottom w:val="0"/>
      <w:divBdr>
        <w:top w:val="none" w:sz="0" w:space="0" w:color="auto"/>
        <w:left w:val="none" w:sz="0" w:space="0" w:color="auto"/>
        <w:bottom w:val="none" w:sz="0" w:space="0" w:color="auto"/>
        <w:right w:val="none" w:sz="0" w:space="0" w:color="auto"/>
      </w:divBdr>
    </w:div>
    <w:div w:id="777407619">
      <w:bodyDiv w:val="1"/>
      <w:marLeft w:val="0"/>
      <w:marRight w:val="0"/>
      <w:marTop w:val="0"/>
      <w:marBottom w:val="0"/>
      <w:divBdr>
        <w:top w:val="none" w:sz="0" w:space="0" w:color="auto"/>
        <w:left w:val="none" w:sz="0" w:space="0" w:color="auto"/>
        <w:bottom w:val="none" w:sz="0" w:space="0" w:color="auto"/>
        <w:right w:val="none" w:sz="0" w:space="0" w:color="auto"/>
      </w:divBdr>
    </w:div>
    <w:div w:id="1068697464">
      <w:bodyDiv w:val="1"/>
      <w:marLeft w:val="0"/>
      <w:marRight w:val="0"/>
      <w:marTop w:val="0"/>
      <w:marBottom w:val="0"/>
      <w:divBdr>
        <w:top w:val="none" w:sz="0" w:space="0" w:color="auto"/>
        <w:left w:val="none" w:sz="0" w:space="0" w:color="auto"/>
        <w:bottom w:val="none" w:sz="0" w:space="0" w:color="auto"/>
        <w:right w:val="none" w:sz="0" w:space="0" w:color="auto"/>
      </w:divBdr>
    </w:div>
    <w:div w:id="1186553044">
      <w:bodyDiv w:val="1"/>
      <w:marLeft w:val="0"/>
      <w:marRight w:val="0"/>
      <w:marTop w:val="0"/>
      <w:marBottom w:val="0"/>
      <w:divBdr>
        <w:top w:val="none" w:sz="0" w:space="0" w:color="auto"/>
        <w:left w:val="none" w:sz="0" w:space="0" w:color="auto"/>
        <w:bottom w:val="none" w:sz="0" w:space="0" w:color="auto"/>
        <w:right w:val="none" w:sz="0" w:space="0" w:color="auto"/>
      </w:divBdr>
    </w:div>
    <w:div w:id="1279724895">
      <w:bodyDiv w:val="1"/>
      <w:marLeft w:val="0"/>
      <w:marRight w:val="0"/>
      <w:marTop w:val="0"/>
      <w:marBottom w:val="0"/>
      <w:divBdr>
        <w:top w:val="none" w:sz="0" w:space="0" w:color="auto"/>
        <w:left w:val="none" w:sz="0" w:space="0" w:color="auto"/>
        <w:bottom w:val="none" w:sz="0" w:space="0" w:color="auto"/>
        <w:right w:val="none" w:sz="0" w:space="0" w:color="auto"/>
      </w:divBdr>
    </w:div>
    <w:div w:id="1336955898">
      <w:bodyDiv w:val="1"/>
      <w:marLeft w:val="0"/>
      <w:marRight w:val="0"/>
      <w:marTop w:val="0"/>
      <w:marBottom w:val="0"/>
      <w:divBdr>
        <w:top w:val="none" w:sz="0" w:space="0" w:color="auto"/>
        <w:left w:val="none" w:sz="0" w:space="0" w:color="auto"/>
        <w:bottom w:val="none" w:sz="0" w:space="0" w:color="auto"/>
        <w:right w:val="none" w:sz="0" w:space="0" w:color="auto"/>
      </w:divBdr>
      <w:divsChild>
        <w:div w:id="603849790">
          <w:marLeft w:val="0"/>
          <w:marRight w:val="0"/>
          <w:marTop w:val="0"/>
          <w:marBottom w:val="0"/>
          <w:divBdr>
            <w:top w:val="none" w:sz="0" w:space="0" w:color="auto"/>
            <w:left w:val="none" w:sz="0" w:space="0" w:color="auto"/>
            <w:bottom w:val="none" w:sz="0" w:space="0" w:color="auto"/>
            <w:right w:val="none" w:sz="0" w:space="0" w:color="auto"/>
          </w:divBdr>
        </w:div>
      </w:divsChild>
    </w:div>
    <w:div w:id="1497914563">
      <w:bodyDiv w:val="1"/>
      <w:marLeft w:val="0"/>
      <w:marRight w:val="0"/>
      <w:marTop w:val="0"/>
      <w:marBottom w:val="0"/>
      <w:divBdr>
        <w:top w:val="none" w:sz="0" w:space="0" w:color="auto"/>
        <w:left w:val="none" w:sz="0" w:space="0" w:color="auto"/>
        <w:bottom w:val="none" w:sz="0" w:space="0" w:color="auto"/>
        <w:right w:val="none" w:sz="0" w:space="0" w:color="auto"/>
      </w:divBdr>
    </w:div>
    <w:div w:id="1966932478">
      <w:bodyDiv w:val="1"/>
      <w:marLeft w:val="0"/>
      <w:marRight w:val="0"/>
      <w:marTop w:val="0"/>
      <w:marBottom w:val="0"/>
      <w:divBdr>
        <w:top w:val="none" w:sz="0" w:space="0" w:color="auto"/>
        <w:left w:val="none" w:sz="0" w:space="0" w:color="auto"/>
        <w:bottom w:val="none" w:sz="0" w:space="0" w:color="auto"/>
        <w:right w:val="none" w:sz="0" w:space="0" w:color="auto"/>
      </w:divBdr>
    </w:div>
    <w:div w:id="2007054735">
      <w:bodyDiv w:val="1"/>
      <w:marLeft w:val="0"/>
      <w:marRight w:val="0"/>
      <w:marTop w:val="0"/>
      <w:marBottom w:val="0"/>
      <w:divBdr>
        <w:top w:val="none" w:sz="0" w:space="0" w:color="auto"/>
        <w:left w:val="none" w:sz="0" w:space="0" w:color="auto"/>
        <w:bottom w:val="none" w:sz="0" w:space="0" w:color="auto"/>
        <w:right w:val="none" w:sz="0" w:space="0" w:color="auto"/>
      </w:divBdr>
    </w:div>
    <w:div w:id="2115401661">
      <w:bodyDiv w:val="1"/>
      <w:marLeft w:val="0"/>
      <w:marRight w:val="0"/>
      <w:marTop w:val="0"/>
      <w:marBottom w:val="0"/>
      <w:divBdr>
        <w:top w:val="none" w:sz="0" w:space="0" w:color="auto"/>
        <w:left w:val="none" w:sz="0" w:space="0" w:color="auto"/>
        <w:bottom w:val="none" w:sz="0" w:space="0" w:color="auto"/>
        <w:right w:val="none" w:sz="0" w:space="0" w:color="auto"/>
      </w:divBdr>
    </w:div>
    <w:div w:id="213189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r2.amc.nl/"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256E9B05073A4D98A195CEB85241CB" ma:contentTypeVersion="10" ma:contentTypeDescription="Create a new document." ma:contentTypeScope="" ma:versionID="aae58093b601d4d4188dadc1a3406d91">
  <xsd:schema xmlns:xsd="http://www.w3.org/2001/XMLSchema" xmlns:xs="http://www.w3.org/2001/XMLSchema" xmlns:p="http://schemas.microsoft.com/office/2006/metadata/properties" xmlns:ns2="9535cb3a-a0bd-4d0e-98d4-82c374853c44" xmlns:ns3="60a48a65-fb98-40fb-b342-94dc4b4d2960" targetNamespace="http://schemas.microsoft.com/office/2006/metadata/properties" ma:root="true" ma:fieldsID="5dcffb29d81f845a7776965e55625293" ns2:_="" ns3:_="">
    <xsd:import namespace="9535cb3a-a0bd-4d0e-98d4-82c374853c44"/>
    <xsd:import namespace="60a48a65-fb98-40fb-b342-94dc4b4d29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5cb3a-a0bd-4d0e-98d4-82c374853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a48a65-fb98-40fb-b342-94dc4b4d29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AD607-6F2D-400A-9587-87193AD70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5cb3a-a0bd-4d0e-98d4-82c374853c44"/>
    <ds:schemaRef ds:uri="60a48a65-fb98-40fb-b342-94dc4b4d2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EB49BF-C2D7-4836-B3FF-527A6D20C38B}">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60a48a65-fb98-40fb-b342-94dc4b4d2960"/>
    <ds:schemaRef ds:uri="9535cb3a-a0bd-4d0e-98d4-82c374853c44"/>
    <ds:schemaRef ds:uri="http://www.w3.org/XML/1998/namespace"/>
  </ds:schemaRefs>
</ds:datastoreItem>
</file>

<file path=customXml/itemProps3.xml><?xml version="1.0" encoding="utf-8"?>
<ds:datastoreItem xmlns:ds="http://schemas.openxmlformats.org/officeDocument/2006/customXml" ds:itemID="{8638A874-6804-45F5-83EF-8D8D637BB619}">
  <ds:schemaRefs>
    <ds:schemaRef ds:uri="http://schemas.microsoft.com/sharepoint/v3/contenttype/forms"/>
  </ds:schemaRefs>
</ds:datastoreItem>
</file>

<file path=customXml/itemProps4.xml><?xml version="1.0" encoding="utf-8"?>
<ds:datastoreItem xmlns:ds="http://schemas.openxmlformats.org/officeDocument/2006/customXml" ds:itemID="{EE57CED1-2971-4CB8-8B22-C6BCCD33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1574</Words>
  <Characters>8974</Characters>
  <Application>Microsoft Office Word</Application>
  <DocSecurity>0</DocSecurity>
  <Lines>74</Lines>
  <Paragraphs>21</Paragraphs>
  <ScaleCrop>false</ScaleCrop>
  <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Driessens</dc:creator>
  <cp:keywords/>
  <dc:description/>
  <cp:lastModifiedBy>Gregory</cp:lastModifiedBy>
  <cp:revision>59</cp:revision>
  <cp:lastPrinted>2019-12-12T06:38:00Z</cp:lastPrinted>
  <dcterms:created xsi:type="dcterms:W3CDTF">2020-01-16T09:13:00Z</dcterms:created>
  <dcterms:modified xsi:type="dcterms:W3CDTF">2020-10-08T09:38:00Z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0x0101003B256E9B05073A4D98A195CEB85241CB</vt:lpwstr>
  </property>
</Properties>
</file>