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80583" w14:textId="296FA61C" w:rsidR="00A91C01" w:rsidRDefault="00A91C01" w:rsidP="00A91C01">
      <w:pPr>
        <w:jc w:val="center"/>
        <w:rPr>
          <w:rFonts w:ascii="Times New Roman" w:hAnsi="Times New Roman" w:cs="Times New Roman"/>
          <w:sz w:val="32"/>
        </w:rPr>
      </w:pPr>
    </w:p>
    <w:p w14:paraId="69BB8219" w14:textId="77777777" w:rsidR="00A91C01" w:rsidRDefault="00A91C01" w:rsidP="00A91C01">
      <w:pPr>
        <w:jc w:val="center"/>
        <w:rPr>
          <w:rFonts w:ascii="Times New Roman" w:hAnsi="Times New Roman" w:cs="Times New Roman"/>
          <w:sz w:val="32"/>
        </w:rPr>
      </w:pPr>
    </w:p>
    <w:p w14:paraId="42CA44C9" w14:textId="597AF563" w:rsidR="006E5461" w:rsidRDefault="00A91C01" w:rsidP="00A91C01">
      <w:pPr>
        <w:jc w:val="center"/>
        <w:rPr>
          <w:rFonts w:ascii="Times New Roman" w:hAnsi="Times New Roman" w:cs="Times New Roman"/>
          <w:sz w:val="32"/>
        </w:rPr>
      </w:pPr>
      <w:r w:rsidRPr="00A91C01">
        <w:rPr>
          <w:rFonts w:ascii="Times New Roman" w:hAnsi="Times New Roman" w:cs="Times New Roman"/>
          <w:sz w:val="32"/>
        </w:rPr>
        <w:t>Antibody Co-Administration Can Improve Systemic and Local Distribution of Antibody Drug Conjugates to Increase In Vivo Efficacy</w:t>
      </w:r>
    </w:p>
    <w:p w14:paraId="5D24BDEA" w14:textId="6596A9E0" w:rsidR="00A91C01" w:rsidRDefault="00A91C01" w:rsidP="00A91C01">
      <w:pPr>
        <w:jc w:val="center"/>
        <w:rPr>
          <w:rFonts w:ascii="Times New Roman" w:hAnsi="Times New Roman" w:cs="Times New Roman"/>
          <w:sz w:val="32"/>
        </w:rPr>
      </w:pPr>
    </w:p>
    <w:p w14:paraId="2E534AE4" w14:textId="77777777" w:rsidR="00FB57A5" w:rsidRPr="008D595A" w:rsidRDefault="00FB57A5" w:rsidP="00FB57A5">
      <w:pPr>
        <w:pStyle w:val="Body"/>
        <w:jc w:val="center"/>
        <w:rPr>
          <w:rFonts w:cs="Times New Roman"/>
          <w:vertAlign w:val="superscript"/>
        </w:rPr>
      </w:pPr>
      <w:r w:rsidRPr="008D595A">
        <w:rPr>
          <w:rFonts w:cs="Times New Roman"/>
        </w:rPr>
        <w:t>Jose F. Ponte</w:t>
      </w:r>
      <w:r w:rsidRPr="008D595A">
        <w:rPr>
          <w:rFonts w:cs="Times New Roman"/>
          <w:vertAlign w:val="superscript"/>
        </w:rPr>
        <w:t>1</w:t>
      </w:r>
      <w:r w:rsidRPr="008D595A">
        <w:rPr>
          <w:rFonts w:cs="Times New Roman"/>
        </w:rPr>
        <w:t>, Leanne Lanieri</w:t>
      </w:r>
      <w:r w:rsidRPr="008D595A">
        <w:rPr>
          <w:rFonts w:cs="Times New Roman"/>
          <w:vertAlign w:val="superscript"/>
        </w:rPr>
        <w:t>1</w:t>
      </w:r>
      <w:r w:rsidRPr="008D595A">
        <w:rPr>
          <w:rFonts w:cs="Times New Roman"/>
        </w:rPr>
        <w:t>, Eshita Khera</w:t>
      </w:r>
      <w:r w:rsidRPr="008D595A">
        <w:rPr>
          <w:rFonts w:cs="Times New Roman"/>
          <w:vertAlign w:val="superscript"/>
        </w:rPr>
        <w:t>2</w:t>
      </w:r>
      <w:r w:rsidRPr="008D595A">
        <w:rPr>
          <w:rFonts w:cs="Times New Roman"/>
        </w:rPr>
        <w:t xml:space="preserve">, </w:t>
      </w:r>
      <w:proofErr w:type="spellStart"/>
      <w:r w:rsidRPr="008D595A">
        <w:rPr>
          <w:rFonts w:cs="Times New Roman"/>
        </w:rPr>
        <w:t>Rassol</w:t>
      </w:r>
      <w:proofErr w:type="spellEnd"/>
      <w:r w:rsidRPr="008D595A">
        <w:rPr>
          <w:rFonts w:cs="Times New Roman"/>
        </w:rPr>
        <w:t xml:space="preserve"> Laleau</w:t>
      </w:r>
      <w:r w:rsidRPr="008D595A">
        <w:rPr>
          <w:rFonts w:cs="Times New Roman"/>
          <w:vertAlign w:val="superscript"/>
        </w:rPr>
        <w:t>1</w:t>
      </w:r>
      <w:r w:rsidRPr="008D595A">
        <w:rPr>
          <w:rFonts w:cs="Times New Roman"/>
        </w:rPr>
        <w:t>, Olga Ab</w:t>
      </w:r>
      <w:r w:rsidRPr="008D595A">
        <w:rPr>
          <w:rFonts w:cs="Times New Roman"/>
          <w:vertAlign w:val="superscript"/>
        </w:rPr>
        <w:t>1</w:t>
      </w:r>
      <w:r w:rsidRPr="008D595A">
        <w:rPr>
          <w:rFonts w:cs="Times New Roman"/>
        </w:rPr>
        <w:t>, Chris Espelin</w:t>
      </w:r>
      <w:r w:rsidRPr="008D595A">
        <w:rPr>
          <w:rFonts w:cs="Times New Roman"/>
          <w:vertAlign w:val="superscript"/>
        </w:rPr>
        <w:t>1</w:t>
      </w:r>
      <w:r w:rsidRPr="008D595A">
        <w:rPr>
          <w:rFonts w:cs="Times New Roman"/>
        </w:rPr>
        <w:t>, Neeraj Kohli</w:t>
      </w:r>
      <w:r w:rsidRPr="008D595A">
        <w:rPr>
          <w:rFonts w:cs="Times New Roman"/>
          <w:vertAlign w:val="superscript"/>
        </w:rPr>
        <w:t>1</w:t>
      </w:r>
      <w:r w:rsidRPr="008D595A">
        <w:rPr>
          <w:rFonts w:cs="Times New Roman"/>
        </w:rPr>
        <w:t xml:space="preserve">, </w:t>
      </w:r>
      <w:proofErr w:type="spellStart"/>
      <w:r w:rsidRPr="008D595A">
        <w:rPr>
          <w:rFonts w:cs="Times New Roman"/>
        </w:rPr>
        <w:t>Bahar</w:t>
      </w:r>
      <w:proofErr w:type="spellEnd"/>
      <w:r w:rsidRPr="008D595A">
        <w:rPr>
          <w:rFonts w:cs="Times New Roman"/>
        </w:rPr>
        <w:t xml:space="preserve"> Matin</w:t>
      </w:r>
      <w:r w:rsidRPr="008D595A">
        <w:rPr>
          <w:rFonts w:cs="Times New Roman"/>
          <w:vertAlign w:val="superscript"/>
        </w:rPr>
        <w:t>1</w:t>
      </w:r>
      <w:r w:rsidRPr="008D595A">
        <w:rPr>
          <w:rFonts w:cs="Times New Roman"/>
        </w:rPr>
        <w:t xml:space="preserve">, </w:t>
      </w:r>
      <w:proofErr w:type="spellStart"/>
      <w:r w:rsidRPr="008D595A">
        <w:rPr>
          <w:rFonts w:cs="Times New Roman"/>
        </w:rPr>
        <w:t>Yulius</w:t>
      </w:r>
      <w:proofErr w:type="spellEnd"/>
      <w:r w:rsidRPr="008D595A">
        <w:rPr>
          <w:rFonts w:cs="Times New Roman"/>
        </w:rPr>
        <w:t xml:space="preserve"> Setiady</w:t>
      </w:r>
      <w:r w:rsidRPr="008D595A">
        <w:rPr>
          <w:rFonts w:cs="Times New Roman"/>
          <w:vertAlign w:val="superscript"/>
        </w:rPr>
        <w:t>1</w:t>
      </w:r>
      <w:r w:rsidRPr="008D595A">
        <w:rPr>
          <w:rFonts w:cs="Times New Roman"/>
        </w:rPr>
        <w:t>, Michael L. Miller</w:t>
      </w:r>
      <w:r w:rsidRPr="008D595A">
        <w:rPr>
          <w:rFonts w:cs="Times New Roman"/>
          <w:vertAlign w:val="superscript"/>
        </w:rPr>
        <w:t>1</w:t>
      </w:r>
      <w:r w:rsidRPr="008D595A">
        <w:rPr>
          <w:rFonts w:cs="Times New Roman"/>
        </w:rPr>
        <w:t>,</w:t>
      </w:r>
      <w:r w:rsidRPr="008D595A">
        <w:rPr>
          <w:rFonts w:cs="Times New Roman"/>
          <w:vertAlign w:val="superscript"/>
        </w:rPr>
        <w:t xml:space="preserve"> </w:t>
      </w:r>
      <w:r w:rsidRPr="008D595A">
        <w:rPr>
          <w:rFonts w:cs="Times New Roman"/>
        </w:rPr>
        <w:t>Thomas Keating</w:t>
      </w:r>
      <w:r w:rsidRPr="008D595A">
        <w:rPr>
          <w:rFonts w:cs="Times New Roman"/>
          <w:vertAlign w:val="superscript"/>
        </w:rPr>
        <w:t>1</w:t>
      </w:r>
      <w:r w:rsidRPr="008D595A">
        <w:rPr>
          <w:rFonts w:cs="Times New Roman"/>
        </w:rPr>
        <w:t>, Ravi Chari</w:t>
      </w:r>
      <w:r w:rsidRPr="008D595A">
        <w:rPr>
          <w:rFonts w:cs="Times New Roman"/>
          <w:vertAlign w:val="superscript"/>
        </w:rPr>
        <w:t>1</w:t>
      </w:r>
      <w:r w:rsidRPr="008D595A">
        <w:rPr>
          <w:rFonts w:cs="Times New Roman"/>
        </w:rPr>
        <w:t>, Jan Pinkas</w:t>
      </w:r>
      <w:r w:rsidRPr="008D595A">
        <w:rPr>
          <w:rFonts w:cs="Times New Roman"/>
          <w:vertAlign w:val="superscript"/>
        </w:rPr>
        <w:t>1</w:t>
      </w:r>
      <w:r w:rsidRPr="008D595A">
        <w:rPr>
          <w:rFonts w:cs="Times New Roman"/>
        </w:rPr>
        <w:t>, Richard Gregory</w:t>
      </w:r>
      <w:r w:rsidRPr="008D595A">
        <w:rPr>
          <w:rFonts w:cs="Times New Roman"/>
          <w:vertAlign w:val="superscript"/>
        </w:rPr>
        <w:t>1</w:t>
      </w:r>
      <w:r w:rsidRPr="008D595A">
        <w:rPr>
          <w:rFonts w:cs="Times New Roman"/>
        </w:rPr>
        <w:t>, and Greg M. Thurber</w:t>
      </w:r>
      <w:r w:rsidRPr="008D595A">
        <w:rPr>
          <w:rFonts w:cs="Times New Roman"/>
          <w:vertAlign w:val="superscript"/>
        </w:rPr>
        <w:t>2,3</w:t>
      </w:r>
    </w:p>
    <w:p w14:paraId="4C6CC83F" w14:textId="77777777" w:rsidR="00FB57A5" w:rsidRPr="008D595A" w:rsidRDefault="00FB57A5" w:rsidP="00FB57A5">
      <w:pPr>
        <w:pStyle w:val="Body"/>
        <w:rPr>
          <w:rFonts w:cs="Times New Roman"/>
        </w:rPr>
      </w:pPr>
    </w:p>
    <w:p w14:paraId="044AF44E" w14:textId="77777777" w:rsidR="00FB57A5" w:rsidRPr="008D595A" w:rsidRDefault="00FB57A5" w:rsidP="00FB57A5">
      <w:pPr>
        <w:pStyle w:val="Body"/>
        <w:rPr>
          <w:rFonts w:cs="Times New Roman"/>
        </w:rPr>
      </w:pPr>
    </w:p>
    <w:p w14:paraId="4A8AF887" w14:textId="77777777" w:rsidR="00FB57A5" w:rsidRPr="008D595A" w:rsidRDefault="00FB57A5" w:rsidP="00FB57A5">
      <w:pPr>
        <w:pStyle w:val="Body"/>
        <w:rPr>
          <w:rFonts w:cs="Times New Roman"/>
        </w:rPr>
      </w:pPr>
      <w:r w:rsidRPr="008D595A">
        <w:rPr>
          <w:rFonts w:cs="Times New Roman"/>
        </w:rPr>
        <w:t xml:space="preserve">1 – </w:t>
      </w:r>
      <w:proofErr w:type="spellStart"/>
      <w:r w:rsidRPr="008D595A">
        <w:rPr>
          <w:rFonts w:cs="Times New Roman"/>
        </w:rPr>
        <w:t>ImmunoGen</w:t>
      </w:r>
      <w:proofErr w:type="spellEnd"/>
      <w:r w:rsidRPr="008D595A">
        <w:rPr>
          <w:rFonts w:cs="Times New Roman"/>
        </w:rPr>
        <w:t>, Waltham, MA, 02451</w:t>
      </w:r>
    </w:p>
    <w:p w14:paraId="36506597" w14:textId="77777777" w:rsidR="009A0CC3" w:rsidRDefault="009A0CC3" w:rsidP="00FB57A5">
      <w:pPr>
        <w:rPr>
          <w:rFonts w:ascii="Times New Roman" w:hAnsi="Times New Roman" w:cs="Times New Roman"/>
          <w:sz w:val="24"/>
          <w:szCs w:val="24"/>
        </w:rPr>
      </w:pPr>
    </w:p>
    <w:p w14:paraId="05D5DD7F" w14:textId="6D64279B" w:rsidR="00FB57A5" w:rsidRPr="008D595A" w:rsidRDefault="00FB57A5" w:rsidP="00FB57A5">
      <w:pPr>
        <w:rPr>
          <w:rFonts w:ascii="Times New Roman" w:hAnsi="Times New Roman" w:cs="Times New Roman"/>
          <w:sz w:val="24"/>
          <w:szCs w:val="24"/>
        </w:rPr>
      </w:pPr>
      <w:r w:rsidRPr="008D595A">
        <w:rPr>
          <w:rFonts w:ascii="Times New Roman" w:hAnsi="Times New Roman" w:cs="Times New Roman"/>
          <w:sz w:val="24"/>
          <w:szCs w:val="24"/>
        </w:rPr>
        <w:t>2 - Department of Chemical Engineering, University of Michigan, Ann Arbor, MI 48109</w:t>
      </w:r>
    </w:p>
    <w:p w14:paraId="00DB053A" w14:textId="77777777" w:rsidR="009A0CC3" w:rsidRDefault="009A0CC3" w:rsidP="00FB57A5">
      <w:pPr>
        <w:pStyle w:val="Body"/>
        <w:rPr>
          <w:rFonts w:cs="Times New Roman"/>
        </w:rPr>
      </w:pPr>
    </w:p>
    <w:p w14:paraId="05CEC03D" w14:textId="3D47A6E9" w:rsidR="00FB57A5" w:rsidRPr="008D595A" w:rsidRDefault="00FB57A5" w:rsidP="00FB57A5">
      <w:pPr>
        <w:pStyle w:val="Body"/>
        <w:rPr>
          <w:rFonts w:cs="Times New Roman"/>
        </w:rPr>
      </w:pPr>
      <w:r w:rsidRPr="008D595A">
        <w:rPr>
          <w:rFonts w:cs="Times New Roman"/>
        </w:rPr>
        <w:t>3 - Department of Biomedical Engineering, University of Michigan, Ann Arbor, MI 48109</w:t>
      </w:r>
    </w:p>
    <w:p w14:paraId="261CBEAF" w14:textId="5F43ED78" w:rsidR="00A91C01" w:rsidRPr="008D595A" w:rsidRDefault="00A91C01" w:rsidP="00A91C01">
      <w:pPr>
        <w:pBdr>
          <w:top w:val="nil"/>
          <w:left w:val="nil"/>
          <w:bottom w:val="nil"/>
          <w:right w:val="nil"/>
          <w:between w:val="nil"/>
        </w:pBdr>
        <w:jc w:val="center"/>
        <w:rPr>
          <w:rFonts w:ascii="Times New Roman" w:hAnsi="Times New Roman" w:cs="Times New Roman"/>
          <w:color w:val="000000"/>
          <w:sz w:val="24"/>
          <w:szCs w:val="24"/>
        </w:rPr>
      </w:pPr>
    </w:p>
    <w:p w14:paraId="29BEA2CA" w14:textId="1177DCC1" w:rsidR="00A91C01" w:rsidRPr="008D595A" w:rsidRDefault="00A91C01" w:rsidP="00A91C01">
      <w:pPr>
        <w:pBdr>
          <w:top w:val="nil"/>
          <w:left w:val="nil"/>
          <w:bottom w:val="nil"/>
          <w:right w:val="nil"/>
          <w:between w:val="nil"/>
        </w:pBdr>
        <w:jc w:val="center"/>
        <w:rPr>
          <w:rFonts w:ascii="Times New Roman" w:hAnsi="Times New Roman" w:cs="Times New Roman"/>
          <w:color w:val="000000"/>
          <w:sz w:val="24"/>
          <w:szCs w:val="24"/>
        </w:rPr>
      </w:pPr>
    </w:p>
    <w:p w14:paraId="3E5C8286" w14:textId="7E08212C" w:rsidR="00A91C01" w:rsidRPr="008D595A" w:rsidRDefault="00A91C01" w:rsidP="00A91C01">
      <w:pPr>
        <w:pBdr>
          <w:top w:val="nil"/>
          <w:left w:val="nil"/>
          <w:bottom w:val="nil"/>
          <w:right w:val="nil"/>
          <w:between w:val="nil"/>
        </w:pBdr>
        <w:jc w:val="center"/>
        <w:rPr>
          <w:rFonts w:ascii="Times New Roman" w:hAnsi="Times New Roman" w:cs="Times New Roman"/>
          <w:color w:val="000000"/>
          <w:sz w:val="24"/>
          <w:szCs w:val="24"/>
        </w:rPr>
      </w:pPr>
    </w:p>
    <w:p w14:paraId="18ED94AA" w14:textId="6D6D0503" w:rsidR="00A91C01" w:rsidRPr="008D595A" w:rsidRDefault="00A91C01" w:rsidP="00252A22">
      <w:pPr>
        <w:pBdr>
          <w:top w:val="nil"/>
          <w:left w:val="nil"/>
          <w:bottom w:val="nil"/>
          <w:right w:val="nil"/>
          <w:between w:val="nil"/>
        </w:pBdr>
        <w:rPr>
          <w:rFonts w:ascii="Times New Roman" w:hAnsi="Times New Roman" w:cs="Times New Roman"/>
          <w:color w:val="000000"/>
          <w:sz w:val="24"/>
          <w:szCs w:val="24"/>
        </w:rPr>
      </w:pPr>
    </w:p>
    <w:p w14:paraId="0A663A55" w14:textId="0ED87445" w:rsidR="00A91C01" w:rsidRPr="008D595A" w:rsidRDefault="00A91C01" w:rsidP="00A91C01">
      <w:pPr>
        <w:pBdr>
          <w:top w:val="nil"/>
          <w:left w:val="nil"/>
          <w:bottom w:val="nil"/>
          <w:right w:val="nil"/>
          <w:between w:val="nil"/>
        </w:pBdr>
        <w:jc w:val="center"/>
        <w:rPr>
          <w:rFonts w:ascii="Times New Roman" w:hAnsi="Times New Roman" w:cs="Times New Roman"/>
          <w:color w:val="000000"/>
          <w:sz w:val="24"/>
          <w:szCs w:val="24"/>
        </w:rPr>
      </w:pPr>
    </w:p>
    <w:p w14:paraId="20F1470C" w14:textId="089992A8" w:rsidR="00A91C01" w:rsidRPr="008D595A" w:rsidRDefault="00252A22" w:rsidP="00252A22">
      <w:pPr>
        <w:pBdr>
          <w:top w:val="nil"/>
          <w:left w:val="nil"/>
          <w:bottom w:val="nil"/>
          <w:right w:val="nil"/>
          <w:between w:val="nil"/>
        </w:pBdr>
        <w:rPr>
          <w:rFonts w:ascii="Times New Roman" w:hAnsi="Times New Roman" w:cs="Times New Roman"/>
          <w:b/>
          <w:color w:val="000000"/>
          <w:sz w:val="24"/>
          <w:szCs w:val="24"/>
        </w:rPr>
      </w:pPr>
      <w:r w:rsidRPr="008D595A">
        <w:rPr>
          <w:rFonts w:ascii="Times New Roman" w:hAnsi="Times New Roman" w:cs="Times New Roman"/>
          <w:b/>
          <w:color w:val="000000"/>
          <w:sz w:val="24"/>
          <w:szCs w:val="24"/>
        </w:rPr>
        <w:t>Supplementary Information</w:t>
      </w:r>
    </w:p>
    <w:p w14:paraId="0DFBB7DE" w14:textId="2D3ABB18" w:rsidR="008F412D" w:rsidRPr="008D595A" w:rsidRDefault="00A878F2">
      <w:pPr>
        <w:rPr>
          <w:rFonts w:ascii="Times New Roman" w:hAnsi="Times New Roman" w:cs="Times New Roman"/>
          <w:color w:val="000000"/>
          <w:sz w:val="24"/>
          <w:szCs w:val="24"/>
        </w:rPr>
      </w:pPr>
      <w:r w:rsidRPr="008D595A">
        <w:rPr>
          <w:rFonts w:ascii="Times New Roman" w:hAnsi="Times New Roman" w:cs="Times New Roman"/>
          <w:color w:val="000000"/>
          <w:sz w:val="24"/>
          <w:szCs w:val="24"/>
        </w:rPr>
        <w:t>Supplementary Figures – Fig S1-S</w:t>
      </w:r>
      <w:r w:rsidR="008F412D" w:rsidRPr="008D595A">
        <w:rPr>
          <w:rFonts w:ascii="Times New Roman" w:hAnsi="Times New Roman" w:cs="Times New Roman"/>
          <w:color w:val="000000"/>
          <w:sz w:val="24"/>
          <w:szCs w:val="24"/>
        </w:rPr>
        <w:t>6</w:t>
      </w:r>
    </w:p>
    <w:p w14:paraId="43D60C75" w14:textId="555EA760" w:rsidR="00540FE5" w:rsidRPr="008D595A" w:rsidRDefault="00540FE5">
      <w:pPr>
        <w:rPr>
          <w:rFonts w:ascii="Times New Roman" w:hAnsi="Times New Roman" w:cs="Times New Roman"/>
          <w:color w:val="000000"/>
          <w:sz w:val="24"/>
          <w:szCs w:val="24"/>
        </w:rPr>
      </w:pPr>
      <w:r w:rsidRPr="008D595A">
        <w:rPr>
          <w:rFonts w:ascii="Times New Roman" w:hAnsi="Times New Roman" w:cs="Times New Roman"/>
          <w:color w:val="000000"/>
          <w:sz w:val="24"/>
          <w:szCs w:val="24"/>
        </w:rPr>
        <w:t>Supplementary Methods – Deparaffinization and antigen retrieval</w:t>
      </w:r>
    </w:p>
    <w:p w14:paraId="1F3F18B8" w14:textId="2C513E76" w:rsidR="008F412D" w:rsidRPr="008D595A" w:rsidRDefault="00A878F2">
      <w:pPr>
        <w:rPr>
          <w:rFonts w:ascii="Times New Roman" w:hAnsi="Times New Roman" w:cs="Times New Roman"/>
          <w:color w:val="000000"/>
          <w:sz w:val="24"/>
          <w:szCs w:val="24"/>
        </w:rPr>
      </w:pPr>
      <w:r w:rsidRPr="008D595A">
        <w:rPr>
          <w:rFonts w:ascii="Times New Roman" w:hAnsi="Times New Roman" w:cs="Times New Roman"/>
          <w:color w:val="000000"/>
          <w:sz w:val="24"/>
          <w:szCs w:val="24"/>
        </w:rPr>
        <w:t>Krogh Cylinder Tumor Model</w:t>
      </w:r>
      <w:r w:rsidR="008F412D" w:rsidRPr="008D595A">
        <w:rPr>
          <w:rFonts w:ascii="Times New Roman" w:hAnsi="Times New Roman" w:cs="Times New Roman"/>
          <w:color w:val="000000"/>
          <w:sz w:val="24"/>
          <w:szCs w:val="24"/>
        </w:rPr>
        <w:t xml:space="preserve"> </w:t>
      </w:r>
    </w:p>
    <w:p w14:paraId="44C4ECE6" w14:textId="77777777" w:rsidR="008F412D" w:rsidRPr="008D595A" w:rsidRDefault="008F412D" w:rsidP="008F412D">
      <w:pPr>
        <w:pStyle w:val="ListParagraph"/>
        <w:numPr>
          <w:ilvl w:val="0"/>
          <w:numId w:val="1"/>
        </w:numPr>
        <w:rPr>
          <w:rFonts w:ascii="Times New Roman" w:hAnsi="Times New Roman" w:cs="Times New Roman"/>
          <w:color w:val="000000"/>
          <w:sz w:val="24"/>
          <w:szCs w:val="24"/>
        </w:rPr>
      </w:pPr>
      <w:r w:rsidRPr="008D595A">
        <w:rPr>
          <w:rFonts w:ascii="Times New Roman" w:hAnsi="Times New Roman" w:cs="Times New Roman"/>
          <w:color w:val="000000"/>
          <w:sz w:val="24"/>
          <w:szCs w:val="24"/>
        </w:rPr>
        <w:t>Differential Equations</w:t>
      </w:r>
    </w:p>
    <w:p w14:paraId="09CE6C7F" w14:textId="6E163F53" w:rsidR="008F412D" w:rsidRPr="008D595A" w:rsidRDefault="008F412D" w:rsidP="008F412D">
      <w:pPr>
        <w:pStyle w:val="ListParagraph"/>
        <w:numPr>
          <w:ilvl w:val="0"/>
          <w:numId w:val="1"/>
        </w:numPr>
        <w:rPr>
          <w:rFonts w:ascii="Times New Roman" w:hAnsi="Times New Roman" w:cs="Times New Roman"/>
          <w:color w:val="000000"/>
          <w:sz w:val="24"/>
          <w:szCs w:val="24"/>
        </w:rPr>
      </w:pPr>
      <w:r w:rsidRPr="008D595A">
        <w:rPr>
          <w:rFonts w:ascii="Times New Roman" w:hAnsi="Times New Roman" w:cs="Times New Roman"/>
          <w:color w:val="000000"/>
          <w:sz w:val="24"/>
          <w:szCs w:val="24"/>
        </w:rPr>
        <w:t>Model Parameters</w:t>
      </w:r>
    </w:p>
    <w:p w14:paraId="2856963B" w14:textId="040C4F37" w:rsidR="009D661C" w:rsidRPr="008D595A" w:rsidRDefault="009D661C" w:rsidP="009D661C">
      <w:pPr>
        <w:rPr>
          <w:rFonts w:ascii="Times New Roman" w:hAnsi="Times New Roman" w:cs="Times New Roman"/>
          <w:color w:val="000000"/>
          <w:sz w:val="24"/>
          <w:szCs w:val="24"/>
        </w:rPr>
      </w:pPr>
      <w:r w:rsidRPr="008D595A">
        <w:rPr>
          <w:rFonts w:ascii="Times New Roman" w:hAnsi="Times New Roman" w:cs="Times New Roman"/>
          <w:color w:val="000000"/>
          <w:sz w:val="24"/>
          <w:szCs w:val="24"/>
        </w:rPr>
        <w:t>Supplementary Discussion</w:t>
      </w:r>
    </w:p>
    <w:p w14:paraId="28E4D231" w14:textId="7DC6E239" w:rsidR="008F412D" w:rsidRPr="008D595A" w:rsidRDefault="008F412D" w:rsidP="009D661C">
      <w:pPr>
        <w:pStyle w:val="ListParagraph"/>
        <w:numPr>
          <w:ilvl w:val="0"/>
          <w:numId w:val="1"/>
        </w:numPr>
        <w:rPr>
          <w:rFonts w:ascii="Times New Roman" w:hAnsi="Times New Roman" w:cs="Times New Roman"/>
          <w:color w:val="000000"/>
          <w:sz w:val="24"/>
          <w:szCs w:val="24"/>
        </w:rPr>
      </w:pPr>
      <w:r w:rsidRPr="008D595A">
        <w:rPr>
          <w:rFonts w:ascii="Times New Roman" w:hAnsi="Times New Roman" w:cs="Times New Roman"/>
          <w:color w:val="000000"/>
          <w:sz w:val="24"/>
          <w:szCs w:val="24"/>
        </w:rPr>
        <w:t>Selection of ADC cellular internalization rate</w:t>
      </w:r>
    </w:p>
    <w:p w14:paraId="7964B14D" w14:textId="4A571F38" w:rsidR="00595946" w:rsidRDefault="00595946">
      <w:pPr>
        <w:rPr>
          <w:rFonts w:ascii="Times New Roman" w:hAnsi="Times New Roman" w:cs="Times New Roman"/>
          <w:color w:val="000000"/>
          <w:sz w:val="24"/>
          <w:szCs w:val="24"/>
        </w:rPr>
      </w:pPr>
      <w:r>
        <w:rPr>
          <w:rFonts w:ascii="Times New Roman" w:hAnsi="Times New Roman" w:cs="Times New Roman"/>
          <w:color w:val="000000"/>
          <w:sz w:val="24"/>
          <w:szCs w:val="24"/>
        </w:rPr>
        <w:t>Supplementary Figures – Fig S8-S9</w:t>
      </w:r>
    </w:p>
    <w:p w14:paraId="0B559485" w14:textId="7D693E6F" w:rsidR="00595946" w:rsidRPr="00FE580C" w:rsidRDefault="00595946" w:rsidP="00FE580C">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Tumor growth curves statistical analysis and mouse body weigh</w:t>
      </w:r>
      <w:r w:rsidR="00FE580C">
        <w:rPr>
          <w:rFonts w:ascii="Times New Roman" w:hAnsi="Times New Roman" w:cs="Times New Roman"/>
          <w:color w:val="000000"/>
          <w:sz w:val="24"/>
          <w:szCs w:val="24"/>
        </w:rPr>
        <w:t>t</w:t>
      </w:r>
    </w:p>
    <w:p w14:paraId="55F3B81C" w14:textId="478CA362" w:rsidR="00A878F2" w:rsidRPr="008D595A" w:rsidRDefault="00A878F2">
      <w:pPr>
        <w:rPr>
          <w:rFonts w:ascii="Times New Roman" w:hAnsi="Times New Roman" w:cs="Times New Roman"/>
          <w:color w:val="000000"/>
          <w:sz w:val="24"/>
          <w:szCs w:val="24"/>
        </w:rPr>
      </w:pPr>
      <w:r w:rsidRPr="008D595A">
        <w:rPr>
          <w:rFonts w:ascii="Times New Roman" w:hAnsi="Times New Roman" w:cs="Times New Roman"/>
          <w:color w:val="000000"/>
          <w:sz w:val="24"/>
          <w:szCs w:val="24"/>
        </w:rPr>
        <w:t>Supplementa</w:t>
      </w:r>
      <w:r w:rsidR="00252A22" w:rsidRPr="008D595A">
        <w:rPr>
          <w:rFonts w:ascii="Times New Roman" w:hAnsi="Times New Roman" w:cs="Times New Roman"/>
          <w:color w:val="000000"/>
          <w:sz w:val="24"/>
          <w:szCs w:val="24"/>
        </w:rPr>
        <w:t>ry</w:t>
      </w:r>
      <w:r w:rsidRPr="008D595A">
        <w:rPr>
          <w:rFonts w:ascii="Times New Roman" w:hAnsi="Times New Roman" w:cs="Times New Roman"/>
          <w:color w:val="000000"/>
          <w:sz w:val="24"/>
          <w:szCs w:val="24"/>
        </w:rPr>
        <w:t xml:space="preserve"> References</w:t>
      </w:r>
    </w:p>
    <w:p w14:paraId="05C75E7F" w14:textId="7F3AF3E6" w:rsidR="00A91C01" w:rsidRPr="00A878F2" w:rsidRDefault="00A878F2" w:rsidP="00595946">
      <w:pPr>
        <w:rPr>
          <w:rFonts w:ascii="Times New Roman" w:hAnsi="Times New Roman" w:cs="Times New Roman"/>
          <w:b/>
          <w:color w:val="000000"/>
          <w:sz w:val="32"/>
        </w:rPr>
      </w:pPr>
      <w:r>
        <w:rPr>
          <w:rFonts w:ascii="Times New Roman" w:hAnsi="Times New Roman" w:cs="Times New Roman"/>
          <w:b/>
          <w:color w:val="000000"/>
          <w:sz w:val="32"/>
        </w:rPr>
        <w:br w:type="page"/>
      </w:r>
      <w:r w:rsidRPr="00A878F2">
        <w:rPr>
          <w:rFonts w:ascii="Times New Roman" w:hAnsi="Times New Roman" w:cs="Times New Roman"/>
          <w:b/>
          <w:color w:val="000000"/>
          <w:sz w:val="32"/>
        </w:rPr>
        <w:lastRenderedPageBreak/>
        <w:t>Supplementary Figures</w:t>
      </w:r>
    </w:p>
    <w:p w14:paraId="48A2163B" w14:textId="2AC0F181" w:rsidR="005E64B1" w:rsidRDefault="009306EB" w:rsidP="00885A25">
      <w:pPr>
        <w:jc w:val="center"/>
        <w:rPr>
          <w:rFonts w:ascii="Times New Roman" w:hAnsi="Times New Roman" w:cs="Times New Roman"/>
          <w:sz w:val="32"/>
        </w:rPr>
      </w:pPr>
      <w:r w:rsidRPr="009306EB">
        <w:rPr>
          <w:rFonts w:ascii="Times New Roman" w:hAnsi="Times New Roman" w:cs="Times New Roman"/>
          <w:noProof/>
          <w:sz w:val="32"/>
        </w:rPr>
        <w:drawing>
          <wp:inline distT="0" distB="0" distL="0" distR="0" wp14:anchorId="1185C5C9" wp14:editId="575CF14F">
            <wp:extent cx="5264210" cy="4559504"/>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6850" cy="4579113"/>
                    </a:xfrm>
                    <a:prstGeom prst="rect">
                      <a:avLst/>
                    </a:prstGeom>
                  </pic:spPr>
                </pic:pic>
              </a:graphicData>
            </a:graphic>
          </wp:inline>
        </w:drawing>
      </w:r>
    </w:p>
    <w:p w14:paraId="561DC881" w14:textId="498D33D7" w:rsidR="009E17AA" w:rsidRDefault="00A878F2" w:rsidP="00BE5AA9">
      <w:pPr>
        <w:jc w:val="both"/>
        <w:rPr>
          <w:rFonts w:ascii="Times New Roman" w:hAnsi="Times New Roman" w:cs="Times New Roman"/>
          <w:sz w:val="24"/>
          <w:szCs w:val="24"/>
        </w:rPr>
      </w:pPr>
      <w:r>
        <w:rPr>
          <w:rFonts w:ascii="Times New Roman" w:hAnsi="Times New Roman" w:cs="Times New Roman"/>
          <w:b/>
          <w:sz w:val="24"/>
          <w:szCs w:val="24"/>
        </w:rPr>
        <w:t>Fig. S</w:t>
      </w:r>
      <w:r w:rsidR="005E64B1" w:rsidRPr="00A878F2">
        <w:rPr>
          <w:rFonts w:ascii="Times New Roman" w:hAnsi="Times New Roman" w:cs="Times New Roman"/>
          <w:b/>
          <w:sz w:val="24"/>
          <w:szCs w:val="24"/>
        </w:rPr>
        <w:t>1</w:t>
      </w:r>
      <w:r w:rsidR="005E64B1" w:rsidRPr="00A878F2">
        <w:rPr>
          <w:rFonts w:ascii="Times New Roman" w:hAnsi="Times New Roman" w:cs="Times New Roman"/>
          <w:sz w:val="24"/>
          <w:szCs w:val="24"/>
        </w:rPr>
        <w:t xml:space="preserve">. </w:t>
      </w:r>
      <w:r w:rsidR="005E64B1" w:rsidRPr="00CF58D7">
        <w:rPr>
          <w:rFonts w:ascii="Times New Roman" w:hAnsi="Times New Roman" w:cs="Times New Roman"/>
          <w:b/>
          <w:sz w:val="24"/>
          <w:szCs w:val="24"/>
        </w:rPr>
        <w:t xml:space="preserve">Impact of receptor expression and payload potency on </w:t>
      </w:r>
      <w:r w:rsidR="008513C1">
        <w:rPr>
          <w:rFonts w:ascii="Times New Roman" w:hAnsi="Times New Roman" w:cs="Times New Roman"/>
          <w:b/>
          <w:sz w:val="24"/>
          <w:szCs w:val="24"/>
        </w:rPr>
        <w:t>toxicity</w:t>
      </w:r>
      <w:r w:rsidR="005E64B1" w:rsidRPr="00CF58D7">
        <w:rPr>
          <w:rFonts w:ascii="Times New Roman" w:hAnsi="Times New Roman" w:cs="Times New Roman"/>
          <w:b/>
          <w:sz w:val="24"/>
          <w:szCs w:val="24"/>
        </w:rPr>
        <w:t xml:space="preserve"> of cross-reactive FRα antibody-drug conjugate</w:t>
      </w:r>
      <w:r w:rsidR="009E17AA" w:rsidRPr="00A878F2">
        <w:rPr>
          <w:rFonts w:ascii="Times New Roman" w:hAnsi="Times New Roman" w:cs="Times New Roman"/>
          <w:sz w:val="24"/>
          <w:szCs w:val="24"/>
        </w:rPr>
        <w:t>.</w:t>
      </w:r>
      <w:r w:rsidR="00CF58D7">
        <w:rPr>
          <w:rFonts w:ascii="Times New Roman" w:hAnsi="Times New Roman" w:cs="Times New Roman"/>
          <w:sz w:val="24"/>
          <w:szCs w:val="24"/>
        </w:rPr>
        <w:t xml:space="preserve"> </w:t>
      </w:r>
      <w:r w:rsidR="008513C1">
        <w:rPr>
          <w:rFonts w:ascii="Times New Roman" w:hAnsi="Times New Roman" w:cs="Times New Roman"/>
          <w:sz w:val="24"/>
          <w:szCs w:val="24"/>
        </w:rPr>
        <w:t xml:space="preserve">In vitro viability/toxicity assays of the cross-reactive ADC with the ‘high’ (DGN549) and ‘low’ (DM4) potency payloads in ‘high’ (KB) and ‘low’ (OV90) FRα expression systems. DGN549-ADC shows </w:t>
      </w:r>
      <w:r w:rsidR="008D4530">
        <w:rPr>
          <w:rFonts w:ascii="Times New Roman" w:hAnsi="Times New Roman" w:cs="Times New Roman"/>
          <w:sz w:val="24"/>
          <w:szCs w:val="24"/>
        </w:rPr>
        <w:t>higher potency</w:t>
      </w:r>
      <w:r w:rsidR="008513C1">
        <w:rPr>
          <w:rFonts w:ascii="Times New Roman" w:hAnsi="Times New Roman" w:cs="Times New Roman"/>
          <w:sz w:val="24"/>
          <w:szCs w:val="24"/>
        </w:rPr>
        <w:t xml:space="preserve"> in both systems compared to </w:t>
      </w:r>
      <w:r w:rsidR="00885A25">
        <w:rPr>
          <w:rFonts w:ascii="Times New Roman" w:hAnsi="Times New Roman" w:cs="Times New Roman"/>
          <w:sz w:val="24"/>
          <w:szCs w:val="24"/>
        </w:rPr>
        <w:t xml:space="preserve">DM4-ADC. Additionally, both payloads showed higher toxicity in the higher expression system (KB), indicating </w:t>
      </w:r>
      <w:r w:rsidR="008D4530">
        <w:rPr>
          <w:rFonts w:ascii="Times New Roman" w:hAnsi="Times New Roman" w:cs="Times New Roman"/>
          <w:sz w:val="24"/>
          <w:szCs w:val="24"/>
        </w:rPr>
        <w:t xml:space="preserve">greater </w:t>
      </w:r>
      <w:r w:rsidR="00885A25">
        <w:rPr>
          <w:rFonts w:ascii="Times New Roman" w:hAnsi="Times New Roman" w:cs="Times New Roman"/>
          <w:sz w:val="24"/>
          <w:szCs w:val="24"/>
        </w:rPr>
        <w:t>overal</w:t>
      </w:r>
      <w:r w:rsidR="008D4530">
        <w:rPr>
          <w:rFonts w:ascii="Times New Roman" w:hAnsi="Times New Roman" w:cs="Times New Roman"/>
          <w:sz w:val="24"/>
          <w:szCs w:val="24"/>
        </w:rPr>
        <w:t>l</w:t>
      </w:r>
      <w:r w:rsidR="00885A25">
        <w:rPr>
          <w:rFonts w:ascii="Times New Roman" w:hAnsi="Times New Roman" w:cs="Times New Roman"/>
          <w:sz w:val="24"/>
          <w:szCs w:val="24"/>
        </w:rPr>
        <w:t xml:space="preserve"> cellular ADC uptake due to lack of transport limitations in an </w:t>
      </w:r>
      <w:r w:rsidR="00885A25" w:rsidRPr="007C3098">
        <w:rPr>
          <w:rFonts w:ascii="Times New Roman" w:hAnsi="Times New Roman" w:cs="Times New Roman"/>
          <w:i/>
          <w:sz w:val="24"/>
          <w:szCs w:val="24"/>
        </w:rPr>
        <w:t>in vitro</w:t>
      </w:r>
      <w:r w:rsidR="00885A25">
        <w:rPr>
          <w:rFonts w:ascii="Times New Roman" w:hAnsi="Times New Roman" w:cs="Times New Roman"/>
          <w:sz w:val="24"/>
          <w:szCs w:val="24"/>
        </w:rPr>
        <w:t xml:space="preserve"> system. </w:t>
      </w:r>
      <w:r w:rsidR="00BE5AA9">
        <w:rPr>
          <w:rFonts w:ascii="Times New Roman" w:hAnsi="Times New Roman" w:cs="Times New Roman"/>
          <w:sz w:val="24"/>
          <w:szCs w:val="24"/>
        </w:rPr>
        <w:t xml:space="preserve">The addition of an antibody carrier dose to both DGN549-ADC and DM4-ADC antagonizes ADC uptake due to competition </w:t>
      </w:r>
      <w:r w:rsidR="007C3098">
        <w:rPr>
          <w:rFonts w:ascii="Times New Roman" w:hAnsi="Times New Roman" w:cs="Times New Roman"/>
          <w:sz w:val="24"/>
          <w:szCs w:val="24"/>
        </w:rPr>
        <w:t xml:space="preserve">from the excess antibody </w:t>
      </w:r>
      <w:r w:rsidR="00BE5AA9">
        <w:rPr>
          <w:rFonts w:ascii="Times New Roman" w:hAnsi="Times New Roman" w:cs="Times New Roman"/>
          <w:sz w:val="24"/>
          <w:szCs w:val="24"/>
        </w:rPr>
        <w:t xml:space="preserve">for surface receptors, resulting in 10-20-fold </w:t>
      </w:r>
      <w:r w:rsidR="00EE1E9A">
        <w:rPr>
          <w:rFonts w:ascii="Times New Roman" w:hAnsi="Times New Roman" w:cs="Times New Roman"/>
          <w:sz w:val="24"/>
          <w:szCs w:val="24"/>
        </w:rPr>
        <w:t xml:space="preserve">increase </w:t>
      </w:r>
      <w:r w:rsidR="00BE5AA9">
        <w:rPr>
          <w:rFonts w:ascii="Times New Roman" w:hAnsi="Times New Roman" w:cs="Times New Roman"/>
          <w:sz w:val="24"/>
          <w:szCs w:val="24"/>
        </w:rPr>
        <w:t xml:space="preserve">in </w:t>
      </w:r>
      <w:r w:rsidR="007C3098">
        <w:rPr>
          <w:rFonts w:ascii="Times New Roman" w:hAnsi="Times New Roman" w:cs="Times New Roman"/>
          <w:sz w:val="24"/>
          <w:szCs w:val="24"/>
        </w:rPr>
        <w:t>IC50.</w:t>
      </w:r>
      <w:r w:rsidR="000D5AE1">
        <w:rPr>
          <w:rFonts w:ascii="Times New Roman" w:hAnsi="Times New Roman" w:cs="Times New Roman"/>
          <w:sz w:val="24"/>
          <w:szCs w:val="24"/>
        </w:rPr>
        <w:t xml:space="preserve"> </w:t>
      </w:r>
    </w:p>
    <w:p w14:paraId="4869AEB8" w14:textId="23BF6937" w:rsidR="008D4530" w:rsidRDefault="00DC3E31" w:rsidP="00BE5AA9">
      <w:pPr>
        <w:jc w:val="both"/>
        <w:rPr>
          <w:rFonts w:ascii="Times New Roman" w:hAnsi="Times New Roman" w:cs="Times New Roman"/>
          <w:sz w:val="24"/>
          <w:szCs w:val="24"/>
        </w:rPr>
      </w:pPr>
      <w:r>
        <w:rPr>
          <w:rFonts w:ascii="Times New Roman" w:hAnsi="Times New Roman" w:cs="Times New Roman"/>
          <w:sz w:val="24"/>
          <w:szCs w:val="24"/>
        </w:rPr>
        <w:t>F</w:t>
      </w:r>
      <w:r w:rsidR="00212D37">
        <w:rPr>
          <w:rFonts w:ascii="Times New Roman" w:hAnsi="Times New Roman" w:cs="Times New Roman"/>
          <w:sz w:val="24"/>
          <w:szCs w:val="24"/>
        </w:rPr>
        <w:t>or DGN549</w:t>
      </w:r>
      <w:r w:rsidR="000D5AE1">
        <w:rPr>
          <w:rFonts w:ascii="Times New Roman" w:hAnsi="Times New Roman" w:cs="Times New Roman"/>
          <w:sz w:val="24"/>
          <w:szCs w:val="24"/>
        </w:rPr>
        <w:t xml:space="preserve">, </w:t>
      </w:r>
      <w:r w:rsidR="00FF0492" w:rsidRPr="00FF0492">
        <w:rPr>
          <w:rFonts w:ascii="Times New Roman" w:hAnsi="Times New Roman" w:cs="Times New Roman"/>
          <w:i/>
          <w:sz w:val="24"/>
          <w:szCs w:val="24"/>
        </w:rPr>
        <w:t>in vitro</w:t>
      </w:r>
      <w:r w:rsidR="00FF0492">
        <w:rPr>
          <w:rFonts w:ascii="Times New Roman" w:hAnsi="Times New Roman" w:cs="Times New Roman"/>
          <w:sz w:val="24"/>
          <w:szCs w:val="24"/>
        </w:rPr>
        <w:t xml:space="preserve"> </w:t>
      </w:r>
      <w:r w:rsidR="00212D37">
        <w:rPr>
          <w:rFonts w:ascii="Times New Roman" w:hAnsi="Times New Roman" w:cs="Times New Roman"/>
          <w:sz w:val="24"/>
          <w:szCs w:val="24"/>
        </w:rPr>
        <w:t xml:space="preserve">calculations indicate that the fraction of bound ADCs required for 50% cell death is 3-fold higher </w:t>
      </w:r>
      <w:r w:rsidR="008D4530">
        <w:rPr>
          <w:rFonts w:ascii="Times New Roman" w:hAnsi="Times New Roman" w:cs="Times New Roman"/>
          <w:sz w:val="24"/>
          <w:szCs w:val="24"/>
        </w:rPr>
        <w:t xml:space="preserve">in KB cells </w:t>
      </w:r>
      <w:r w:rsidR="00212D37">
        <w:rPr>
          <w:rFonts w:ascii="Times New Roman" w:hAnsi="Times New Roman" w:cs="Times New Roman"/>
          <w:sz w:val="24"/>
          <w:szCs w:val="24"/>
        </w:rPr>
        <w:t>than OV90</w:t>
      </w:r>
      <w:r w:rsidR="008D4530">
        <w:rPr>
          <w:rFonts w:ascii="Times New Roman" w:hAnsi="Times New Roman" w:cs="Times New Roman"/>
          <w:sz w:val="24"/>
          <w:szCs w:val="24"/>
        </w:rPr>
        <w:t xml:space="preserve"> cells</w:t>
      </w:r>
      <w:r w:rsidR="00212D37">
        <w:rPr>
          <w:rFonts w:ascii="Times New Roman" w:hAnsi="Times New Roman" w:cs="Times New Roman"/>
          <w:sz w:val="24"/>
          <w:szCs w:val="24"/>
        </w:rPr>
        <w:t xml:space="preserve">, </w:t>
      </w:r>
      <w:r w:rsidR="00FF0492">
        <w:rPr>
          <w:rFonts w:ascii="Times New Roman" w:hAnsi="Times New Roman" w:cs="Times New Roman"/>
          <w:sz w:val="24"/>
          <w:szCs w:val="24"/>
        </w:rPr>
        <w:t xml:space="preserve">suggesting that OV90 may be more sensitive (assuming the internalization rate is the same). This is </w:t>
      </w:r>
      <w:r w:rsidR="008D4530">
        <w:rPr>
          <w:rFonts w:ascii="Times New Roman" w:hAnsi="Times New Roman" w:cs="Times New Roman"/>
          <w:sz w:val="24"/>
          <w:szCs w:val="24"/>
        </w:rPr>
        <w:t xml:space="preserve">relevant </w:t>
      </w:r>
      <w:r w:rsidR="00FF0492">
        <w:rPr>
          <w:rFonts w:ascii="Times New Roman" w:hAnsi="Times New Roman" w:cs="Times New Roman"/>
          <w:sz w:val="24"/>
          <w:szCs w:val="24"/>
        </w:rPr>
        <w:t xml:space="preserve">for </w:t>
      </w:r>
      <w:r w:rsidR="008D4530">
        <w:rPr>
          <w:rFonts w:ascii="Times New Roman" w:hAnsi="Times New Roman" w:cs="Times New Roman"/>
          <w:sz w:val="24"/>
          <w:szCs w:val="24"/>
        </w:rPr>
        <w:t xml:space="preserve">the </w:t>
      </w:r>
      <w:r w:rsidR="00FF0492">
        <w:rPr>
          <w:rFonts w:ascii="Times New Roman" w:hAnsi="Times New Roman" w:cs="Times New Roman"/>
          <w:sz w:val="24"/>
          <w:szCs w:val="24"/>
        </w:rPr>
        <w:t xml:space="preserve">simulations in Fig 2B and 2D, where the absolute ADC concentration in OV90 appears to be lower than KB, despite an overall better efficacy in OV90. </w:t>
      </w:r>
    </w:p>
    <w:p w14:paraId="22817AAC" w14:textId="77777777" w:rsidR="008D4530" w:rsidRDefault="008D4530">
      <w:pPr>
        <w:rPr>
          <w:rFonts w:ascii="Times New Roman" w:hAnsi="Times New Roman" w:cs="Times New Roman"/>
          <w:sz w:val="24"/>
          <w:szCs w:val="24"/>
        </w:rPr>
      </w:pPr>
      <w:r>
        <w:rPr>
          <w:rFonts w:ascii="Times New Roman" w:hAnsi="Times New Roman" w:cs="Times New Roman"/>
          <w:sz w:val="24"/>
          <w:szCs w:val="24"/>
        </w:rPr>
        <w:br w:type="page"/>
      </w:r>
    </w:p>
    <w:p w14:paraId="6A0FE782" w14:textId="77777777" w:rsidR="000D5AE1" w:rsidRDefault="000D5AE1" w:rsidP="00BE5AA9">
      <w:pPr>
        <w:jc w:val="both"/>
        <w:rPr>
          <w:rFonts w:ascii="Times New Roman" w:hAnsi="Times New Roman" w:cs="Times New Roman"/>
          <w:sz w:val="32"/>
        </w:rPr>
      </w:pPr>
    </w:p>
    <w:p w14:paraId="54A65613" w14:textId="32E4B4BF" w:rsidR="009E17AA" w:rsidRDefault="009E17AA" w:rsidP="005E64B1">
      <w:pPr>
        <w:jc w:val="both"/>
        <w:rPr>
          <w:rFonts w:ascii="Times New Roman" w:hAnsi="Times New Roman" w:cs="Times New Roman"/>
          <w:sz w:val="32"/>
        </w:rPr>
      </w:pPr>
      <w:r>
        <w:rPr>
          <w:rFonts w:ascii="Times New Roman" w:hAnsi="Times New Roman" w:cs="Times New Roman"/>
          <w:noProof/>
          <w:sz w:val="32"/>
        </w:rPr>
        <w:drawing>
          <wp:inline distT="0" distB="0" distL="0" distR="0" wp14:anchorId="0AF6DF07" wp14:editId="3A3571E8">
            <wp:extent cx="5943600" cy="2447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346AFA13" w14:textId="07087875" w:rsidR="00A91C01" w:rsidRDefault="00A91C01" w:rsidP="00A91C01">
      <w:pPr>
        <w:jc w:val="center"/>
        <w:rPr>
          <w:rFonts w:ascii="Times New Roman" w:hAnsi="Times New Roman" w:cs="Times New Roman"/>
          <w:sz w:val="32"/>
        </w:rPr>
      </w:pPr>
    </w:p>
    <w:p w14:paraId="6B01D3E7" w14:textId="0AF90D87" w:rsidR="00A91C01" w:rsidRPr="00A878F2" w:rsidRDefault="00A878F2" w:rsidP="009E17AA">
      <w:pPr>
        <w:jc w:val="both"/>
        <w:rPr>
          <w:rFonts w:ascii="Times New Roman" w:hAnsi="Times New Roman" w:cs="Times New Roman"/>
          <w:sz w:val="24"/>
        </w:rPr>
      </w:pPr>
      <w:r>
        <w:rPr>
          <w:rFonts w:ascii="Times New Roman" w:hAnsi="Times New Roman" w:cs="Times New Roman"/>
          <w:b/>
          <w:sz w:val="24"/>
        </w:rPr>
        <w:t>Fig. S</w:t>
      </w:r>
      <w:r w:rsidR="009E17AA" w:rsidRPr="00A878F2">
        <w:rPr>
          <w:rFonts w:ascii="Times New Roman" w:hAnsi="Times New Roman" w:cs="Times New Roman"/>
          <w:b/>
          <w:sz w:val="24"/>
        </w:rPr>
        <w:t>2.</w:t>
      </w:r>
      <w:r w:rsidR="009E17AA" w:rsidRPr="00A878F2">
        <w:rPr>
          <w:rFonts w:ascii="Times New Roman" w:hAnsi="Times New Roman" w:cs="Times New Roman"/>
          <w:sz w:val="24"/>
        </w:rPr>
        <w:t xml:space="preserve"> </w:t>
      </w:r>
      <w:r w:rsidR="00ED72EF" w:rsidRPr="00CF58D7">
        <w:rPr>
          <w:rFonts w:ascii="Times New Roman" w:hAnsi="Times New Roman" w:cs="Times New Roman"/>
          <w:b/>
          <w:sz w:val="24"/>
        </w:rPr>
        <w:t>Generation of c</w:t>
      </w:r>
      <w:r w:rsidR="009E17AA" w:rsidRPr="00CF58D7">
        <w:rPr>
          <w:rFonts w:ascii="Times New Roman" w:hAnsi="Times New Roman" w:cs="Times New Roman"/>
          <w:b/>
          <w:sz w:val="24"/>
        </w:rPr>
        <w:t xml:space="preserve">himera cross-reactive antibody rmFR1-12 </w:t>
      </w:r>
      <w:r w:rsidR="00ED72EF" w:rsidRPr="00CF58D7">
        <w:rPr>
          <w:rFonts w:ascii="Times New Roman" w:hAnsi="Times New Roman" w:cs="Times New Roman"/>
          <w:b/>
          <w:sz w:val="24"/>
        </w:rPr>
        <w:t>that recognizes both</w:t>
      </w:r>
      <w:r w:rsidR="009E17AA" w:rsidRPr="00CF58D7">
        <w:rPr>
          <w:rFonts w:ascii="Times New Roman" w:hAnsi="Times New Roman" w:cs="Times New Roman"/>
          <w:b/>
          <w:sz w:val="24"/>
        </w:rPr>
        <w:t xml:space="preserve"> human and murine FRα</w:t>
      </w:r>
      <w:r w:rsidR="009E17AA" w:rsidRPr="00A878F2">
        <w:rPr>
          <w:rFonts w:ascii="Times New Roman" w:hAnsi="Times New Roman" w:cs="Times New Roman"/>
          <w:sz w:val="24"/>
        </w:rPr>
        <w:t>.</w:t>
      </w:r>
      <w:r w:rsidR="00C06660">
        <w:rPr>
          <w:rFonts w:ascii="Times New Roman" w:hAnsi="Times New Roman" w:cs="Times New Roman"/>
          <w:sz w:val="24"/>
        </w:rPr>
        <w:t xml:space="preserve"> </w:t>
      </w:r>
    </w:p>
    <w:p w14:paraId="5C710548" w14:textId="76E47DC2" w:rsidR="009E17AA" w:rsidRDefault="009E17AA">
      <w:pPr>
        <w:rPr>
          <w:rFonts w:ascii="Times New Roman" w:hAnsi="Times New Roman" w:cs="Times New Roman"/>
          <w:sz w:val="32"/>
        </w:rPr>
      </w:pPr>
      <w:r>
        <w:rPr>
          <w:rFonts w:ascii="Times New Roman" w:hAnsi="Times New Roman" w:cs="Times New Roman"/>
          <w:sz w:val="32"/>
        </w:rPr>
        <w:br w:type="page"/>
      </w:r>
    </w:p>
    <w:p w14:paraId="36B97D2E" w14:textId="081B442E" w:rsidR="009E17AA" w:rsidRDefault="009E17AA" w:rsidP="009E17AA">
      <w:pPr>
        <w:jc w:val="both"/>
        <w:rPr>
          <w:rFonts w:ascii="Times New Roman" w:hAnsi="Times New Roman" w:cs="Times New Roman"/>
          <w:sz w:val="32"/>
        </w:rPr>
      </w:pPr>
      <w:r>
        <w:rPr>
          <w:rFonts w:ascii="Times New Roman" w:hAnsi="Times New Roman" w:cs="Times New Roman"/>
          <w:noProof/>
          <w:sz w:val="32"/>
        </w:rPr>
        <w:lastRenderedPageBreak/>
        <w:drawing>
          <wp:inline distT="0" distB="0" distL="0" distR="0" wp14:anchorId="191343F3" wp14:editId="21A0474C">
            <wp:extent cx="5943600" cy="3161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inline>
        </w:drawing>
      </w:r>
    </w:p>
    <w:p w14:paraId="7CA3BFA8" w14:textId="77777777" w:rsidR="009E17AA" w:rsidRDefault="009E17AA" w:rsidP="009E17AA">
      <w:pPr>
        <w:jc w:val="center"/>
        <w:rPr>
          <w:rFonts w:ascii="Times New Roman" w:hAnsi="Times New Roman" w:cs="Times New Roman"/>
          <w:sz w:val="32"/>
        </w:rPr>
      </w:pPr>
    </w:p>
    <w:p w14:paraId="52B601F8" w14:textId="77777777" w:rsidR="00C06660" w:rsidRDefault="00A878F2" w:rsidP="009E17AA">
      <w:pPr>
        <w:jc w:val="both"/>
        <w:rPr>
          <w:rFonts w:ascii="Times New Roman" w:hAnsi="Times New Roman" w:cs="Times New Roman"/>
          <w:sz w:val="24"/>
        </w:rPr>
      </w:pPr>
      <w:r w:rsidRPr="00C06660">
        <w:rPr>
          <w:rFonts w:ascii="Times New Roman" w:hAnsi="Times New Roman" w:cs="Times New Roman"/>
          <w:b/>
          <w:sz w:val="24"/>
        </w:rPr>
        <w:t>Fig.</w:t>
      </w:r>
      <w:r w:rsidR="009E17AA" w:rsidRPr="00C06660">
        <w:rPr>
          <w:rFonts w:ascii="Times New Roman" w:hAnsi="Times New Roman" w:cs="Times New Roman"/>
          <w:b/>
          <w:sz w:val="24"/>
        </w:rPr>
        <w:t xml:space="preserve"> </w:t>
      </w:r>
      <w:r w:rsidRPr="00C06660">
        <w:rPr>
          <w:rFonts w:ascii="Times New Roman" w:hAnsi="Times New Roman" w:cs="Times New Roman"/>
          <w:b/>
          <w:sz w:val="24"/>
        </w:rPr>
        <w:t>S</w:t>
      </w:r>
      <w:r w:rsidR="009E17AA" w:rsidRPr="00C06660">
        <w:rPr>
          <w:rFonts w:ascii="Times New Roman" w:hAnsi="Times New Roman" w:cs="Times New Roman"/>
          <w:b/>
          <w:sz w:val="24"/>
        </w:rPr>
        <w:t xml:space="preserve">3. </w:t>
      </w:r>
      <w:r w:rsidR="00ED72EF" w:rsidRPr="00C06660">
        <w:rPr>
          <w:rFonts w:ascii="Times New Roman" w:hAnsi="Times New Roman" w:cs="Times New Roman"/>
          <w:b/>
          <w:sz w:val="24"/>
        </w:rPr>
        <w:t>Binding of c</w:t>
      </w:r>
      <w:r w:rsidR="009E17AA" w:rsidRPr="00C06660">
        <w:rPr>
          <w:rFonts w:ascii="Times New Roman" w:hAnsi="Times New Roman" w:cs="Times New Roman"/>
          <w:b/>
          <w:sz w:val="24"/>
        </w:rPr>
        <w:t xml:space="preserve">ross-reactive antibody rmFR1-12 </w:t>
      </w:r>
      <w:r w:rsidR="00ED72EF" w:rsidRPr="00C06660">
        <w:rPr>
          <w:rFonts w:ascii="Times New Roman" w:hAnsi="Times New Roman" w:cs="Times New Roman"/>
          <w:b/>
          <w:sz w:val="24"/>
        </w:rPr>
        <w:t xml:space="preserve">to </w:t>
      </w:r>
      <w:r w:rsidR="009E17AA" w:rsidRPr="00C06660">
        <w:rPr>
          <w:rFonts w:ascii="Times New Roman" w:hAnsi="Times New Roman" w:cs="Times New Roman"/>
          <w:b/>
          <w:sz w:val="24"/>
        </w:rPr>
        <w:t>human and murine FRα.</w:t>
      </w:r>
      <w:r w:rsidR="00ED72EF" w:rsidRPr="00A878F2">
        <w:rPr>
          <w:rFonts w:ascii="Times New Roman" w:hAnsi="Times New Roman" w:cs="Times New Roman"/>
          <w:sz w:val="24"/>
        </w:rPr>
        <w:t xml:space="preserve"> </w:t>
      </w:r>
    </w:p>
    <w:p w14:paraId="30FC84D9" w14:textId="6B3046A6" w:rsidR="009E17AA" w:rsidRPr="00A878F2" w:rsidRDefault="00C06660" w:rsidP="009E17AA">
      <w:pPr>
        <w:jc w:val="both"/>
        <w:rPr>
          <w:rFonts w:ascii="Times New Roman" w:hAnsi="Times New Roman" w:cs="Times New Roman"/>
          <w:sz w:val="24"/>
        </w:rPr>
      </w:pPr>
      <w:r>
        <w:rPr>
          <w:rFonts w:ascii="Times New Roman" w:hAnsi="Times New Roman" w:cs="Times New Roman"/>
          <w:sz w:val="24"/>
        </w:rPr>
        <w:t xml:space="preserve">(A) In vitro assays with the cross-reactive antibody showed comparable binding affinity with both mouse FRα (M109S cell line) and human FRα (KB cell line). </w:t>
      </w:r>
      <w:r w:rsidR="00896B31">
        <w:rPr>
          <w:rFonts w:ascii="Times New Roman" w:hAnsi="Times New Roman" w:cs="Times New Roman"/>
          <w:sz w:val="24"/>
        </w:rPr>
        <w:t>Binding affinity of non-cross-reactive antibody in KB cells is 0.08nM</w:t>
      </w:r>
      <w:r w:rsidR="00896B31">
        <w:rPr>
          <w:rFonts w:ascii="Times New Roman" w:hAnsi="Times New Roman" w:cs="Times New Roman"/>
          <w:sz w:val="24"/>
        </w:rPr>
        <w:fldChar w:fldCharType="begin"/>
      </w:r>
      <w:r w:rsidR="00896B31">
        <w:rPr>
          <w:rFonts w:ascii="Times New Roman" w:hAnsi="Times New Roman" w:cs="Times New Roman"/>
          <w:sz w:val="24"/>
        </w:rPr>
        <w:instrText xml:space="preserve"> ADDIN EN.CITE &lt;EndNote&gt;&lt;Cite&gt;&lt;Author&gt;Ab&lt;/Author&gt;&lt;Year&gt;2015&lt;/Year&gt;&lt;RecNum&gt;98&lt;/RecNum&gt;&lt;DisplayText&gt;(1)&lt;/DisplayText&gt;&lt;record&gt;&lt;rec-number&gt;98&lt;/rec-number&gt;&lt;foreign-keys&gt;&lt;key app="EN" db-id="aa9v22earwp5tzedp0cptvs6rssffwefrars" timestamp="1586056798"&gt;98&lt;/key&gt;&lt;/foreign-keys&gt;&lt;ref-type name="Journal Article"&gt;17&lt;/ref-type&gt;&lt;contributors&gt;&lt;authors&gt;&lt;author&gt;Ab, Olga&lt;/author&gt;&lt;author&gt;Whiteman, Kathleen R.&lt;/author&gt;&lt;author&gt;Bartle, Laura M.&lt;/author&gt;&lt;author&gt;Sun, Xiuxia&lt;/author&gt;&lt;author&gt;Singh, Rajeeva&lt;/author&gt;&lt;author&gt;Tavares, Daniel&lt;/author&gt;&lt;author&gt;LaBelle, Alyssa&lt;/author&gt;&lt;author&gt;Payne, Gillian&lt;/author&gt;&lt;author&gt;Lutz, Robert J.&lt;/author&gt;&lt;author&gt;Pinkas, Jan&lt;/author&gt;&lt;author&gt;Goldmacher, Victor S.&lt;/author&gt;&lt;author&gt;Chittenden, Thomas&lt;/author&gt;&lt;author&gt;Lambert, John M.&lt;/author&gt;&lt;/authors&gt;&lt;/contributors&gt;&lt;titles&gt;&lt;title&gt;IMGN853, a Folate Receptor-α (FRα)–Targeting Antibody–Drug Conjugate, Exhibits Potent Targeted Antitumor Activity against FRα-Expressing Tumors&lt;/title&gt;&lt;secondary-title&gt;Molecular Cancer Therapeutics&lt;/secondary-title&gt;&lt;/titles&gt;&lt;periodical&gt;&lt;full-title&gt;Molecular Cancer Therapeutics&lt;/full-title&gt;&lt;/periodical&gt;&lt;pages&gt;1605&lt;/pages&gt;&lt;volume&gt;14&lt;/volume&gt;&lt;number&gt;7&lt;/number&gt;&lt;dates&gt;&lt;year&gt;2015&lt;/year&gt;&lt;/dates&gt;&lt;urls&gt;&lt;related-urls&gt;&lt;url&gt;http://mct.aacrjournals.org/content/14/7/1605.abstract&lt;/url&gt;&lt;/related-urls&gt;&lt;/urls&gt;&lt;electronic-resource-num&gt;10.1158/1535-7163.MCT-14-1095&lt;/electronic-resource-num&gt;&lt;/record&gt;&lt;/Cite&gt;&lt;/EndNote&gt;</w:instrText>
      </w:r>
      <w:r w:rsidR="00896B31">
        <w:rPr>
          <w:rFonts w:ascii="Times New Roman" w:hAnsi="Times New Roman" w:cs="Times New Roman"/>
          <w:sz w:val="24"/>
        </w:rPr>
        <w:fldChar w:fldCharType="separate"/>
      </w:r>
      <w:r w:rsidR="00896B31">
        <w:rPr>
          <w:rFonts w:ascii="Times New Roman" w:hAnsi="Times New Roman" w:cs="Times New Roman"/>
          <w:noProof/>
          <w:sz w:val="24"/>
        </w:rPr>
        <w:t>(1)</w:t>
      </w:r>
      <w:r w:rsidR="00896B31">
        <w:rPr>
          <w:rFonts w:ascii="Times New Roman" w:hAnsi="Times New Roman" w:cs="Times New Roman"/>
          <w:sz w:val="24"/>
        </w:rPr>
        <w:fldChar w:fldCharType="end"/>
      </w:r>
      <w:r w:rsidR="00896B31">
        <w:rPr>
          <w:rFonts w:ascii="Times New Roman" w:hAnsi="Times New Roman" w:cs="Times New Roman"/>
          <w:sz w:val="24"/>
        </w:rPr>
        <w:t xml:space="preserve"> </w:t>
      </w:r>
      <w:r w:rsidR="00896B31" w:rsidRPr="00896B31">
        <w:rPr>
          <w:rFonts w:ascii="Times New Roman" w:hAnsi="Times New Roman" w:cs="Times New Roman"/>
          <w:sz w:val="24"/>
        </w:rPr>
        <w:t>Importantly, while this difference in affinity is expected to impact the in vitro IC</w:t>
      </w:r>
      <w:r w:rsidR="00896B31" w:rsidRPr="00896B31">
        <w:rPr>
          <w:rFonts w:ascii="Times New Roman" w:hAnsi="Times New Roman" w:cs="Times New Roman"/>
          <w:sz w:val="24"/>
          <w:vertAlign w:val="subscript"/>
        </w:rPr>
        <w:t>50</w:t>
      </w:r>
      <w:r w:rsidR="00896B31" w:rsidRPr="00896B31">
        <w:rPr>
          <w:rFonts w:ascii="Times New Roman" w:hAnsi="Times New Roman" w:cs="Times New Roman"/>
          <w:sz w:val="24"/>
        </w:rPr>
        <w:t>, the difference in affinity has a negligible impact on total tumor uptake and distribution in this range according to computational simulations and experimental measurements</w:t>
      </w:r>
      <w:r w:rsidR="00896B31">
        <w:rPr>
          <w:rFonts w:ascii="Times New Roman" w:hAnsi="Times New Roman" w:cs="Times New Roman"/>
          <w:sz w:val="24"/>
        </w:rPr>
        <w:fldChar w:fldCharType="begin">
          <w:fldData xml:space="preserve">PEVuZE5vdGU+PENpdGU+PEF1dGhvcj5SdWRuaWNrPC9BdXRob3I+PFllYXI+MjAxMTwvWWVhcj48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</w:fldData>
        </w:fldChar>
      </w:r>
      <w:r w:rsidR="00896B31">
        <w:rPr>
          <w:rFonts w:ascii="Times New Roman" w:hAnsi="Times New Roman" w:cs="Times New Roman"/>
          <w:sz w:val="24"/>
        </w:rPr>
        <w:instrText xml:space="preserve"> ADDIN EN.CITE </w:instrText>
      </w:r>
      <w:r w:rsidR="00896B31">
        <w:rPr>
          <w:rFonts w:ascii="Times New Roman" w:hAnsi="Times New Roman" w:cs="Times New Roman"/>
          <w:sz w:val="24"/>
        </w:rPr>
        <w:fldChar w:fldCharType="begin">
          <w:fldData xml:space="preserve">PEVuZE5vdGU+PENpdGU+PEF1dGhvcj5SdWRuaWNrPC9BdXRob3I+PFllYXI+MjAxMTwvWWVhcj48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</w:fldData>
        </w:fldChar>
      </w:r>
      <w:r w:rsidR="00896B31">
        <w:rPr>
          <w:rFonts w:ascii="Times New Roman" w:hAnsi="Times New Roman" w:cs="Times New Roman"/>
          <w:sz w:val="24"/>
        </w:rPr>
        <w:instrText xml:space="preserve"> ADDIN EN.CITE.DATA </w:instrText>
      </w:r>
      <w:r w:rsidR="00896B31">
        <w:rPr>
          <w:rFonts w:ascii="Times New Roman" w:hAnsi="Times New Roman" w:cs="Times New Roman"/>
          <w:sz w:val="24"/>
        </w:rPr>
      </w:r>
      <w:r w:rsidR="00896B31">
        <w:rPr>
          <w:rFonts w:ascii="Times New Roman" w:hAnsi="Times New Roman" w:cs="Times New Roman"/>
          <w:sz w:val="24"/>
        </w:rPr>
        <w:fldChar w:fldCharType="end"/>
      </w:r>
      <w:r w:rsidR="00896B31">
        <w:rPr>
          <w:rFonts w:ascii="Times New Roman" w:hAnsi="Times New Roman" w:cs="Times New Roman"/>
          <w:sz w:val="24"/>
        </w:rPr>
      </w:r>
      <w:r w:rsidR="00896B31">
        <w:rPr>
          <w:rFonts w:ascii="Times New Roman" w:hAnsi="Times New Roman" w:cs="Times New Roman"/>
          <w:sz w:val="24"/>
        </w:rPr>
        <w:fldChar w:fldCharType="separate"/>
      </w:r>
      <w:r w:rsidR="00896B31">
        <w:rPr>
          <w:rFonts w:ascii="Times New Roman" w:hAnsi="Times New Roman" w:cs="Times New Roman"/>
          <w:noProof/>
          <w:sz w:val="24"/>
        </w:rPr>
        <w:t>(2)</w:t>
      </w:r>
      <w:r w:rsidR="00896B31">
        <w:rPr>
          <w:rFonts w:ascii="Times New Roman" w:hAnsi="Times New Roman" w:cs="Times New Roman"/>
          <w:sz w:val="24"/>
        </w:rPr>
        <w:fldChar w:fldCharType="end"/>
      </w:r>
      <w:r w:rsidR="00896B31" w:rsidRPr="00896B31">
        <w:rPr>
          <w:rFonts w:ascii="Times New Roman" w:hAnsi="Times New Roman" w:cs="Times New Roman"/>
          <w:sz w:val="24"/>
        </w:rPr>
        <w:t xml:space="preserve"> </w:t>
      </w:r>
      <w:r>
        <w:rPr>
          <w:rFonts w:ascii="Times New Roman" w:hAnsi="Times New Roman" w:cs="Times New Roman"/>
          <w:sz w:val="24"/>
        </w:rPr>
        <w:t xml:space="preserve">(B) The cross-reactive antibody exhibited </w:t>
      </w:r>
      <w:r w:rsidR="00DC3E31">
        <w:rPr>
          <w:rFonts w:ascii="Times New Roman" w:hAnsi="Times New Roman" w:cs="Times New Roman"/>
          <w:sz w:val="24"/>
        </w:rPr>
        <w:t>equivalent</w:t>
      </w:r>
      <w:r>
        <w:rPr>
          <w:rFonts w:ascii="Times New Roman" w:hAnsi="Times New Roman" w:cs="Times New Roman"/>
          <w:sz w:val="24"/>
        </w:rPr>
        <w:t xml:space="preserve"> binding to both mouse and human FRα in the presence of a </w:t>
      </w:r>
      <w:r w:rsidR="0011030B">
        <w:rPr>
          <w:rFonts w:ascii="Times New Roman" w:hAnsi="Times New Roman" w:cs="Times New Roman"/>
          <w:sz w:val="24"/>
        </w:rPr>
        <w:t>supraphysiological</w:t>
      </w:r>
      <w:r>
        <w:rPr>
          <w:rFonts w:ascii="Times New Roman" w:hAnsi="Times New Roman" w:cs="Times New Roman"/>
          <w:sz w:val="24"/>
        </w:rPr>
        <w:t xml:space="preserve"> concentration of folate, indicating binding does not </w:t>
      </w:r>
      <w:r w:rsidR="00B73322">
        <w:rPr>
          <w:rFonts w:ascii="Times New Roman" w:hAnsi="Times New Roman" w:cs="Times New Roman"/>
          <w:sz w:val="24"/>
        </w:rPr>
        <w:t xml:space="preserve">significantly </w:t>
      </w:r>
      <w:r>
        <w:rPr>
          <w:rFonts w:ascii="Times New Roman" w:hAnsi="Times New Roman" w:cs="Times New Roman"/>
          <w:sz w:val="24"/>
        </w:rPr>
        <w:t>compete for the same FRα epitope as folate.</w:t>
      </w:r>
    </w:p>
    <w:p w14:paraId="3C25F71C" w14:textId="1785D327" w:rsidR="00ED72EF" w:rsidRPr="00A878F2" w:rsidRDefault="00ED72EF">
      <w:pPr>
        <w:rPr>
          <w:rFonts w:ascii="Times New Roman" w:hAnsi="Times New Roman" w:cs="Times New Roman"/>
          <w:sz w:val="24"/>
        </w:rPr>
      </w:pPr>
      <w:r w:rsidRPr="00A878F2">
        <w:rPr>
          <w:rFonts w:ascii="Times New Roman" w:hAnsi="Times New Roman" w:cs="Times New Roman"/>
          <w:sz w:val="24"/>
        </w:rPr>
        <w:br w:type="page"/>
      </w:r>
    </w:p>
    <w:p w14:paraId="04023AD1" w14:textId="3939A0D9" w:rsidR="00ED72EF" w:rsidRDefault="00ED72EF" w:rsidP="00A878F2">
      <w:pPr>
        <w:jc w:val="center"/>
        <w:rPr>
          <w:rFonts w:ascii="Times New Roman" w:hAnsi="Times New Roman" w:cs="Times New Roman"/>
          <w:sz w:val="32"/>
        </w:rPr>
      </w:pPr>
      <w:r>
        <w:rPr>
          <w:rFonts w:ascii="Times New Roman" w:hAnsi="Times New Roman" w:cs="Times New Roman"/>
          <w:noProof/>
          <w:sz w:val="32"/>
        </w:rPr>
        <w:lastRenderedPageBreak/>
        <w:drawing>
          <wp:inline distT="0" distB="0" distL="0" distR="0" wp14:anchorId="72DC7946" wp14:editId="036E5788">
            <wp:extent cx="4557285"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7954" cy="2572128"/>
                    </a:xfrm>
                    <a:prstGeom prst="rect">
                      <a:avLst/>
                    </a:prstGeom>
                  </pic:spPr>
                </pic:pic>
              </a:graphicData>
            </a:graphic>
          </wp:inline>
        </w:drawing>
      </w:r>
    </w:p>
    <w:p w14:paraId="0283AA98" w14:textId="31C16525" w:rsidR="00ED72EF" w:rsidRDefault="00A878F2" w:rsidP="009E17AA">
      <w:pPr>
        <w:jc w:val="both"/>
        <w:rPr>
          <w:rFonts w:ascii="Times New Roman" w:hAnsi="Times New Roman" w:cs="Times New Roman"/>
          <w:sz w:val="24"/>
        </w:rPr>
      </w:pPr>
      <w:r>
        <w:rPr>
          <w:rFonts w:ascii="Times New Roman" w:hAnsi="Times New Roman" w:cs="Times New Roman"/>
          <w:b/>
          <w:sz w:val="24"/>
        </w:rPr>
        <w:t>Fig. S</w:t>
      </w:r>
      <w:r w:rsidR="00ED72EF" w:rsidRPr="00A878F2">
        <w:rPr>
          <w:rFonts w:ascii="Times New Roman" w:hAnsi="Times New Roman" w:cs="Times New Roman"/>
          <w:b/>
          <w:sz w:val="24"/>
        </w:rPr>
        <w:t>4</w:t>
      </w:r>
      <w:r w:rsidR="00ED72EF" w:rsidRPr="00A878F2">
        <w:rPr>
          <w:rFonts w:ascii="Times New Roman" w:hAnsi="Times New Roman" w:cs="Times New Roman"/>
          <w:sz w:val="24"/>
        </w:rPr>
        <w:t xml:space="preserve">. </w:t>
      </w:r>
      <w:r w:rsidR="00ED72EF" w:rsidRPr="00C06660">
        <w:rPr>
          <w:rFonts w:ascii="Times New Roman" w:hAnsi="Times New Roman" w:cs="Times New Roman"/>
          <w:b/>
          <w:sz w:val="24"/>
        </w:rPr>
        <w:t>Unconjugated rmFR1-12 antibody without cytotoxic payload shows no efficacy</w:t>
      </w:r>
      <w:r w:rsidR="0016534B">
        <w:rPr>
          <w:rFonts w:ascii="Times New Roman" w:hAnsi="Times New Roman" w:cs="Times New Roman"/>
          <w:b/>
          <w:sz w:val="24"/>
        </w:rPr>
        <w:t xml:space="preserve"> in KB (high FR</w:t>
      </w:r>
      <w:r w:rsidR="0016534B">
        <w:rPr>
          <w:rFonts w:ascii="Cambria Math" w:hAnsi="Cambria Math" w:cs="Times New Roman"/>
          <w:b/>
          <w:sz w:val="24"/>
        </w:rPr>
        <w:t>∝</w:t>
      </w:r>
      <w:r w:rsidR="0016534B">
        <w:rPr>
          <w:rFonts w:ascii="Times New Roman" w:hAnsi="Times New Roman" w:cs="Times New Roman"/>
          <w:b/>
          <w:sz w:val="24"/>
        </w:rPr>
        <w:t>) tumors</w:t>
      </w:r>
      <w:r w:rsidR="00ED72EF" w:rsidRPr="00C06660">
        <w:rPr>
          <w:rFonts w:ascii="Times New Roman" w:hAnsi="Times New Roman" w:cs="Times New Roman"/>
          <w:b/>
          <w:sz w:val="24"/>
        </w:rPr>
        <w:t xml:space="preserve"> when administered alone</w:t>
      </w:r>
      <w:r w:rsidR="00215AC3">
        <w:rPr>
          <w:rFonts w:ascii="Times New Roman" w:hAnsi="Times New Roman" w:cs="Times New Roman"/>
          <w:b/>
          <w:sz w:val="24"/>
        </w:rPr>
        <w:t xml:space="preserve"> (singe dose)</w:t>
      </w:r>
      <w:r w:rsidR="00C06660" w:rsidRPr="00C06660">
        <w:rPr>
          <w:rFonts w:ascii="Times New Roman" w:hAnsi="Times New Roman" w:cs="Times New Roman"/>
          <w:b/>
          <w:sz w:val="24"/>
        </w:rPr>
        <w:t>.</w:t>
      </w:r>
      <w:r w:rsidR="00ED72EF" w:rsidRPr="00A878F2">
        <w:rPr>
          <w:rFonts w:ascii="Times New Roman" w:hAnsi="Times New Roman" w:cs="Times New Roman"/>
          <w:sz w:val="24"/>
        </w:rPr>
        <w:t xml:space="preserve"> </w:t>
      </w:r>
      <w:r w:rsidR="00C06660">
        <w:rPr>
          <w:rFonts w:ascii="Times New Roman" w:hAnsi="Times New Roman" w:cs="Times New Roman"/>
          <w:sz w:val="24"/>
        </w:rPr>
        <w:t xml:space="preserve"> </w:t>
      </w:r>
    </w:p>
    <w:p w14:paraId="78A5B445" w14:textId="0801A83E" w:rsidR="00A878F2" w:rsidRDefault="00A878F2">
      <w:pPr>
        <w:rPr>
          <w:rFonts w:ascii="Times New Roman" w:hAnsi="Times New Roman" w:cs="Times New Roman"/>
          <w:sz w:val="24"/>
        </w:rPr>
      </w:pPr>
      <w:r>
        <w:rPr>
          <w:rFonts w:ascii="Times New Roman" w:hAnsi="Times New Roman" w:cs="Times New Roman"/>
          <w:sz w:val="24"/>
        </w:rPr>
        <w:br w:type="page"/>
      </w:r>
    </w:p>
    <w:p w14:paraId="429FF8AA" w14:textId="79479491" w:rsidR="00A878F2" w:rsidRDefault="0013002C" w:rsidP="009E17AA">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A1B876B" wp14:editId="498B9F00">
            <wp:extent cx="5943600" cy="2059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inline>
        </w:drawing>
      </w:r>
    </w:p>
    <w:p w14:paraId="3A9162C6" w14:textId="7494368B" w:rsidR="0013002C" w:rsidRDefault="0013002C" w:rsidP="009E17AA">
      <w:pPr>
        <w:jc w:val="both"/>
        <w:rPr>
          <w:rFonts w:ascii="Times New Roman" w:hAnsi="Times New Roman" w:cs="Times New Roman"/>
          <w:sz w:val="24"/>
        </w:rPr>
      </w:pPr>
      <w:r w:rsidRPr="0013002C">
        <w:rPr>
          <w:rFonts w:ascii="Times New Roman" w:hAnsi="Times New Roman" w:cs="Times New Roman"/>
          <w:b/>
          <w:sz w:val="24"/>
        </w:rPr>
        <w:t>Fig. S5.</w:t>
      </w:r>
      <w:r>
        <w:rPr>
          <w:rFonts w:ascii="Times New Roman" w:hAnsi="Times New Roman" w:cs="Times New Roman"/>
          <w:sz w:val="24"/>
        </w:rPr>
        <w:t xml:space="preserve"> </w:t>
      </w:r>
      <w:r w:rsidRPr="00126E83">
        <w:rPr>
          <w:rFonts w:ascii="Times New Roman" w:hAnsi="Times New Roman" w:cs="Times New Roman"/>
          <w:b/>
          <w:sz w:val="24"/>
        </w:rPr>
        <w:t>Dose-dependent pharmacokinetics and efficacy of cross-reactive rmFR1-12 antibody-drug conjugate</w:t>
      </w:r>
      <w:r>
        <w:rPr>
          <w:rFonts w:ascii="Times New Roman" w:hAnsi="Times New Roman" w:cs="Times New Roman"/>
          <w:sz w:val="24"/>
        </w:rPr>
        <w:t>.</w:t>
      </w:r>
      <w:r w:rsidR="00126E83">
        <w:rPr>
          <w:rFonts w:ascii="Times New Roman" w:hAnsi="Times New Roman" w:cs="Times New Roman"/>
          <w:sz w:val="24"/>
        </w:rPr>
        <w:t xml:space="preserve"> Administration of increasing doses of ADC </w:t>
      </w:r>
      <w:r w:rsidR="00C06660">
        <w:rPr>
          <w:rFonts w:ascii="Times New Roman" w:hAnsi="Times New Roman" w:cs="Times New Roman"/>
          <w:sz w:val="24"/>
        </w:rPr>
        <w:t>in KB (high FRα) tumor-bearing mice results in</w:t>
      </w:r>
      <w:r w:rsidR="00126E83">
        <w:rPr>
          <w:rFonts w:ascii="Times New Roman" w:hAnsi="Times New Roman" w:cs="Times New Roman"/>
          <w:sz w:val="24"/>
        </w:rPr>
        <w:t xml:space="preserve"> </w:t>
      </w:r>
      <w:r w:rsidR="00C06660">
        <w:rPr>
          <w:rFonts w:ascii="Times New Roman" w:hAnsi="Times New Roman" w:cs="Times New Roman"/>
          <w:sz w:val="24"/>
        </w:rPr>
        <w:t xml:space="preserve">(A) </w:t>
      </w:r>
      <w:r w:rsidR="00126E83">
        <w:rPr>
          <w:rFonts w:ascii="Times New Roman" w:hAnsi="Times New Roman" w:cs="Times New Roman"/>
          <w:sz w:val="24"/>
        </w:rPr>
        <w:t xml:space="preserve">improved </w:t>
      </w:r>
      <w:r w:rsidR="00C06660">
        <w:rPr>
          <w:rFonts w:ascii="Times New Roman" w:hAnsi="Times New Roman" w:cs="Times New Roman"/>
          <w:sz w:val="24"/>
        </w:rPr>
        <w:t>pharmacokinetics indicated by reduced TMDD-mediated clearance and (B) better efficacy</w:t>
      </w:r>
      <w:r w:rsidR="00215AC3">
        <w:rPr>
          <w:rFonts w:ascii="Times New Roman" w:hAnsi="Times New Roman" w:cs="Times New Roman"/>
          <w:sz w:val="24"/>
        </w:rPr>
        <w:t xml:space="preserve"> (single dose)</w:t>
      </w:r>
      <w:r w:rsidR="00C06660">
        <w:rPr>
          <w:rFonts w:ascii="Times New Roman" w:hAnsi="Times New Roman" w:cs="Times New Roman"/>
          <w:sz w:val="24"/>
        </w:rPr>
        <w:t>.</w:t>
      </w:r>
    </w:p>
    <w:p w14:paraId="0C5FA3BC" w14:textId="4C1929E1" w:rsidR="0013002C" w:rsidRDefault="0013002C">
      <w:pPr>
        <w:rPr>
          <w:rFonts w:ascii="Times New Roman" w:hAnsi="Times New Roman" w:cs="Times New Roman"/>
          <w:sz w:val="24"/>
        </w:rPr>
      </w:pPr>
      <w:r>
        <w:rPr>
          <w:rFonts w:ascii="Times New Roman" w:hAnsi="Times New Roman" w:cs="Times New Roman"/>
          <w:sz w:val="24"/>
        </w:rPr>
        <w:br w:type="page"/>
      </w:r>
    </w:p>
    <w:p w14:paraId="69B9F11C" w14:textId="498866D4" w:rsidR="00E45E27" w:rsidRDefault="0021276D" w:rsidP="009E17AA">
      <w:pPr>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0784B58D" wp14:editId="282ABCD1">
            <wp:extent cx="5943600" cy="4143375"/>
            <wp:effectExtent l="0" t="0" r="0" b="9525"/>
            <wp:docPr id="10" name="Picture 10" descr="A picture containing sitting, gree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0EB9648E" w14:textId="4C61702A" w:rsidR="00E45E27" w:rsidRPr="00126E83" w:rsidRDefault="00E45E27" w:rsidP="009E17AA">
      <w:pPr>
        <w:jc w:val="both"/>
        <w:rPr>
          <w:rFonts w:ascii="Times New Roman" w:hAnsi="Times New Roman" w:cs="Times New Roman"/>
          <w:i/>
          <w:sz w:val="24"/>
        </w:rPr>
      </w:pPr>
      <w:r w:rsidRPr="00730788">
        <w:rPr>
          <w:rFonts w:ascii="Times New Roman" w:hAnsi="Times New Roman" w:cs="Times New Roman"/>
          <w:b/>
          <w:sz w:val="24"/>
        </w:rPr>
        <w:t>Fig. S</w:t>
      </w:r>
      <w:r w:rsidR="008F412D" w:rsidRPr="00730788">
        <w:rPr>
          <w:rFonts w:ascii="Times New Roman" w:hAnsi="Times New Roman" w:cs="Times New Roman"/>
          <w:b/>
          <w:sz w:val="24"/>
        </w:rPr>
        <w:t>6</w:t>
      </w:r>
      <w:r w:rsidRPr="00730788">
        <w:rPr>
          <w:rFonts w:ascii="Times New Roman" w:hAnsi="Times New Roman" w:cs="Times New Roman"/>
          <w:b/>
          <w:sz w:val="24"/>
        </w:rPr>
        <w:t>. Immunofluorescence tumor imaging to assess ADC distribution heterogeneity.</w:t>
      </w:r>
      <w:r w:rsidR="00730788">
        <w:rPr>
          <w:rFonts w:ascii="Times New Roman" w:hAnsi="Times New Roman" w:cs="Times New Roman"/>
          <w:b/>
          <w:sz w:val="24"/>
        </w:rPr>
        <w:t xml:space="preserve"> </w:t>
      </w:r>
      <w:r w:rsidR="001735DE">
        <w:rPr>
          <w:rFonts w:ascii="Times New Roman" w:hAnsi="Times New Roman" w:cs="Times New Roman"/>
          <w:sz w:val="24"/>
        </w:rPr>
        <w:t xml:space="preserve">KB (high FRα) xenograft tumors harvested </w:t>
      </w:r>
      <w:r w:rsidR="0016534B">
        <w:rPr>
          <w:rFonts w:ascii="Times New Roman" w:hAnsi="Times New Roman" w:cs="Times New Roman"/>
          <w:sz w:val="24"/>
        </w:rPr>
        <w:t xml:space="preserve">48 hours </w:t>
      </w:r>
      <w:r w:rsidR="00B73322">
        <w:rPr>
          <w:rFonts w:ascii="Times New Roman" w:hAnsi="Times New Roman" w:cs="Times New Roman"/>
          <w:sz w:val="24"/>
        </w:rPr>
        <w:t xml:space="preserve">post-administration </w:t>
      </w:r>
      <w:r w:rsidR="001735DE">
        <w:rPr>
          <w:rFonts w:ascii="Times New Roman" w:hAnsi="Times New Roman" w:cs="Times New Roman"/>
          <w:sz w:val="24"/>
        </w:rPr>
        <w:t xml:space="preserve">from SCID mice injected with </w:t>
      </w:r>
      <w:r w:rsidR="00126E83">
        <w:rPr>
          <w:rFonts w:ascii="Times New Roman" w:hAnsi="Times New Roman" w:cs="Times New Roman"/>
          <w:sz w:val="24"/>
        </w:rPr>
        <w:t xml:space="preserve">(A) </w:t>
      </w:r>
      <w:r w:rsidR="001735DE" w:rsidRPr="001735DE">
        <w:rPr>
          <w:rFonts w:ascii="Times New Roman" w:hAnsi="Times New Roman" w:cs="Times New Roman"/>
          <w:i/>
          <w:sz w:val="24"/>
        </w:rPr>
        <w:t>saline</w:t>
      </w:r>
      <w:r w:rsidR="001735DE">
        <w:rPr>
          <w:rFonts w:ascii="Times New Roman" w:hAnsi="Times New Roman" w:cs="Times New Roman"/>
          <w:sz w:val="24"/>
        </w:rPr>
        <w:t xml:space="preserve">, </w:t>
      </w:r>
      <w:r w:rsidR="00126E83">
        <w:rPr>
          <w:rFonts w:ascii="Times New Roman" w:hAnsi="Times New Roman" w:cs="Times New Roman"/>
          <w:sz w:val="24"/>
        </w:rPr>
        <w:t xml:space="preserve">(B) </w:t>
      </w:r>
      <w:r w:rsidR="001735DE" w:rsidRPr="001735DE">
        <w:rPr>
          <w:rFonts w:ascii="Times New Roman" w:hAnsi="Times New Roman" w:cs="Times New Roman"/>
          <w:i/>
          <w:sz w:val="24"/>
        </w:rPr>
        <w:t>2.5mg/kg AF488-Ab</w:t>
      </w:r>
      <w:r w:rsidR="001735DE" w:rsidRPr="001735DE">
        <w:rPr>
          <w:rFonts w:ascii="Times New Roman" w:hAnsi="Times New Roman" w:cs="Times New Roman"/>
          <w:sz w:val="24"/>
        </w:rPr>
        <w:t>,</w:t>
      </w:r>
      <w:r w:rsidR="001735DE">
        <w:rPr>
          <w:rFonts w:ascii="Times New Roman" w:hAnsi="Times New Roman" w:cs="Times New Roman"/>
          <w:sz w:val="24"/>
        </w:rPr>
        <w:t xml:space="preserve"> </w:t>
      </w:r>
      <w:r w:rsidR="00126E83">
        <w:rPr>
          <w:rFonts w:ascii="Times New Roman" w:hAnsi="Times New Roman" w:cs="Times New Roman"/>
          <w:sz w:val="24"/>
        </w:rPr>
        <w:t xml:space="preserve">(C) </w:t>
      </w:r>
      <w:r w:rsidR="001735DE" w:rsidRPr="001735DE">
        <w:rPr>
          <w:rFonts w:ascii="Times New Roman" w:hAnsi="Times New Roman" w:cs="Times New Roman"/>
          <w:i/>
          <w:sz w:val="24"/>
        </w:rPr>
        <w:t>2.5mg/kg AF488-Ab + 10mg/kg Ab</w:t>
      </w:r>
      <w:r w:rsidR="001735DE">
        <w:rPr>
          <w:rFonts w:ascii="Times New Roman" w:hAnsi="Times New Roman" w:cs="Times New Roman"/>
          <w:sz w:val="24"/>
        </w:rPr>
        <w:t xml:space="preserve">, or </w:t>
      </w:r>
      <w:r w:rsidR="00126E83">
        <w:rPr>
          <w:rFonts w:ascii="Times New Roman" w:hAnsi="Times New Roman" w:cs="Times New Roman"/>
          <w:sz w:val="24"/>
        </w:rPr>
        <w:t xml:space="preserve">(D) </w:t>
      </w:r>
      <w:r w:rsidR="001735DE" w:rsidRPr="001735DE">
        <w:rPr>
          <w:rFonts w:ascii="Times New Roman" w:hAnsi="Times New Roman" w:cs="Times New Roman"/>
          <w:i/>
          <w:sz w:val="24"/>
        </w:rPr>
        <w:t>2.5mg/kg AF488-Ab + 25mg/kg Ab</w:t>
      </w:r>
      <w:r w:rsidR="001735DE">
        <w:rPr>
          <w:rFonts w:ascii="Times New Roman" w:hAnsi="Times New Roman" w:cs="Times New Roman"/>
          <w:sz w:val="24"/>
        </w:rPr>
        <w:t xml:space="preserve"> were preserved via FFPE sectioned (5µm) and processed for immunofluorescence imaging. In addition to A</w:t>
      </w:r>
      <w:r w:rsidR="00DC3E31">
        <w:rPr>
          <w:rFonts w:ascii="Times New Roman" w:hAnsi="Times New Roman" w:cs="Times New Roman"/>
          <w:sz w:val="24"/>
        </w:rPr>
        <w:t>F</w:t>
      </w:r>
      <w:r w:rsidR="001735DE">
        <w:rPr>
          <w:rFonts w:ascii="Times New Roman" w:hAnsi="Times New Roman" w:cs="Times New Roman"/>
          <w:sz w:val="24"/>
        </w:rPr>
        <w:t>488 signal from the bound/internalized fluorescent antibody (</w:t>
      </w:r>
      <w:r w:rsidR="001735DE" w:rsidRPr="001735DE">
        <w:rPr>
          <w:rFonts w:ascii="Times New Roman" w:hAnsi="Times New Roman" w:cs="Times New Roman"/>
          <w:i/>
          <w:sz w:val="24"/>
        </w:rPr>
        <w:t>red</w:t>
      </w:r>
      <w:r w:rsidR="001735DE">
        <w:rPr>
          <w:rFonts w:ascii="Times New Roman" w:hAnsi="Times New Roman" w:cs="Times New Roman"/>
          <w:sz w:val="24"/>
        </w:rPr>
        <w:t>), secondary staining using AlexaFluor647 chicken anti-mouse antibody (</w:t>
      </w:r>
      <w:r w:rsidR="001735DE" w:rsidRPr="001735DE">
        <w:rPr>
          <w:rFonts w:ascii="Times New Roman" w:hAnsi="Times New Roman" w:cs="Times New Roman"/>
          <w:i/>
          <w:sz w:val="24"/>
        </w:rPr>
        <w:t>green</w:t>
      </w:r>
      <w:r w:rsidR="001735DE">
        <w:rPr>
          <w:rFonts w:ascii="Times New Roman" w:hAnsi="Times New Roman" w:cs="Times New Roman"/>
          <w:sz w:val="24"/>
        </w:rPr>
        <w:t xml:space="preserve">) was performed. The secondary antibody </w:t>
      </w:r>
      <w:r w:rsidR="00126E83">
        <w:rPr>
          <w:rFonts w:ascii="Times New Roman" w:hAnsi="Times New Roman" w:cs="Times New Roman"/>
          <w:sz w:val="24"/>
        </w:rPr>
        <w:t xml:space="preserve">binds both fluorescent and non-fluorescent antibody, indicated by the dramatic difference in distribution and intensity between panel (B) and (C)/(D). The lack of complete overlap between red and green images might be due to incomplete epitope unmasking (which limits </w:t>
      </w:r>
      <w:r w:rsidR="00126E83" w:rsidRPr="00126E83">
        <w:rPr>
          <w:rFonts w:ascii="Times New Roman" w:hAnsi="Times New Roman" w:cs="Times New Roman"/>
          <w:i/>
          <w:sz w:val="24"/>
        </w:rPr>
        <w:t>ex-vivo</w:t>
      </w:r>
      <w:r w:rsidR="00126E83">
        <w:rPr>
          <w:rFonts w:ascii="Times New Roman" w:hAnsi="Times New Roman" w:cs="Times New Roman"/>
          <w:sz w:val="24"/>
        </w:rPr>
        <w:t xml:space="preserve"> binding of secondary antibody) and/or AF488 signal from degraded ADC (</w:t>
      </w:r>
      <w:r w:rsidR="00DC3E31">
        <w:rPr>
          <w:rFonts w:ascii="Times New Roman" w:hAnsi="Times New Roman" w:cs="Times New Roman"/>
          <w:sz w:val="24"/>
        </w:rPr>
        <w:t>undetectab</w:t>
      </w:r>
      <w:r w:rsidR="008D4530">
        <w:rPr>
          <w:rFonts w:ascii="Times New Roman" w:hAnsi="Times New Roman" w:cs="Times New Roman"/>
          <w:sz w:val="24"/>
        </w:rPr>
        <w:t>l</w:t>
      </w:r>
      <w:r w:rsidR="00DC3E31">
        <w:rPr>
          <w:rFonts w:ascii="Times New Roman" w:hAnsi="Times New Roman" w:cs="Times New Roman"/>
          <w:sz w:val="24"/>
        </w:rPr>
        <w:t>e by</w:t>
      </w:r>
      <w:r w:rsidR="00126E83">
        <w:rPr>
          <w:rFonts w:ascii="Times New Roman" w:hAnsi="Times New Roman" w:cs="Times New Roman"/>
          <w:sz w:val="24"/>
        </w:rPr>
        <w:t xml:space="preserve"> </w:t>
      </w:r>
      <w:r w:rsidR="00126E83" w:rsidRPr="00126E83">
        <w:rPr>
          <w:rFonts w:ascii="Times New Roman" w:hAnsi="Times New Roman" w:cs="Times New Roman"/>
          <w:i/>
          <w:sz w:val="24"/>
        </w:rPr>
        <w:t>ex-vivo</w:t>
      </w:r>
      <w:r w:rsidR="00126E83">
        <w:rPr>
          <w:rFonts w:ascii="Times New Roman" w:hAnsi="Times New Roman" w:cs="Times New Roman"/>
          <w:sz w:val="24"/>
        </w:rPr>
        <w:t xml:space="preserve"> secondary antibody). </w:t>
      </w:r>
      <w:r w:rsidR="00126E83" w:rsidRPr="00126E83">
        <w:rPr>
          <w:rFonts w:ascii="Times New Roman" w:hAnsi="Times New Roman" w:cs="Times New Roman"/>
          <w:i/>
          <w:sz w:val="24"/>
        </w:rPr>
        <w:t>Ab = cross-reactive rmFR1-12</w:t>
      </w:r>
      <w:r w:rsidR="00126E83">
        <w:rPr>
          <w:rFonts w:ascii="Times New Roman" w:hAnsi="Times New Roman" w:cs="Times New Roman"/>
          <w:i/>
          <w:sz w:val="24"/>
        </w:rPr>
        <w:t xml:space="preserve"> antibody</w:t>
      </w:r>
    </w:p>
    <w:p w14:paraId="6C7A3364" w14:textId="3F1A5C33" w:rsidR="00126E83" w:rsidRPr="00730788" w:rsidRDefault="00126E83" w:rsidP="009E17AA">
      <w:pPr>
        <w:jc w:val="both"/>
        <w:rPr>
          <w:rFonts w:ascii="Times New Roman" w:hAnsi="Times New Roman" w:cs="Times New Roman"/>
          <w:sz w:val="24"/>
        </w:rPr>
      </w:pPr>
      <w:r>
        <w:rPr>
          <w:rFonts w:ascii="Times New Roman" w:hAnsi="Times New Roman" w:cs="Times New Roman"/>
          <w:i/>
          <w:sz w:val="24"/>
        </w:rPr>
        <w:t>r</w:t>
      </w:r>
      <w:r w:rsidRPr="00126E83">
        <w:rPr>
          <w:rFonts w:ascii="Times New Roman" w:hAnsi="Times New Roman" w:cs="Times New Roman"/>
          <w:i/>
          <w:sz w:val="24"/>
        </w:rPr>
        <w:t>ed - AF488 (bound &amp; internalized fluorescent antibody), green – AlexaFluor647-chicken anti-mouse secondary (all surface antibody), gray – AlexaFluor555-CD31 (blood vessels), blue – Hoechst33342 (nucleus)</w:t>
      </w:r>
      <w:r>
        <w:rPr>
          <w:rFonts w:ascii="Times New Roman" w:hAnsi="Times New Roman" w:cs="Times New Roman"/>
          <w:sz w:val="24"/>
        </w:rPr>
        <w:t>.</w:t>
      </w:r>
    </w:p>
    <w:p w14:paraId="5107DFBD" w14:textId="77777777" w:rsidR="00730788" w:rsidRDefault="00730788" w:rsidP="009E17AA">
      <w:pPr>
        <w:jc w:val="both"/>
        <w:rPr>
          <w:rFonts w:ascii="Times New Roman" w:hAnsi="Times New Roman" w:cs="Times New Roman"/>
          <w:sz w:val="24"/>
        </w:rPr>
      </w:pPr>
    </w:p>
    <w:p w14:paraId="0CB80344" w14:textId="0A6210B0" w:rsidR="00E45E27" w:rsidRDefault="00E45E27">
      <w:pPr>
        <w:rPr>
          <w:rFonts w:ascii="Times New Roman" w:hAnsi="Times New Roman" w:cs="Times New Roman"/>
          <w:sz w:val="24"/>
        </w:rPr>
      </w:pPr>
      <w:r>
        <w:rPr>
          <w:rFonts w:ascii="Times New Roman" w:hAnsi="Times New Roman" w:cs="Times New Roman"/>
          <w:sz w:val="24"/>
        </w:rPr>
        <w:br w:type="page"/>
      </w:r>
    </w:p>
    <w:p w14:paraId="292404CB" w14:textId="1E555A8F" w:rsidR="00540FE5" w:rsidRPr="00A878F2" w:rsidRDefault="00540FE5" w:rsidP="00540FE5">
      <w:pPr>
        <w:pBdr>
          <w:top w:val="nil"/>
          <w:left w:val="nil"/>
          <w:bottom w:val="nil"/>
          <w:right w:val="nil"/>
          <w:between w:val="nil"/>
        </w:pBdr>
        <w:jc w:val="both"/>
        <w:rPr>
          <w:rFonts w:ascii="Times New Roman" w:hAnsi="Times New Roman" w:cs="Times New Roman"/>
          <w:b/>
          <w:color w:val="000000"/>
          <w:sz w:val="32"/>
        </w:rPr>
      </w:pPr>
      <w:r w:rsidRPr="00A878F2">
        <w:rPr>
          <w:rFonts w:ascii="Times New Roman" w:hAnsi="Times New Roman" w:cs="Times New Roman"/>
          <w:b/>
          <w:color w:val="000000"/>
          <w:sz w:val="32"/>
        </w:rPr>
        <w:lastRenderedPageBreak/>
        <w:t xml:space="preserve">Supplementary </w:t>
      </w:r>
      <w:r>
        <w:rPr>
          <w:rFonts w:ascii="Times New Roman" w:hAnsi="Times New Roman" w:cs="Times New Roman"/>
          <w:b/>
          <w:color w:val="000000"/>
          <w:sz w:val="32"/>
        </w:rPr>
        <w:t>Methods</w:t>
      </w:r>
    </w:p>
    <w:p w14:paraId="7E7F43EB" w14:textId="2297C5A7" w:rsidR="00540FE5" w:rsidRDefault="00540FE5" w:rsidP="00540FE5">
      <w:pPr>
        <w:rPr>
          <w:rFonts w:ascii="Times New Roman" w:hAnsi="Times New Roman" w:cs="Times New Roman"/>
          <w:b/>
          <w:color w:val="000000"/>
          <w:sz w:val="24"/>
        </w:rPr>
      </w:pPr>
      <w:r>
        <w:rPr>
          <w:rFonts w:ascii="Times New Roman" w:hAnsi="Times New Roman" w:cs="Times New Roman"/>
          <w:b/>
          <w:color w:val="000000"/>
          <w:sz w:val="24"/>
        </w:rPr>
        <w:t>Tissue section deparaffinization and antigen retrieval</w:t>
      </w:r>
    </w:p>
    <w:p w14:paraId="611CCE52" w14:textId="3EBB1A30" w:rsidR="00540FE5" w:rsidRDefault="006D46DE" w:rsidP="006D46DE">
      <w:pPr>
        <w:ind w:firstLine="720"/>
        <w:jc w:val="both"/>
        <w:rPr>
          <w:rFonts w:ascii="Times New Roman" w:hAnsi="Times New Roman" w:cs="Times New Roman"/>
          <w:b/>
          <w:color w:val="000000"/>
          <w:sz w:val="32"/>
        </w:rPr>
      </w:pPr>
      <w:r>
        <w:rPr>
          <w:rFonts w:ascii="Times New Roman" w:hAnsi="Times New Roman" w:cs="Times New Roman"/>
          <w:color w:val="000000"/>
          <w:sz w:val="24"/>
        </w:rPr>
        <w:t xml:space="preserve">Deparaffinization </w:t>
      </w:r>
      <w:r w:rsidRPr="006D46DE">
        <w:rPr>
          <w:rFonts w:ascii="Times New Roman" w:hAnsi="Times New Roman" w:cs="Times New Roman"/>
          <w:color w:val="000000"/>
          <w:sz w:val="24"/>
        </w:rPr>
        <w:t>of tumor sections was performed by washing in the following solvents - histology-grade xylene (2x for 3 min each), followed by 50/50 xylene:100% histology-grade ethanol (3 min), followed by 100% ethanol (2x for 3 min each). The sections were then rehydrated by successive washes in 95%, 70%, and 50% ethanol (3 min each), followed by rinsing in distilled water for 5 minutes. Slides were prevented from drying out between each step to minimize non-specific immunofluorescence staining. Slides were stored in the dark in cold distilled water until antigen retrieval, which was performed using citrate buffer. Briefly, slides were submerged in 10mM anhydrous citric acid containing 0.5% Tween-20, adjusted to a pH of 6.0 using 1N NaOH. Slides were heated in a microwave until boiling point (95-100</w:t>
      </w:r>
      <w:r w:rsidRPr="00D46831">
        <w:rPr>
          <w:rFonts w:ascii="Times New Roman" w:hAnsi="Times New Roman" w:cs="Times New Roman"/>
          <w:color w:val="000000"/>
          <w:sz w:val="24"/>
          <w:vertAlign w:val="superscript"/>
        </w:rPr>
        <w:t>o</w:t>
      </w:r>
      <w:r w:rsidRPr="006D46DE">
        <w:rPr>
          <w:rFonts w:ascii="Times New Roman" w:hAnsi="Times New Roman" w:cs="Times New Roman"/>
          <w:color w:val="000000"/>
          <w:sz w:val="24"/>
        </w:rPr>
        <w:t>C), then allowed to cool at room temperature for 45 minutes. Slides were washed using PBS and stored in the dark in cold distilled water until imaging.</w:t>
      </w:r>
      <w:r>
        <w:rPr>
          <w:color w:val="000000"/>
        </w:rPr>
        <w:t xml:space="preserve"> </w:t>
      </w:r>
      <w:r w:rsidR="00540FE5">
        <w:rPr>
          <w:rFonts w:ascii="Times New Roman" w:hAnsi="Times New Roman" w:cs="Times New Roman"/>
          <w:b/>
          <w:color w:val="000000"/>
          <w:sz w:val="32"/>
        </w:rPr>
        <w:br w:type="page"/>
      </w:r>
    </w:p>
    <w:p w14:paraId="6091DB4F" w14:textId="27522C5E" w:rsidR="009F383C" w:rsidRDefault="009F383C" w:rsidP="009F383C">
      <w:pPr>
        <w:rPr>
          <w:rFonts w:ascii="Times New Roman" w:hAnsi="Times New Roman" w:cs="Times New Roman"/>
          <w:b/>
          <w:color w:val="000000"/>
          <w:sz w:val="32"/>
        </w:rPr>
      </w:pPr>
      <w:r>
        <w:rPr>
          <w:rFonts w:ascii="Times New Roman" w:hAnsi="Times New Roman" w:cs="Times New Roman"/>
          <w:b/>
          <w:color w:val="000000"/>
          <w:sz w:val="32"/>
        </w:rPr>
        <w:lastRenderedPageBreak/>
        <w:t>Krogh Cylinder Model</w:t>
      </w:r>
      <w:r w:rsidR="002C28B0">
        <w:rPr>
          <w:rFonts w:ascii="Times New Roman" w:hAnsi="Times New Roman" w:cs="Times New Roman"/>
          <w:b/>
          <w:color w:val="000000"/>
          <w:sz w:val="32"/>
        </w:rPr>
        <w:fldChar w:fldCharType="begin"/>
      </w:r>
      <w:r w:rsidR="00896B31">
        <w:rPr>
          <w:rFonts w:ascii="Times New Roman" w:hAnsi="Times New Roman" w:cs="Times New Roman"/>
          <w:b/>
          <w:color w:val="000000"/>
          <w:sz w:val="32"/>
        </w:rPr>
        <w:instrText xml:space="preserve"> ADDIN EN.CITE &lt;EndNote&gt;&lt;Cite&gt;&lt;Author&gt;Khera&lt;/Author&gt;&lt;Year&gt;2018&lt;/Year&gt;&lt;RecNum&gt;96&lt;/RecNum&gt;&lt;DisplayText&gt;(3)&lt;/DisplayText&gt;&lt;record&gt;&lt;rec-number&gt;96&lt;/rec-number&gt;&lt;foreign-keys&gt;&lt;key app="EN" db-id="aa9v22earwp5tzedp0cptvs6rssffwefrars" timestamp="1586055771"&gt;96&lt;/key&gt;&lt;/foreign-keys&gt;&lt;ref-type name="Journal Article"&gt;17&lt;/ref-type&gt;&lt;contributors&gt;&lt;authors&gt;&lt;author&gt;Khera, Eshita&lt;/author&gt;&lt;author&gt;Cilliers, Cornelius&lt;/author&gt;&lt;author&gt;Bhatnagar, Sumit&lt;/author&gt;&lt;author&gt;Thurber, Greg M.&lt;/author&gt;&lt;/authors&gt;&lt;/contributors&gt;&lt;titles&gt;&lt;title&gt;Computational transport analysis of antibody-drug conjugate bystander effects and payload tumoral distribution: implications for therapy&lt;/title&gt;&lt;secondary-title&gt;Molecular Systems Design &amp;amp; Engineering&lt;/secondary-title&gt;&lt;/titles&gt;&lt;periodical&gt;&lt;full-title&gt;Molecular Systems Design &amp;amp; Engineering&lt;/full-title&gt;&lt;/periodical&gt;&lt;pages&gt;73-88&lt;/pages&gt;&lt;volume&gt;3&lt;/volume&gt;&lt;number&gt;1&lt;/number&gt;&lt;dates&gt;&lt;year&gt;2018&lt;/year&gt;&lt;/dates&gt;&lt;publisher&gt;The Royal Society of Chemistry&lt;/publisher&gt;&lt;work-type&gt;10.1039/C7ME00093F&lt;/work-type&gt;&lt;urls&gt;&lt;related-urls&gt;&lt;url&gt;http://dx.doi.org/10.1039/C7ME00093F&lt;/url&gt;&lt;/related-urls&gt;&lt;/urls&gt;&lt;electronic-resource-num&gt;10.1039/C7ME00093F&lt;/electronic-resource-num&gt;&lt;/record&gt;&lt;/Cite&gt;&lt;/EndNote&gt;</w:instrText>
      </w:r>
      <w:r w:rsidR="002C28B0">
        <w:rPr>
          <w:rFonts w:ascii="Times New Roman" w:hAnsi="Times New Roman" w:cs="Times New Roman"/>
          <w:b/>
          <w:color w:val="000000"/>
          <w:sz w:val="32"/>
        </w:rPr>
        <w:fldChar w:fldCharType="separate"/>
      </w:r>
      <w:r w:rsidR="00896B31">
        <w:rPr>
          <w:rFonts w:ascii="Times New Roman" w:hAnsi="Times New Roman" w:cs="Times New Roman"/>
          <w:b/>
          <w:noProof/>
          <w:color w:val="000000"/>
          <w:sz w:val="32"/>
        </w:rPr>
        <w:t>(3)</w:t>
      </w:r>
      <w:r w:rsidR="002C28B0">
        <w:rPr>
          <w:rFonts w:ascii="Times New Roman" w:hAnsi="Times New Roman" w:cs="Times New Roman"/>
          <w:b/>
          <w:color w:val="000000"/>
          <w:sz w:val="32"/>
        </w:rPr>
        <w:fldChar w:fldCharType="end"/>
      </w:r>
      <w:r>
        <w:rPr>
          <w:rFonts w:ascii="Times New Roman" w:hAnsi="Times New Roman" w:cs="Times New Roman"/>
          <w:b/>
          <w:color w:val="000000"/>
          <w:sz w:val="32"/>
        </w:rPr>
        <w:t xml:space="preserve"> </w:t>
      </w:r>
    </w:p>
    <w:p w14:paraId="374E286E" w14:textId="4E65C55F" w:rsidR="00647269" w:rsidRPr="00FF0492" w:rsidRDefault="00252A22" w:rsidP="00252A22">
      <w:pPr>
        <w:rPr>
          <w:rFonts w:ascii="Times New Roman" w:hAnsi="Times New Roman" w:cs="Times New Roman"/>
          <w:b/>
          <w:sz w:val="28"/>
          <w:szCs w:val="28"/>
          <w:u w:val="single"/>
        </w:rPr>
      </w:pPr>
      <w:r w:rsidRPr="008301B0">
        <w:rPr>
          <w:rFonts w:ascii="Times New Roman" w:hAnsi="Times New Roman" w:cs="Times New Roman"/>
          <w:b/>
          <w:sz w:val="28"/>
          <w:szCs w:val="28"/>
          <w:u w:val="single"/>
        </w:rPr>
        <w:t>Krogh Cylinder Model Equations</w:t>
      </w:r>
    </w:p>
    <w:p w14:paraId="456B9A7E" w14:textId="02D08F04"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Free unconjugated antibody (</w:t>
      </w:r>
      <w:proofErr w:type="spellStart"/>
      <w:r>
        <w:rPr>
          <w:rFonts w:ascii="Times New Roman" w:hAnsi="Times New Roman" w:cs="Times New Roman"/>
          <w:b/>
        </w:rPr>
        <w:t>C</w:t>
      </w:r>
      <w:r w:rsidRPr="00252A22">
        <w:rPr>
          <w:rFonts w:ascii="Times New Roman" w:hAnsi="Times New Roman" w:cs="Times New Roman"/>
          <w:b/>
          <w:vertAlign w:val="subscript"/>
        </w:rPr>
        <w:t>mab</w:t>
      </w:r>
      <w:proofErr w:type="spellEnd"/>
      <w:r w:rsidRPr="006D370B">
        <w:rPr>
          <w:rFonts w:ascii="Times New Roman" w:hAnsi="Times New Roman" w:cs="Times New Roman"/>
          <w:b/>
        </w:rPr>
        <w:t>)</w:t>
      </w:r>
    </w:p>
    <w:p w14:paraId="4C12A49F" w14:textId="77777777" w:rsidR="00252A22" w:rsidRPr="008301B0" w:rsidRDefault="00252A22" w:rsidP="00252A22">
      <w:pPr>
        <w:rPr>
          <w:rFonts w:ascii="Times New Roman" w:hAnsi="Times New Roman" w:cs="Times New Roman"/>
          <w:b/>
        </w:rPr>
      </w:pPr>
    </w:p>
    <w:p w14:paraId="0242413B" w14:textId="77777777" w:rsidR="00252A22" w:rsidRPr="008301B0" w:rsidRDefault="00836E11" w:rsidP="00252A22">
      <w:pPr>
        <w:ind w:left="360"/>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mab</m:t>
                  </m:r>
                </m:sub>
              </m:sSub>
            </m:num>
            <m:den>
              <m:r>
                <w:rPr>
                  <w:rFonts w:ascii="Cambria Math" w:hAnsi="Cambria Math" w:cs="Times New Roman"/>
                  <w:sz w:val="20"/>
                  <w:szCs w:val="20"/>
                </w:rPr>
                <m:t>∂t</m:t>
              </m:r>
            </m:den>
          </m:f>
          <m: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eff</m:t>
              </m:r>
            </m:sub>
          </m:sSub>
          <m:d>
            <m:dPr>
              <m:ctrlPr>
                <w:rPr>
                  <w:rFonts w:ascii="Cambria Math" w:hAnsi="Cambria Math" w:cs="Times New Roman"/>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∂r</m:t>
                  </m:r>
                </m:den>
              </m:f>
              <m:d>
                <m:dPr>
                  <m:ctrlPr>
                    <w:rPr>
                      <w:rFonts w:ascii="Cambria Math" w:hAnsi="Cambria Math" w:cs="Times New Roman"/>
                      <w:i/>
                      <w:sz w:val="20"/>
                      <w:szCs w:val="20"/>
                    </w:rPr>
                  </m:ctrlPr>
                </m:dPr>
                <m:e>
                  <m:r>
                    <w:rPr>
                      <w:rFonts w:ascii="Cambria Math" w:hAnsi="Cambria Math" w:cs="Times New Roman"/>
                      <w:sz w:val="20"/>
                      <w:szCs w:val="20"/>
                    </w:rPr>
                    <m:t>r</m:t>
                  </m:r>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mab</m:t>
                          </m:r>
                        </m:sub>
                      </m:sSub>
                    </m:num>
                    <m:den>
                      <m:r>
                        <w:rPr>
                          <w:rFonts w:ascii="Cambria Math" w:hAnsi="Cambria Math" w:cs="Times New Roman"/>
                          <w:sz w:val="20"/>
                          <w:szCs w:val="20"/>
                        </w:rPr>
                        <m:t>∂r</m:t>
                      </m:r>
                    </m:den>
                  </m:f>
                </m:e>
              </m:d>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mab</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r>
            <w:rPr>
              <w:rFonts w:ascii="Cambria Math" w:hAnsi="Cambria Math" w:cs="Times New Roman"/>
              <w:sz w:val="20"/>
              <w:szCs w:val="20"/>
            </w:rPr>
            <m:t xml:space="preserve"> </m:t>
          </m:r>
        </m:oMath>
      </m:oMathPara>
    </w:p>
    <w:p w14:paraId="42CD2344" w14:textId="14AD9C4B"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Free ADC</w:t>
      </w:r>
      <w:r>
        <w:rPr>
          <w:rFonts w:ascii="Times New Roman" w:hAnsi="Times New Roman" w:cs="Times New Roman"/>
          <w:b/>
        </w:rPr>
        <w:t xml:space="preserve"> (C</w:t>
      </w:r>
      <w:r w:rsidRPr="00252A22">
        <w:rPr>
          <w:rFonts w:ascii="Times New Roman" w:hAnsi="Times New Roman" w:cs="Times New Roman"/>
          <w:b/>
          <w:vertAlign w:val="subscript"/>
        </w:rPr>
        <w:t>ADC</w:t>
      </w:r>
      <w:r>
        <w:rPr>
          <w:rFonts w:ascii="Times New Roman" w:hAnsi="Times New Roman" w:cs="Times New Roman"/>
          <w:b/>
        </w:rPr>
        <w:t>)</w:t>
      </w:r>
    </w:p>
    <w:p w14:paraId="52CEAF56" w14:textId="77777777" w:rsidR="00252A22" w:rsidRPr="008301B0" w:rsidRDefault="00836E11" w:rsidP="00252A22">
      <w:pPr>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ADC</m:t>
                  </m:r>
                </m:sub>
              </m:sSub>
            </m:num>
            <m:den>
              <m:r>
                <w:rPr>
                  <w:rFonts w:ascii="Cambria Math" w:hAnsi="Cambria Math" w:cs="Times New Roman"/>
                  <w:sz w:val="20"/>
                  <w:szCs w:val="20"/>
                </w:rPr>
                <m:t>∂t</m:t>
              </m:r>
            </m:den>
          </m:f>
          <m: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eff</m:t>
              </m:r>
            </m:sub>
          </m:sSub>
          <m:d>
            <m:dPr>
              <m:ctrlPr>
                <w:rPr>
                  <w:rFonts w:ascii="Cambria Math" w:hAnsi="Cambria Math" w:cs="Times New Roman"/>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r</m:t>
                  </m:r>
                </m:den>
              </m:f>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∂r</m:t>
                  </m:r>
                </m:den>
              </m:f>
              <m:d>
                <m:dPr>
                  <m:ctrlPr>
                    <w:rPr>
                      <w:rFonts w:ascii="Cambria Math" w:hAnsi="Cambria Math" w:cs="Times New Roman"/>
                      <w:i/>
                      <w:sz w:val="20"/>
                      <w:szCs w:val="20"/>
                    </w:rPr>
                  </m:ctrlPr>
                </m:dPr>
                <m:e>
                  <m:r>
                    <w:rPr>
                      <w:rFonts w:ascii="Cambria Math" w:hAnsi="Cambria Math" w:cs="Times New Roman"/>
                      <w:sz w:val="20"/>
                      <w:szCs w:val="20"/>
                    </w:rPr>
                    <m:t>r</m:t>
                  </m:r>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ADC</m:t>
                          </m:r>
                        </m:sub>
                      </m:sSub>
                    </m:num>
                    <m:den>
                      <m:r>
                        <w:rPr>
                          <w:rFonts w:ascii="Cambria Math" w:hAnsi="Cambria Math" w:cs="Times New Roman"/>
                          <w:sz w:val="20"/>
                          <w:szCs w:val="20"/>
                        </w:rPr>
                        <m:t>∂r</m:t>
                      </m:r>
                    </m:den>
                  </m:f>
                </m:e>
              </m:d>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ADC</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oMath>
      </m:oMathPara>
    </w:p>
    <w:p w14:paraId="5E295998" w14:textId="437C8287"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 xml:space="preserve">Free </w:t>
      </w:r>
      <w:r>
        <w:rPr>
          <w:rFonts w:ascii="Times New Roman" w:hAnsi="Times New Roman" w:cs="Times New Roman"/>
          <w:b/>
        </w:rPr>
        <w:t>Receptor (</w:t>
      </w:r>
      <w:proofErr w:type="spellStart"/>
      <w:r>
        <w:rPr>
          <w:rFonts w:ascii="Times New Roman" w:hAnsi="Times New Roman" w:cs="Times New Roman"/>
          <w:b/>
        </w:rPr>
        <w:t>T</w:t>
      </w:r>
      <w:r w:rsidRPr="00252A22">
        <w:rPr>
          <w:rFonts w:ascii="Times New Roman" w:hAnsi="Times New Roman" w:cs="Times New Roman"/>
          <w:b/>
          <w:vertAlign w:val="subscript"/>
        </w:rPr>
        <w:t>free</w:t>
      </w:r>
      <w:proofErr w:type="spellEnd"/>
      <w:r>
        <w:rPr>
          <w:rFonts w:ascii="Times New Roman" w:hAnsi="Times New Roman" w:cs="Times New Roman"/>
          <w:b/>
        </w:rPr>
        <w:t>)</w:t>
      </w:r>
    </w:p>
    <w:p w14:paraId="735F16E0" w14:textId="77777777" w:rsidR="00252A22" w:rsidRPr="008301B0" w:rsidRDefault="00252A22" w:rsidP="00252A22">
      <w:pPr>
        <w:rPr>
          <w:rFonts w:ascii="Times New Roman" w:hAnsi="Times New Roman" w:cs="Times New Roman"/>
          <w:b/>
        </w:rPr>
      </w:pPr>
    </w:p>
    <w:p w14:paraId="21FD767A" w14:textId="77777777" w:rsidR="00252A22" w:rsidRPr="008301B0" w:rsidRDefault="00836E11" w:rsidP="00252A22">
      <w:pPr>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num>
            <m:den>
              <m:r>
                <w:rPr>
                  <w:rFonts w:ascii="Cambria Math" w:hAnsi="Cambria Math" w:cs="Times New Roman"/>
                  <w:sz w:val="20"/>
                  <w:szCs w:val="20"/>
                </w:rPr>
                <m:t>∂t</m:t>
              </m:r>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mab</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ADC</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e</m:t>
              </m:r>
            </m:sub>
          </m:s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 xml:space="preserve"> </m:t>
          </m:r>
        </m:oMath>
      </m:oMathPara>
    </w:p>
    <w:p w14:paraId="13B6FDC4" w14:textId="77777777" w:rsidR="00252A22" w:rsidRPr="008301B0" w:rsidRDefault="00252A22" w:rsidP="00252A22">
      <w:pPr>
        <w:rPr>
          <w:rFonts w:ascii="Times New Roman" w:hAnsi="Times New Roman" w:cs="Times New Roman"/>
          <w:b/>
        </w:rPr>
      </w:pPr>
    </w:p>
    <w:p w14:paraId="6E31FAB4" w14:textId="22BEBBE2"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Bound mAb</w:t>
      </w:r>
      <w:r>
        <w:rPr>
          <w:rFonts w:ascii="Times New Roman" w:hAnsi="Times New Roman" w:cs="Times New Roman"/>
          <w:b/>
        </w:rPr>
        <w:t xml:space="preserve"> (</w:t>
      </w:r>
      <w:proofErr w:type="spellStart"/>
      <w:r>
        <w:rPr>
          <w:rFonts w:ascii="Times New Roman" w:hAnsi="Times New Roman" w:cs="Times New Roman"/>
          <w:b/>
        </w:rPr>
        <w:t>B</w:t>
      </w:r>
      <w:r w:rsidRPr="00252A22">
        <w:rPr>
          <w:rFonts w:ascii="Times New Roman" w:hAnsi="Times New Roman" w:cs="Times New Roman"/>
          <w:b/>
          <w:vertAlign w:val="subscript"/>
        </w:rPr>
        <w:t>mab</w:t>
      </w:r>
      <w:proofErr w:type="spellEnd"/>
      <w:r>
        <w:rPr>
          <w:rFonts w:ascii="Times New Roman" w:hAnsi="Times New Roman" w:cs="Times New Roman"/>
          <w:b/>
        </w:rPr>
        <w:t>)</w:t>
      </w:r>
    </w:p>
    <w:p w14:paraId="29B4E79C" w14:textId="3151AB79" w:rsidR="00647269" w:rsidRPr="00FF0492" w:rsidRDefault="00836E11" w:rsidP="00252A22">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num>
            <m:den>
              <m:r>
                <w:rPr>
                  <w:rFonts w:ascii="Cambria Math" w:hAnsi="Cambria Math" w:cs="Times New Roman"/>
                  <w:sz w:val="20"/>
                  <w:szCs w:val="20"/>
                </w:rPr>
                <m:t>∂t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mab</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int</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r>
            <w:rPr>
              <w:rFonts w:ascii="Cambria Math" w:hAnsi="Cambria Math" w:cs="Times New Roman"/>
              <w:sz w:val="20"/>
              <w:szCs w:val="20"/>
            </w:rPr>
            <m:t xml:space="preserve"> </m:t>
          </m:r>
        </m:oMath>
      </m:oMathPara>
    </w:p>
    <w:p w14:paraId="55213DFD" w14:textId="61BEC81B"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Bound ADC</w:t>
      </w:r>
      <w:r>
        <w:rPr>
          <w:rFonts w:ascii="Times New Roman" w:hAnsi="Times New Roman" w:cs="Times New Roman"/>
          <w:b/>
        </w:rPr>
        <w:t xml:space="preserve"> (B</w:t>
      </w:r>
      <w:r w:rsidRPr="00252A22">
        <w:rPr>
          <w:rFonts w:ascii="Times New Roman" w:hAnsi="Times New Roman" w:cs="Times New Roman"/>
          <w:b/>
          <w:vertAlign w:val="subscript"/>
        </w:rPr>
        <w:t>ADC</w:t>
      </w:r>
      <w:r>
        <w:rPr>
          <w:rFonts w:ascii="Times New Roman" w:hAnsi="Times New Roman" w:cs="Times New Roman"/>
          <w:b/>
        </w:rPr>
        <w:t>)</w:t>
      </w:r>
    </w:p>
    <w:p w14:paraId="482B8993" w14:textId="37866BCB" w:rsidR="00647269" w:rsidRPr="00FF0492" w:rsidRDefault="00836E11" w:rsidP="00252A22">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num>
            <m:den>
              <m:r>
                <w:rPr>
                  <w:rFonts w:ascii="Cambria Math" w:hAnsi="Cambria Math" w:cs="Times New Roman"/>
                  <w:sz w:val="20"/>
                  <w:szCs w:val="20"/>
                </w:rPr>
                <m:t>∂t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on</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ADC</m:t>
                  </m:r>
                </m:sub>
              </m:sSub>
            </m:num>
            <m:den>
              <m:r>
                <w:rPr>
                  <w:rFonts w:ascii="Cambria Math" w:hAnsi="Cambria Math" w:cs="Times New Roman"/>
                  <w:sz w:val="20"/>
                  <w:szCs w:val="20"/>
                </w:rPr>
                <m:t>ε</m:t>
              </m:r>
            </m:den>
          </m:f>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free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off</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int</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r>
            <w:rPr>
              <w:rFonts w:ascii="Cambria Math" w:hAnsi="Cambria Math" w:cs="Times New Roman"/>
              <w:sz w:val="20"/>
              <w:szCs w:val="20"/>
            </w:rPr>
            <m:t xml:space="preserve"> </m:t>
          </m:r>
        </m:oMath>
      </m:oMathPara>
    </w:p>
    <w:p w14:paraId="684143D8" w14:textId="39983CD5"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Internalized mAb</w:t>
      </w:r>
      <w:r>
        <w:rPr>
          <w:rFonts w:ascii="Times New Roman" w:hAnsi="Times New Roman" w:cs="Times New Roman"/>
          <w:b/>
        </w:rPr>
        <w:t xml:space="preserve"> (</w:t>
      </w:r>
      <w:proofErr w:type="spellStart"/>
      <w:r>
        <w:rPr>
          <w:rFonts w:ascii="Times New Roman" w:hAnsi="Times New Roman" w:cs="Times New Roman"/>
          <w:b/>
        </w:rPr>
        <w:t>C</w:t>
      </w:r>
      <w:r w:rsidRPr="00252A22">
        <w:rPr>
          <w:rFonts w:ascii="Times New Roman" w:hAnsi="Times New Roman" w:cs="Times New Roman"/>
          <w:b/>
          <w:vertAlign w:val="subscript"/>
        </w:rPr>
        <w:t>int,mab</w:t>
      </w:r>
      <w:proofErr w:type="spellEnd"/>
      <w:r>
        <w:rPr>
          <w:rFonts w:ascii="Times New Roman" w:hAnsi="Times New Roman" w:cs="Times New Roman"/>
          <w:b/>
        </w:rPr>
        <w:t>)</w:t>
      </w:r>
    </w:p>
    <w:p w14:paraId="3B2DF178" w14:textId="3AE21A52" w:rsidR="00252A22" w:rsidRPr="00FF0492" w:rsidRDefault="00836E11" w:rsidP="00252A22">
      <w:pPr>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int,mab</m:t>
                  </m:r>
                </m:sub>
              </m:sSub>
            </m:num>
            <m:den>
              <m:r>
                <w:rPr>
                  <w:rFonts w:ascii="Cambria Math" w:hAnsi="Cambria Math" w:cs="Times New Roman"/>
                  <w:sz w:val="20"/>
                  <w:szCs w:val="20"/>
                </w:rPr>
                <m:t>∂t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int</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mab</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deg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int,mab</m:t>
              </m:r>
            </m:sub>
          </m:sSub>
          <m:r>
            <w:rPr>
              <w:rFonts w:ascii="Cambria Math" w:hAnsi="Cambria Math" w:cs="Times New Roman"/>
              <w:sz w:val="20"/>
              <w:szCs w:val="20"/>
            </w:rPr>
            <m:t xml:space="preserve"> </m:t>
          </m:r>
        </m:oMath>
      </m:oMathPara>
    </w:p>
    <w:p w14:paraId="6C956979" w14:textId="0FDF04A8" w:rsidR="00252A22" w:rsidRPr="006D370B" w:rsidRDefault="00252A22" w:rsidP="00252A22">
      <w:pPr>
        <w:pStyle w:val="ListParagraph"/>
        <w:numPr>
          <w:ilvl w:val="0"/>
          <w:numId w:val="3"/>
        </w:numPr>
        <w:spacing w:after="0" w:line="240" w:lineRule="auto"/>
        <w:rPr>
          <w:rFonts w:ascii="Times New Roman" w:hAnsi="Times New Roman" w:cs="Times New Roman"/>
          <w:b/>
        </w:rPr>
      </w:pPr>
      <w:r w:rsidRPr="006D370B">
        <w:rPr>
          <w:rFonts w:ascii="Times New Roman" w:hAnsi="Times New Roman" w:cs="Times New Roman"/>
          <w:b/>
        </w:rPr>
        <w:t>Internalized ADC</w:t>
      </w:r>
      <w:r>
        <w:rPr>
          <w:rFonts w:ascii="Times New Roman" w:hAnsi="Times New Roman" w:cs="Times New Roman"/>
          <w:b/>
        </w:rPr>
        <w:t xml:space="preserve"> (C</w:t>
      </w:r>
      <w:r w:rsidRPr="00252A22">
        <w:rPr>
          <w:rFonts w:ascii="Times New Roman" w:hAnsi="Times New Roman" w:cs="Times New Roman"/>
          <w:b/>
          <w:vertAlign w:val="subscript"/>
        </w:rPr>
        <w:t>int, ADC</w:t>
      </w:r>
      <w:r>
        <w:rPr>
          <w:rFonts w:ascii="Times New Roman" w:hAnsi="Times New Roman" w:cs="Times New Roman"/>
          <w:b/>
        </w:rPr>
        <w:t>)</w:t>
      </w:r>
    </w:p>
    <w:p w14:paraId="3AFC41D7" w14:textId="77777777" w:rsidR="00252A22" w:rsidRPr="008301B0" w:rsidRDefault="00836E11" w:rsidP="00252A22">
      <w:pPr>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int,ADC</m:t>
                  </m:r>
                </m:sub>
              </m:sSub>
            </m:num>
            <m:den>
              <m:r>
                <w:rPr>
                  <w:rFonts w:ascii="Cambria Math" w:hAnsi="Cambria Math" w:cs="Times New Roman"/>
                  <w:sz w:val="20"/>
                  <w:szCs w:val="20"/>
                </w:rPr>
                <m:t>∂t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int</m:t>
              </m:r>
            </m:sub>
          </m:s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ADC</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deg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int,ADC</m:t>
              </m:r>
            </m:sub>
          </m:sSub>
          <m:r>
            <w:rPr>
              <w:rFonts w:ascii="Cambria Math" w:hAnsi="Cambria Math" w:cs="Times New Roman"/>
              <w:sz w:val="20"/>
              <w:szCs w:val="20"/>
            </w:rPr>
            <m:t xml:space="preserve"> </m:t>
          </m:r>
        </m:oMath>
      </m:oMathPara>
    </w:p>
    <w:p w14:paraId="7A76AABF" w14:textId="77777777" w:rsidR="00252A22" w:rsidRPr="008301B0" w:rsidRDefault="00252A22" w:rsidP="00252A22">
      <w:pPr>
        <w:rPr>
          <w:rFonts w:ascii="Times New Roman" w:hAnsi="Times New Roman" w:cs="Times New Roman"/>
          <w:sz w:val="20"/>
          <w:szCs w:val="20"/>
        </w:rPr>
      </w:pPr>
    </w:p>
    <w:p w14:paraId="7A501B25" w14:textId="77777777" w:rsidR="00252A22" w:rsidRPr="008301B0" w:rsidRDefault="00252A22" w:rsidP="00252A22">
      <w:pPr>
        <w:rPr>
          <w:rFonts w:ascii="Times New Roman" w:hAnsi="Times New Roman" w:cs="Times New Roman"/>
          <w:b/>
          <w:sz w:val="28"/>
          <w:szCs w:val="28"/>
          <w:u w:val="single"/>
        </w:rPr>
      </w:pPr>
      <w:r w:rsidRPr="008301B0">
        <w:rPr>
          <w:rFonts w:ascii="Times New Roman" w:hAnsi="Times New Roman" w:cs="Times New Roman"/>
          <w:b/>
          <w:sz w:val="28"/>
          <w:szCs w:val="28"/>
          <w:u w:val="single"/>
        </w:rPr>
        <w:t>Boundary Conditions</w:t>
      </w:r>
    </w:p>
    <w:p w14:paraId="02ABC574" w14:textId="77777777" w:rsidR="00252A22" w:rsidRPr="008301B0" w:rsidRDefault="00252A22" w:rsidP="00252A22">
      <w:pPr>
        <w:rPr>
          <w:rFonts w:ascii="Times New Roman" w:hAnsi="Times New Roman" w:cs="Times New Roman"/>
        </w:rPr>
      </w:pPr>
      <w:r w:rsidRPr="008301B0">
        <w:rPr>
          <w:rFonts w:ascii="Times New Roman" w:hAnsi="Times New Roman" w:cs="Times New Roman"/>
        </w:rPr>
        <w:t>1.</w:t>
      </w:r>
    </w:p>
    <w:p w14:paraId="4E4B666C" w14:textId="14D2166E" w:rsidR="00252A22" w:rsidRPr="008301B0" w:rsidRDefault="00836E11" w:rsidP="00FF0492">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eff</m:t>
              </m:r>
            </m:sub>
          </m:sSub>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free</m:t>
                          </m:r>
                        </m:sub>
                      </m:sSub>
                    </m:num>
                    <m:den>
                      <m:r>
                        <w:rPr>
                          <w:rFonts w:ascii="Cambria Math" w:hAnsi="Cambria Math" w:cs="Times New Roman"/>
                          <w:sz w:val="20"/>
                          <w:szCs w:val="20"/>
                        </w:rPr>
                        <m:t>dr</m:t>
                      </m:r>
                    </m:den>
                  </m:f>
                </m:e>
              </m:d>
            </m:e>
            <m:sub>
              <m:r>
                <w:rPr>
                  <w:rFonts w:ascii="Cambria Math" w:hAnsi="Cambria Math" w:cs="Times New Roman"/>
                  <w:sz w:val="20"/>
                  <w:szCs w:val="20"/>
                </w:rPr>
                <m:t>r=</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capillary</m:t>
                  </m:r>
                </m:sub>
              </m:sSub>
            </m:sub>
          </m:sSub>
          <m:r>
            <w:rPr>
              <w:rFonts w:ascii="Cambria Math" w:hAnsi="Cambria Math" w:cs="Times New Roman"/>
              <w:sz w:val="20"/>
              <w:szCs w:val="20"/>
            </w:rPr>
            <m:t>=P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plasma, ADC</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free</m:t>
                      </m:r>
                    </m:sub>
                  </m:sSub>
                </m:num>
                <m:den>
                  <m:r>
                    <w:rPr>
                      <w:rFonts w:ascii="Cambria Math" w:hAnsi="Cambria Math" w:cs="Times New Roman"/>
                      <w:sz w:val="20"/>
                      <w:szCs w:val="20"/>
                    </w:rPr>
                    <m:t>ε</m:t>
                  </m:r>
                </m:den>
              </m:f>
            </m:e>
          </m:d>
        </m:oMath>
      </m:oMathPara>
    </w:p>
    <w:p w14:paraId="7F64FD3D" w14:textId="77777777" w:rsidR="00252A22" w:rsidRPr="008301B0" w:rsidRDefault="00252A22" w:rsidP="00252A22">
      <w:pPr>
        <w:rPr>
          <w:rFonts w:ascii="Times New Roman" w:hAnsi="Times New Roman" w:cs="Times New Roman"/>
        </w:rPr>
      </w:pPr>
      <w:r w:rsidRPr="008301B0">
        <w:rPr>
          <w:rFonts w:ascii="Times New Roman" w:hAnsi="Times New Roman" w:cs="Times New Roman"/>
        </w:rPr>
        <w:t>2.</w:t>
      </w:r>
    </w:p>
    <w:p w14:paraId="51458931" w14:textId="5AB33C1F" w:rsidR="00252A22" w:rsidRPr="00FF0492" w:rsidRDefault="00836E11" w:rsidP="00FF0492">
      <w:pPr>
        <w:rPr>
          <w:rFonts w:ascii="Times New Roman" w:hAnsi="Times New Roman"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D</m:t>
              </m:r>
            </m:e>
            <m:sub>
              <m:r>
                <w:rPr>
                  <w:rFonts w:ascii="Cambria Math" w:hAnsi="Cambria Math" w:cs="Times New Roman"/>
                  <w:sz w:val="20"/>
                </w:rPr>
                <m:t>eff</m:t>
              </m:r>
            </m:sub>
          </m:sSub>
          <m:sSub>
            <m:sSubPr>
              <m:ctrlPr>
                <w:rPr>
                  <w:rFonts w:ascii="Cambria Math" w:hAnsi="Cambria Math" w:cs="Times New Roman"/>
                  <w:i/>
                  <w:sz w:val="20"/>
                </w:rPr>
              </m:ctrlPr>
            </m:sSubPr>
            <m:e>
              <m:d>
                <m:dPr>
                  <m:begChr m:val=""/>
                  <m:endChr m:val="|"/>
                  <m:ctrlPr>
                    <w:rPr>
                      <w:rFonts w:ascii="Cambria Math" w:hAnsi="Cambria Math" w:cs="Times New Roman"/>
                      <w:i/>
                      <w:sz w:val="20"/>
                    </w:rPr>
                  </m:ctrlPr>
                </m:dPr>
                <m:e>
                  <m:f>
                    <m:fPr>
                      <m:ctrlPr>
                        <w:rPr>
                          <w:rFonts w:ascii="Cambria Math" w:hAnsi="Cambria Math" w:cs="Times New Roman"/>
                          <w:i/>
                          <w:sz w:val="20"/>
                        </w:rPr>
                      </m:ctrlPr>
                    </m:fPr>
                    <m:num>
                      <m:r>
                        <w:rPr>
                          <w:rFonts w:ascii="Cambria Math" w:hAnsi="Cambria Math" w:cs="Times New Roman"/>
                          <w:sz w:val="20"/>
                        </w:rPr>
                        <m:t>d</m:t>
                      </m:r>
                      <m:sSub>
                        <m:sSubPr>
                          <m:ctrlPr>
                            <w:rPr>
                              <w:rFonts w:ascii="Cambria Math" w:hAnsi="Cambria Math" w:cs="Times New Roman"/>
                              <w:i/>
                              <w:sz w:val="20"/>
                            </w:rPr>
                          </m:ctrlPr>
                        </m:sSubPr>
                        <m:e>
                          <m:r>
                            <w:rPr>
                              <w:rFonts w:ascii="Cambria Math" w:hAnsi="Cambria Math" w:cs="Times New Roman"/>
                              <w:sz w:val="20"/>
                            </w:rPr>
                            <m:t>C</m:t>
                          </m:r>
                        </m:e>
                        <m:sub>
                          <m:r>
                            <w:rPr>
                              <w:rFonts w:ascii="Cambria Math" w:hAnsi="Cambria Math" w:cs="Times New Roman"/>
                              <w:sz w:val="16"/>
                              <w:szCs w:val="20"/>
                            </w:rPr>
                            <m:t>free</m:t>
                          </m:r>
                        </m:sub>
                      </m:sSub>
                    </m:num>
                    <m:den>
                      <m:r>
                        <w:rPr>
                          <w:rFonts w:ascii="Cambria Math" w:hAnsi="Cambria Math" w:cs="Times New Roman"/>
                          <w:sz w:val="20"/>
                        </w:rPr>
                        <m:t>dr</m:t>
                      </m:r>
                    </m:den>
                  </m:f>
                </m:e>
              </m:d>
            </m:e>
            <m:sub>
              <m:r>
                <w:rPr>
                  <w:rFonts w:ascii="Cambria Math" w:hAnsi="Cambria Math" w:cs="Times New Roman"/>
                  <w:sz w:val="20"/>
                </w:rPr>
                <m:t>r=</m:t>
              </m:r>
              <m:sSub>
                <m:sSubPr>
                  <m:ctrlPr>
                    <w:rPr>
                      <w:rFonts w:ascii="Cambria Math" w:hAnsi="Cambria Math" w:cs="Times New Roman"/>
                      <w:i/>
                      <w:sz w:val="20"/>
                    </w:rPr>
                  </m:ctrlPr>
                </m:sSubPr>
                <m:e>
                  <m:r>
                    <w:rPr>
                      <w:rFonts w:ascii="Cambria Math" w:hAnsi="Cambria Math" w:cs="Times New Roman"/>
                      <w:sz w:val="20"/>
                    </w:rPr>
                    <m:t>R</m:t>
                  </m:r>
                </m:e>
                <m:sub>
                  <m:r>
                    <w:rPr>
                      <w:rFonts w:ascii="Cambria Math" w:hAnsi="Cambria Math" w:cs="Times New Roman"/>
                      <w:sz w:val="20"/>
                    </w:rPr>
                    <m:t>Krogh</m:t>
                  </m:r>
                </m:sub>
              </m:sSub>
            </m:sub>
          </m:sSub>
          <m:r>
            <w:rPr>
              <w:rFonts w:ascii="Cambria Math" w:hAnsi="Cambria Math" w:cs="Times New Roman"/>
              <w:sz w:val="20"/>
            </w:rPr>
            <m:t>=0</m:t>
          </m:r>
        </m:oMath>
      </m:oMathPara>
    </w:p>
    <w:p w14:paraId="73ACF9C9" w14:textId="57F863EC" w:rsidR="00252A22" w:rsidRPr="00963A28" w:rsidRDefault="00FF0492" w:rsidP="00252A22">
      <w:pPr>
        <w:rPr>
          <w:rFonts w:ascii="Times New Roman" w:hAnsi="Times New Roman" w:cs="Times New Roman"/>
        </w:rPr>
      </w:pPr>
      <w:r>
        <w:rPr>
          <w:rFonts w:ascii="Times New Roman" w:hAnsi="Times New Roman" w:cs="Times New Roman"/>
        </w:rPr>
        <w:t>3</w:t>
      </w:r>
      <w:r w:rsidR="00252A22" w:rsidRPr="00B809A6">
        <w:rPr>
          <w:rFonts w:ascii="Times New Roman" w:hAnsi="Times New Roman" w:cs="Times New Roman"/>
        </w:rPr>
        <w:t>.</w:t>
      </w:r>
    </w:p>
    <w:p w14:paraId="4DF77DD1" w14:textId="77777777" w:rsidR="00252A22" w:rsidRPr="008301B0" w:rsidRDefault="00836E11" w:rsidP="00252A22">
      <w:pPr>
        <w:ind w:left="360"/>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plasma, ADC</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A*</m:t>
              </m:r>
              <m:d>
                <m:dPr>
                  <m:begChr m:val=""/>
                  <m:ctrlPr>
                    <w:rPr>
                      <w:rFonts w:ascii="Cambria Math" w:hAnsi="Cambria Math" w:cs="Times New Roman"/>
                      <w:i/>
                      <w:sz w:val="20"/>
                      <w:szCs w:val="20"/>
                    </w:rPr>
                  </m:ctrlPr>
                </m:dPr>
                <m:e>
                  <m:func>
                    <m:funcPr>
                      <m:ctrlPr>
                        <w:rPr>
                          <w:rFonts w:ascii="Cambria Math" w:hAnsi="Cambria Math" w:cs="Times New Roman"/>
                          <w:i/>
                          <w:sz w:val="20"/>
                          <w:szCs w:val="20"/>
                        </w:rPr>
                      </m:ctrlPr>
                    </m:funcPr>
                    <m:fName>
                      <m:r>
                        <w:rPr>
                          <w:rFonts w:ascii="Cambria Math" w:hAnsi="Cambria Math" w:cs="Times New Roman"/>
                          <w:sz w:val="20"/>
                          <w:szCs w:val="20"/>
                        </w:rPr>
                        <m:t>exp</m:t>
                      </m:r>
                    </m:fName>
                    <m:e>
                      <m:d>
                        <m:dPr>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α</m:t>
                              </m:r>
                            </m:sub>
                          </m:sSub>
                          <m:r>
                            <w:rPr>
                              <w:rFonts w:ascii="Cambria Math" w:hAnsi="Cambria Math" w:cs="Times New Roman"/>
                              <w:sz w:val="20"/>
                              <w:szCs w:val="20"/>
                            </w:rPr>
                            <m:t>*t</m:t>
                          </m:r>
                        </m:e>
                      </m:d>
                    </m:e>
                  </m:func>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1-A</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func>
                    <m:funcPr>
                      <m:ctrlPr>
                        <w:rPr>
                          <w:rFonts w:ascii="Cambria Math" w:hAnsi="Cambria Math" w:cs="Times New Roman"/>
                          <w:i/>
                          <w:sz w:val="20"/>
                          <w:szCs w:val="20"/>
                        </w:rPr>
                      </m:ctrlPr>
                    </m:funcPr>
                    <m:fName>
                      <m:r>
                        <w:rPr>
                          <w:rFonts w:ascii="Cambria Math" w:hAnsi="Cambria Math" w:cs="Times New Roman"/>
                          <w:sz w:val="20"/>
                          <w:szCs w:val="20"/>
                        </w:rPr>
                        <m:t>exp</m:t>
                      </m:r>
                    </m:fName>
                    <m:e>
                      <m:d>
                        <m:dPr>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β</m:t>
                              </m:r>
                            </m:sub>
                          </m:sSub>
                          <m:r>
                            <w:rPr>
                              <w:rFonts w:ascii="Cambria Math" w:hAnsi="Cambria Math" w:cs="Times New Roman"/>
                              <w:sz w:val="20"/>
                              <w:szCs w:val="20"/>
                            </w:rPr>
                            <m:t>*t</m:t>
                          </m:r>
                        </m:e>
                      </m:d>
                    </m:e>
                  </m:func>
                </m:e>
              </m:d>
            </m:e>
          </m:d>
        </m:oMath>
      </m:oMathPara>
    </w:p>
    <w:p w14:paraId="52C1A783" w14:textId="29165A03" w:rsidR="008F412D" w:rsidRDefault="00FF0492" w:rsidP="009F383C">
      <w:pPr>
        <w:rPr>
          <w:rFonts w:ascii="Times New Roman" w:hAnsi="Times New Roman" w:cs="Times New Roman"/>
          <w:b/>
          <w:color w:val="000000"/>
          <w:sz w:val="24"/>
        </w:rPr>
      </w:pPr>
      <w:r>
        <w:rPr>
          <w:rFonts w:ascii="Times New Roman" w:hAnsi="Times New Roman" w:cs="Times New Roman"/>
        </w:rPr>
        <w:br w:type="page"/>
      </w:r>
      <w:r w:rsidR="008F412D">
        <w:rPr>
          <w:rFonts w:ascii="Times New Roman" w:hAnsi="Times New Roman" w:cs="Times New Roman"/>
          <w:b/>
          <w:color w:val="000000"/>
          <w:sz w:val="24"/>
        </w:rPr>
        <w:lastRenderedPageBreak/>
        <w:t>Table S1. Parameters</w:t>
      </w:r>
    </w:p>
    <w:tbl>
      <w:tblPr>
        <w:tblStyle w:val="TableGrid"/>
        <w:tblW w:w="9698" w:type="dxa"/>
        <w:jc w:val="center"/>
        <w:tblLayout w:type="fixed"/>
        <w:tblLook w:val="0000" w:firstRow="0" w:lastRow="0" w:firstColumn="0" w:lastColumn="0" w:noHBand="0" w:noVBand="0"/>
      </w:tblPr>
      <w:tblGrid>
        <w:gridCol w:w="1636"/>
        <w:gridCol w:w="1094"/>
        <w:gridCol w:w="821"/>
        <w:gridCol w:w="4364"/>
        <w:gridCol w:w="1783"/>
      </w:tblGrid>
      <w:tr w:rsidR="00DD21AB" w:rsidRPr="00FF0492" w14:paraId="0C04BD3F" w14:textId="77777777" w:rsidTr="00FF0492">
        <w:trPr>
          <w:trHeight w:val="202"/>
          <w:jc w:val="center"/>
        </w:trPr>
        <w:tc>
          <w:tcPr>
            <w:tcW w:w="1636" w:type="dxa"/>
            <w:vAlign w:val="center"/>
          </w:tcPr>
          <w:p w14:paraId="68A151F9"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b/>
                <w:bCs/>
                <w:color w:val="000000"/>
                <w:sz w:val="24"/>
              </w:rPr>
            </w:pPr>
            <w:r w:rsidRPr="00FF0492">
              <w:rPr>
                <w:rFonts w:ascii="Times New Roman" w:eastAsiaTheme="minorEastAsia" w:hAnsi="Times New Roman" w:cs="Times New Roman"/>
                <w:b/>
                <w:bCs/>
                <w:color w:val="000000"/>
                <w:sz w:val="24"/>
              </w:rPr>
              <w:t>Parameter</w:t>
            </w:r>
          </w:p>
        </w:tc>
        <w:tc>
          <w:tcPr>
            <w:tcW w:w="1094" w:type="dxa"/>
            <w:vAlign w:val="center"/>
          </w:tcPr>
          <w:p w14:paraId="0FD29A72"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b/>
                <w:bCs/>
                <w:color w:val="000000"/>
                <w:sz w:val="24"/>
              </w:rPr>
            </w:pPr>
            <w:r w:rsidRPr="00FF0492">
              <w:rPr>
                <w:rFonts w:ascii="Times New Roman" w:eastAsiaTheme="minorEastAsia" w:hAnsi="Times New Roman" w:cs="Times New Roman"/>
                <w:b/>
                <w:bCs/>
                <w:color w:val="000000"/>
                <w:sz w:val="24"/>
              </w:rPr>
              <w:t>Value</w:t>
            </w:r>
          </w:p>
        </w:tc>
        <w:tc>
          <w:tcPr>
            <w:tcW w:w="821" w:type="dxa"/>
            <w:vAlign w:val="center"/>
          </w:tcPr>
          <w:p w14:paraId="1D7BCADA"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b/>
                <w:bCs/>
                <w:color w:val="000000"/>
                <w:sz w:val="24"/>
              </w:rPr>
            </w:pPr>
            <w:r w:rsidRPr="00FF0492">
              <w:rPr>
                <w:rFonts w:ascii="Times New Roman" w:eastAsiaTheme="minorEastAsia" w:hAnsi="Times New Roman" w:cs="Times New Roman"/>
                <w:b/>
                <w:bCs/>
                <w:color w:val="000000"/>
                <w:sz w:val="24"/>
              </w:rPr>
              <w:t>Unit</w:t>
            </w:r>
          </w:p>
        </w:tc>
        <w:tc>
          <w:tcPr>
            <w:tcW w:w="4364" w:type="dxa"/>
            <w:vAlign w:val="center"/>
          </w:tcPr>
          <w:p w14:paraId="3121D2F4"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b/>
                <w:bCs/>
                <w:color w:val="000000"/>
                <w:sz w:val="24"/>
              </w:rPr>
            </w:pPr>
            <w:r w:rsidRPr="00FF0492">
              <w:rPr>
                <w:rFonts w:ascii="Times New Roman" w:eastAsiaTheme="minorEastAsia" w:hAnsi="Times New Roman" w:cs="Times New Roman"/>
                <w:b/>
                <w:bCs/>
                <w:color w:val="000000"/>
                <w:sz w:val="24"/>
              </w:rPr>
              <w:t>Description</w:t>
            </w:r>
          </w:p>
        </w:tc>
        <w:tc>
          <w:tcPr>
            <w:tcW w:w="1783" w:type="dxa"/>
            <w:vAlign w:val="center"/>
          </w:tcPr>
          <w:p w14:paraId="79A6B899"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b/>
                <w:bCs/>
                <w:color w:val="000000"/>
                <w:sz w:val="24"/>
              </w:rPr>
            </w:pPr>
            <w:r w:rsidRPr="00FF0492">
              <w:rPr>
                <w:rFonts w:ascii="Times New Roman" w:eastAsiaTheme="minorEastAsia" w:hAnsi="Times New Roman" w:cs="Times New Roman"/>
                <w:b/>
                <w:bCs/>
                <w:color w:val="000000"/>
                <w:sz w:val="24"/>
              </w:rPr>
              <w:t>Reference</w:t>
            </w:r>
          </w:p>
        </w:tc>
      </w:tr>
      <w:tr w:rsidR="00DD21AB" w:rsidRPr="00FF0492" w14:paraId="1F935A2D" w14:textId="77777777" w:rsidTr="00FF0492">
        <w:trPr>
          <w:trHeight w:val="202"/>
          <w:jc w:val="center"/>
        </w:trPr>
        <w:tc>
          <w:tcPr>
            <w:tcW w:w="1636" w:type="dxa"/>
            <w:vAlign w:val="center"/>
          </w:tcPr>
          <w:p w14:paraId="2CDCD083"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R</w:t>
            </w:r>
            <w:r w:rsidRPr="00FF0492">
              <w:rPr>
                <w:rFonts w:ascii="Times New Roman" w:eastAsiaTheme="minorEastAsia" w:hAnsi="Times New Roman" w:cs="Times New Roman"/>
                <w:color w:val="000000"/>
                <w:sz w:val="24"/>
                <w:vertAlign w:val="subscript"/>
              </w:rPr>
              <w:t>Krogh</w:t>
            </w:r>
          </w:p>
        </w:tc>
        <w:tc>
          <w:tcPr>
            <w:tcW w:w="1094" w:type="dxa"/>
            <w:vAlign w:val="center"/>
          </w:tcPr>
          <w:p w14:paraId="2E37F507" w14:textId="228F21F4" w:rsidR="00647269" w:rsidRPr="00FF0492" w:rsidRDefault="00883953"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40</w:t>
            </w:r>
          </w:p>
        </w:tc>
        <w:tc>
          <w:tcPr>
            <w:tcW w:w="821" w:type="dxa"/>
            <w:vAlign w:val="center"/>
          </w:tcPr>
          <w:p w14:paraId="33BFD34D"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w:t>
            </w:r>
          </w:p>
        </w:tc>
        <w:tc>
          <w:tcPr>
            <w:tcW w:w="4364" w:type="dxa"/>
            <w:vAlign w:val="center"/>
          </w:tcPr>
          <w:p w14:paraId="611A0EEE"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Krogh cylinder (tumor) radius</w:t>
            </w:r>
          </w:p>
        </w:tc>
        <w:tc>
          <w:tcPr>
            <w:tcW w:w="1783" w:type="dxa"/>
            <w:vAlign w:val="center"/>
          </w:tcPr>
          <w:p w14:paraId="3FBBB81F" w14:textId="27A9AA76" w:rsidR="00647269"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hAnsi="Times New Roman" w:cs="Times New Roman"/>
                <w:sz w:val="24"/>
              </w:rPr>
              <w:t>Estimated for high vascularity (S/V=100/cm)</w:t>
            </w:r>
          </w:p>
        </w:tc>
      </w:tr>
      <w:tr w:rsidR="00DD21AB" w:rsidRPr="00FF0492" w14:paraId="2D691086" w14:textId="77777777" w:rsidTr="00FF0492">
        <w:trPr>
          <w:trHeight w:val="202"/>
          <w:jc w:val="center"/>
        </w:trPr>
        <w:tc>
          <w:tcPr>
            <w:tcW w:w="1636" w:type="dxa"/>
            <w:vAlign w:val="center"/>
          </w:tcPr>
          <w:p w14:paraId="72F72CD0"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proofErr w:type="spellStart"/>
            <w:r w:rsidRPr="00FF0492">
              <w:rPr>
                <w:rFonts w:ascii="Times New Roman" w:eastAsiaTheme="minorEastAsia" w:hAnsi="Times New Roman" w:cs="Times New Roman"/>
                <w:color w:val="000000"/>
                <w:sz w:val="24"/>
              </w:rPr>
              <w:t>R</w:t>
            </w:r>
            <w:r w:rsidRPr="00FF0492">
              <w:rPr>
                <w:rFonts w:ascii="Times New Roman" w:eastAsiaTheme="minorEastAsia" w:hAnsi="Times New Roman" w:cs="Times New Roman"/>
                <w:color w:val="000000"/>
                <w:sz w:val="24"/>
                <w:vertAlign w:val="subscript"/>
              </w:rPr>
              <w:t>Capillary</w:t>
            </w:r>
            <w:proofErr w:type="spellEnd"/>
          </w:p>
        </w:tc>
        <w:tc>
          <w:tcPr>
            <w:tcW w:w="1094" w:type="dxa"/>
            <w:vAlign w:val="center"/>
          </w:tcPr>
          <w:p w14:paraId="0F7F17CF"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8</w:t>
            </w:r>
          </w:p>
        </w:tc>
        <w:tc>
          <w:tcPr>
            <w:tcW w:w="821" w:type="dxa"/>
            <w:vAlign w:val="center"/>
          </w:tcPr>
          <w:p w14:paraId="19C11793"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w:t>
            </w:r>
          </w:p>
        </w:tc>
        <w:tc>
          <w:tcPr>
            <w:tcW w:w="4364" w:type="dxa"/>
            <w:vAlign w:val="center"/>
          </w:tcPr>
          <w:p w14:paraId="1FB21ECC" w14:textId="77777777"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Capillary radius</w:t>
            </w:r>
          </w:p>
        </w:tc>
        <w:tc>
          <w:tcPr>
            <w:tcW w:w="1783" w:type="dxa"/>
            <w:vAlign w:val="center"/>
          </w:tcPr>
          <w:p w14:paraId="0F543B06" w14:textId="3EDD2653" w:rsidR="00647269" w:rsidRPr="00FF0492" w:rsidRDefault="00647269"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&lt;EndNote&gt;&lt;Cite&gt;&lt;Author&gt;Hilmas&lt;/Author&gt;&lt;Year&gt;1974&lt;/Year&gt;&lt;RecNum&gt;530&lt;/RecNum&gt;&lt;DisplayText&gt;(4)&lt;/DisplayText&gt;&lt;record&gt;&lt;rec-number&gt;530&lt;/rec-number&gt;&lt;foreign-keys&gt;&lt;key app="EN" db-id="avaapp9rg5afdwext9kvtfszxrep9d2zfsdw"&gt;530&lt;/key&gt;&lt;/foreign-keys&gt;&lt;ref-type name="Journal Article"&gt;17&lt;/ref-type&gt;&lt;contributors&gt;&lt;authors&gt;&lt;author&gt;Hilmas, D&lt;/author&gt;&lt;author&gt;Gillette, E&lt;/author&gt;&lt;/authors&gt;&lt;/contributors&gt;&lt;titles&gt;&lt;title&gt;Morphometric Analyses of the Microvasculature of Tumors During Growth and After X-Irradiation&lt;/title&gt;&lt;secondary-title&gt;Cancer&lt;/secondary-title&gt;&lt;/titles&gt;&lt;periodical&gt;&lt;full-title&gt;Cancer&lt;/full-title&gt;&lt;abbr-1&gt;Cancer&lt;/abbr-1&gt;&lt;abbr-2&gt;Cancer&lt;/abbr-2&gt;&lt;/periodical&gt;&lt;pages&gt;103-110&lt;/pages&gt;&lt;volume&gt;33&lt;/volume&gt;&lt;number&gt;1&lt;/number&gt;&lt;keywords&gt;&lt;keyword&gt;tumor vasculature, capillary diameter, surface to volume ratio (S/V)&lt;/keyword&gt;&lt;/keywords&gt;&lt;dates&gt;&lt;year&gt;1974&lt;/year&gt;&lt;/dates&gt;&lt;urls&gt;&lt;/urls&gt;&lt;/record&gt;&lt;/Cite&gt;&lt;/EndNote&gt;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(4)</w:t>
            </w:r>
            <w:r w:rsidRPr="004A5AD8">
              <w:rPr>
                <w:rFonts w:ascii="Times New Roman" w:eastAsiaTheme="minorEastAsia" w:hAnsi="Times New Roman" w:cs="Times New Roman"/>
                <w:color w:val="000000"/>
                <w:sz w:val="24"/>
              </w:rPr>
              <w:fldChar w:fldCharType="end"/>
            </w:r>
          </w:p>
        </w:tc>
      </w:tr>
      <w:tr w:rsidR="003756CF" w:rsidRPr="00FF0492" w14:paraId="4EA16D0E" w14:textId="77777777" w:rsidTr="00FF0492">
        <w:trPr>
          <w:trHeight w:val="202"/>
          <w:jc w:val="center"/>
        </w:trPr>
        <w:tc>
          <w:tcPr>
            <w:tcW w:w="1636" w:type="dxa"/>
            <w:vAlign w:val="center"/>
          </w:tcPr>
          <w:p w14:paraId="32ABB920" w14:textId="77777777"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w:t>
            </w:r>
          </w:p>
        </w:tc>
        <w:tc>
          <w:tcPr>
            <w:tcW w:w="1094" w:type="dxa"/>
            <w:vAlign w:val="center"/>
          </w:tcPr>
          <w:p w14:paraId="00E9CF4E" w14:textId="1DE5B5C6"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0.6</w:t>
            </w:r>
          </w:p>
        </w:tc>
        <w:tc>
          <w:tcPr>
            <w:tcW w:w="821" w:type="dxa"/>
            <w:vAlign w:val="center"/>
          </w:tcPr>
          <w:p w14:paraId="24C28C2D" w14:textId="77777777"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ND</w:t>
            </w:r>
          </w:p>
        </w:tc>
        <w:tc>
          <w:tcPr>
            <w:tcW w:w="4364" w:type="dxa"/>
            <w:vAlign w:val="center"/>
          </w:tcPr>
          <w:p w14:paraId="56884D99" w14:textId="77777777"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Fraction of alpha clearance</w:t>
            </w:r>
          </w:p>
        </w:tc>
        <w:tc>
          <w:tcPr>
            <w:tcW w:w="1783" w:type="dxa"/>
            <w:vMerge w:val="restart"/>
            <w:vAlign w:val="center"/>
          </w:tcPr>
          <w:p w14:paraId="4615D537" w14:textId="41BB8160"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hAnsi="Times New Roman" w:cs="Times New Roman"/>
                <w:sz w:val="24"/>
              </w:rPr>
              <w:t>Plasma clearance biexponential decay fit</w:t>
            </w:r>
          </w:p>
        </w:tc>
      </w:tr>
      <w:tr w:rsidR="003756CF" w:rsidRPr="00FF0492" w14:paraId="2D285C52" w14:textId="77777777" w:rsidTr="00FF0492">
        <w:trPr>
          <w:trHeight w:val="202"/>
          <w:jc w:val="center"/>
        </w:trPr>
        <w:tc>
          <w:tcPr>
            <w:tcW w:w="1636" w:type="dxa"/>
            <w:vAlign w:val="center"/>
          </w:tcPr>
          <w:p w14:paraId="21E19644" w14:textId="2E556BD5"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α, M</w:t>
            </w:r>
          </w:p>
        </w:tc>
        <w:tc>
          <w:tcPr>
            <w:tcW w:w="1094" w:type="dxa"/>
            <w:vAlign w:val="center"/>
          </w:tcPr>
          <w:p w14:paraId="664E82EC" w14:textId="6180DA44"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0.0533</w:t>
            </w:r>
          </w:p>
        </w:tc>
        <w:tc>
          <w:tcPr>
            <w:tcW w:w="821" w:type="dxa"/>
            <w:vAlign w:val="center"/>
          </w:tcPr>
          <w:p w14:paraId="6D0177DD" w14:textId="77777777"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6C605B35" w14:textId="2705C153" w:rsidR="003756CF"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w:t>
            </w:r>
            <w:r w:rsidR="003756CF" w:rsidRPr="00FF0492">
              <w:rPr>
                <w:rFonts w:ascii="Times New Roman" w:eastAsiaTheme="minorEastAsia" w:hAnsi="Times New Roman" w:cs="Times New Roman"/>
                <w:color w:val="000000"/>
                <w:sz w:val="24"/>
              </w:rPr>
              <w:t xml:space="preserve">lpha phase </w:t>
            </w:r>
            <w:r w:rsidRPr="00FF0492">
              <w:rPr>
                <w:rFonts w:ascii="Times New Roman" w:eastAsiaTheme="minorEastAsia" w:hAnsi="Times New Roman" w:cs="Times New Roman"/>
                <w:color w:val="000000"/>
                <w:sz w:val="24"/>
              </w:rPr>
              <w:t xml:space="preserve">clearance rate </w:t>
            </w:r>
            <w:r w:rsidR="003756CF" w:rsidRPr="00FF0492">
              <w:rPr>
                <w:rFonts w:ascii="Times New Roman" w:eastAsiaTheme="minorEastAsia" w:hAnsi="Times New Roman" w:cs="Times New Roman"/>
                <w:color w:val="000000"/>
                <w:sz w:val="24"/>
              </w:rPr>
              <w:t>of Mirvetuximab</w:t>
            </w:r>
          </w:p>
        </w:tc>
        <w:tc>
          <w:tcPr>
            <w:tcW w:w="1783" w:type="dxa"/>
            <w:vMerge/>
            <w:vAlign w:val="center"/>
          </w:tcPr>
          <w:p w14:paraId="4797FF42" w14:textId="39DE5562"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p>
        </w:tc>
      </w:tr>
      <w:tr w:rsidR="003756CF" w:rsidRPr="00FF0492" w14:paraId="3206D405" w14:textId="77777777" w:rsidTr="00FF0492">
        <w:trPr>
          <w:trHeight w:val="202"/>
          <w:jc w:val="center"/>
        </w:trPr>
        <w:tc>
          <w:tcPr>
            <w:tcW w:w="1636" w:type="dxa"/>
            <w:vAlign w:val="center"/>
          </w:tcPr>
          <w:p w14:paraId="098BC7CE" w14:textId="5B5E1C2E"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α, rmFR1-12</w:t>
            </w:r>
          </w:p>
        </w:tc>
        <w:tc>
          <w:tcPr>
            <w:tcW w:w="1094" w:type="dxa"/>
            <w:vAlign w:val="center"/>
          </w:tcPr>
          <w:p w14:paraId="527CE507" w14:textId="78529ACD"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3.466</w:t>
            </w:r>
          </w:p>
        </w:tc>
        <w:tc>
          <w:tcPr>
            <w:tcW w:w="821" w:type="dxa"/>
            <w:vAlign w:val="center"/>
          </w:tcPr>
          <w:p w14:paraId="1C6B2A6B" w14:textId="4FD49864"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5646FB6C" w14:textId="22D64739" w:rsidR="003756CF"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Alpha phase clearance rate of cross reactive rmFR1-12</w:t>
            </w:r>
          </w:p>
        </w:tc>
        <w:tc>
          <w:tcPr>
            <w:tcW w:w="1783" w:type="dxa"/>
            <w:vMerge/>
            <w:vAlign w:val="center"/>
          </w:tcPr>
          <w:p w14:paraId="7C28530B" w14:textId="77777777" w:rsidR="003756CF" w:rsidRPr="00FF0492" w:rsidRDefault="003756CF" w:rsidP="00DD21AB">
            <w:pPr>
              <w:widowControl w:val="0"/>
              <w:autoSpaceDE w:val="0"/>
              <w:autoSpaceDN w:val="0"/>
              <w:adjustRightInd w:val="0"/>
              <w:jc w:val="center"/>
              <w:rPr>
                <w:rFonts w:ascii="Times New Roman" w:hAnsi="Times New Roman" w:cs="Times New Roman"/>
                <w:sz w:val="24"/>
              </w:rPr>
            </w:pPr>
          </w:p>
        </w:tc>
      </w:tr>
      <w:tr w:rsidR="003756CF" w:rsidRPr="00FF0492" w14:paraId="6053C8A7" w14:textId="77777777" w:rsidTr="00FF0492">
        <w:trPr>
          <w:trHeight w:val="202"/>
          <w:jc w:val="center"/>
        </w:trPr>
        <w:tc>
          <w:tcPr>
            <w:tcW w:w="1636" w:type="dxa"/>
            <w:vAlign w:val="center"/>
          </w:tcPr>
          <w:p w14:paraId="7B279CD7" w14:textId="0AF0E1D8" w:rsidR="003756CF" w:rsidRPr="00FF0492" w:rsidRDefault="003756CF"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β, M</w:t>
            </w:r>
          </w:p>
        </w:tc>
        <w:tc>
          <w:tcPr>
            <w:tcW w:w="1094" w:type="dxa"/>
            <w:vAlign w:val="center"/>
          </w:tcPr>
          <w:p w14:paraId="39B8EA74" w14:textId="38FDA6D4" w:rsidR="003756CF"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0.0033</w:t>
            </w:r>
          </w:p>
        </w:tc>
        <w:tc>
          <w:tcPr>
            <w:tcW w:w="821" w:type="dxa"/>
            <w:vAlign w:val="center"/>
          </w:tcPr>
          <w:p w14:paraId="060731D8" w14:textId="5EE274EE" w:rsidR="003756CF"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5D0FECCE" w14:textId="32DCFB2F" w:rsidR="003756CF"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Beta phase clearance rate of Mirvetuximab</w:t>
            </w:r>
          </w:p>
        </w:tc>
        <w:tc>
          <w:tcPr>
            <w:tcW w:w="1783" w:type="dxa"/>
            <w:vMerge/>
            <w:vAlign w:val="center"/>
          </w:tcPr>
          <w:p w14:paraId="46FC83A9" w14:textId="77777777" w:rsidR="003756CF" w:rsidRPr="00FF0492" w:rsidRDefault="003756CF" w:rsidP="00DD21AB">
            <w:pPr>
              <w:widowControl w:val="0"/>
              <w:autoSpaceDE w:val="0"/>
              <w:autoSpaceDN w:val="0"/>
              <w:adjustRightInd w:val="0"/>
              <w:jc w:val="center"/>
              <w:rPr>
                <w:rFonts w:ascii="Times New Roman" w:hAnsi="Times New Roman" w:cs="Times New Roman"/>
                <w:sz w:val="24"/>
              </w:rPr>
            </w:pPr>
          </w:p>
        </w:tc>
      </w:tr>
      <w:tr w:rsidR="00953F4A" w:rsidRPr="00FF0492" w14:paraId="72C4A678" w14:textId="77777777" w:rsidTr="00FF0492">
        <w:trPr>
          <w:trHeight w:val="202"/>
          <w:jc w:val="center"/>
        </w:trPr>
        <w:tc>
          <w:tcPr>
            <w:tcW w:w="1636" w:type="dxa"/>
            <w:vAlign w:val="center"/>
          </w:tcPr>
          <w:p w14:paraId="3A6BFA2B" w14:textId="007B496C"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β, rmFR1-12,2.5</w:t>
            </w:r>
          </w:p>
        </w:tc>
        <w:tc>
          <w:tcPr>
            <w:tcW w:w="1094" w:type="dxa"/>
            <w:vAlign w:val="center"/>
          </w:tcPr>
          <w:p w14:paraId="5B6925ED" w14:textId="38023D89"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0.063</w:t>
            </w:r>
          </w:p>
        </w:tc>
        <w:tc>
          <w:tcPr>
            <w:tcW w:w="821" w:type="dxa"/>
            <w:vAlign w:val="center"/>
          </w:tcPr>
          <w:p w14:paraId="6BE0DAEC" w14:textId="1770F234"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2C3B8A2B" w14:textId="757ECBD2"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Beta phase clearance rate of 2.5mg/kg rmFR1-12</w:t>
            </w:r>
          </w:p>
        </w:tc>
        <w:tc>
          <w:tcPr>
            <w:tcW w:w="1783" w:type="dxa"/>
            <w:vMerge/>
            <w:vAlign w:val="center"/>
          </w:tcPr>
          <w:p w14:paraId="033065F9" w14:textId="77777777" w:rsidR="00953F4A" w:rsidRPr="00FF0492" w:rsidRDefault="00953F4A" w:rsidP="00DD21AB">
            <w:pPr>
              <w:widowControl w:val="0"/>
              <w:autoSpaceDE w:val="0"/>
              <w:autoSpaceDN w:val="0"/>
              <w:adjustRightInd w:val="0"/>
              <w:jc w:val="center"/>
              <w:rPr>
                <w:rFonts w:ascii="Times New Roman" w:hAnsi="Times New Roman" w:cs="Times New Roman"/>
                <w:sz w:val="24"/>
              </w:rPr>
            </w:pPr>
          </w:p>
        </w:tc>
      </w:tr>
      <w:tr w:rsidR="00953F4A" w:rsidRPr="00FF0492" w14:paraId="025EC192" w14:textId="77777777" w:rsidTr="00FF0492">
        <w:trPr>
          <w:trHeight w:val="202"/>
          <w:jc w:val="center"/>
        </w:trPr>
        <w:tc>
          <w:tcPr>
            <w:tcW w:w="1636" w:type="dxa"/>
            <w:vAlign w:val="center"/>
          </w:tcPr>
          <w:p w14:paraId="006A8B5D" w14:textId="12FA93FD"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β, rmFR1-12,2.5+10</w:t>
            </w:r>
          </w:p>
        </w:tc>
        <w:tc>
          <w:tcPr>
            <w:tcW w:w="1094" w:type="dxa"/>
            <w:vAlign w:val="center"/>
          </w:tcPr>
          <w:p w14:paraId="12710C89" w14:textId="4E0DD584"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0.0533</w:t>
            </w:r>
          </w:p>
        </w:tc>
        <w:tc>
          <w:tcPr>
            <w:tcW w:w="821" w:type="dxa"/>
            <w:vAlign w:val="center"/>
          </w:tcPr>
          <w:p w14:paraId="15FA9B85" w14:textId="3FA34B49"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4A2D01B0" w14:textId="5FB6EEC4"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Beta phase clearance rate of 2.5mg/kg rmFR1-12 ADC co-dosed with 10mg/kg rmFR1-12 Ab</w:t>
            </w:r>
          </w:p>
        </w:tc>
        <w:tc>
          <w:tcPr>
            <w:tcW w:w="1783" w:type="dxa"/>
            <w:vMerge/>
            <w:vAlign w:val="center"/>
          </w:tcPr>
          <w:p w14:paraId="3BA6A041" w14:textId="217E608D"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p>
        </w:tc>
      </w:tr>
      <w:tr w:rsidR="00953F4A" w:rsidRPr="00FF0492" w14:paraId="7D62E501" w14:textId="77777777" w:rsidTr="00FF0492">
        <w:trPr>
          <w:trHeight w:val="202"/>
          <w:jc w:val="center"/>
        </w:trPr>
        <w:tc>
          <w:tcPr>
            <w:tcW w:w="1636" w:type="dxa"/>
            <w:vAlign w:val="center"/>
          </w:tcPr>
          <w:p w14:paraId="3D3AAEF6" w14:textId="5C2BC2D2"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β, rmFR1-12,2.5+25</w:t>
            </w:r>
          </w:p>
        </w:tc>
        <w:tc>
          <w:tcPr>
            <w:tcW w:w="1094" w:type="dxa"/>
            <w:vAlign w:val="center"/>
          </w:tcPr>
          <w:p w14:paraId="0F56F933" w14:textId="5D760D22"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0.0247</w:t>
            </w:r>
          </w:p>
        </w:tc>
        <w:tc>
          <w:tcPr>
            <w:tcW w:w="821" w:type="dxa"/>
            <w:vAlign w:val="center"/>
          </w:tcPr>
          <w:p w14:paraId="16A2C73D" w14:textId="4959756A"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hr</w:t>
            </w:r>
            <w:r w:rsidRPr="00FF0492">
              <w:rPr>
                <w:rFonts w:ascii="Times New Roman" w:eastAsiaTheme="minorEastAsia" w:hAnsi="Times New Roman" w:cs="Times New Roman"/>
                <w:color w:val="000000"/>
                <w:sz w:val="24"/>
                <w:vertAlign w:val="superscript"/>
              </w:rPr>
              <w:t>-1</w:t>
            </w:r>
          </w:p>
        </w:tc>
        <w:tc>
          <w:tcPr>
            <w:tcW w:w="4364" w:type="dxa"/>
            <w:vAlign w:val="center"/>
          </w:tcPr>
          <w:p w14:paraId="7DC21AFD" w14:textId="6F05F3B0"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Beta phase clearance rate of 2.5mg/kg rmFR1-12 ADC co-dosed with 25mg/kg rmFR1-12 Ab</w:t>
            </w:r>
          </w:p>
        </w:tc>
        <w:tc>
          <w:tcPr>
            <w:tcW w:w="1783" w:type="dxa"/>
            <w:vMerge/>
            <w:vAlign w:val="center"/>
          </w:tcPr>
          <w:p w14:paraId="1A926615" w14:textId="77777777" w:rsidR="00953F4A" w:rsidRPr="00FF0492" w:rsidRDefault="00953F4A" w:rsidP="00DD21AB">
            <w:pPr>
              <w:widowControl w:val="0"/>
              <w:autoSpaceDE w:val="0"/>
              <w:autoSpaceDN w:val="0"/>
              <w:adjustRightInd w:val="0"/>
              <w:jc w:val="center"/>
              <w:rPr>
                <w:rFonts w:ascii="Times New Roman" w:hAnsi="Times New Roman" w:cs="Times New Roman"/>
                <w:sz w:val="24"/>
              </w:rPr>
            </w:pPr>
          </w:p>
        </w:tc>
      </w:tr>
      <w:tr w:rsidR="00DD21AB" w:rsidRPr="00FF0492" w14:paraId="7E16C3F0" w14:textId="77777777" w:rsidTr="00FF0492">
        <w:trPr>
          <w:trHeight w:val="202"/>
          <w:jc w:val="center"/>
        </w:trPr>
        <w:tc>
          <w:tcPr>
            <w:tcW w:w="1636" w:type="dxa"/>
            <w:vAlign w:val="center"/>
          </w:tcPr>
          <w:p w14:paraId="0834BD5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D</w:t>
            </w:r>
            <w:r w:rsidRPr="00FF0492">
              <w:rPr>
                <w:rFonts w:ascii="Times New Roman" w:eastAsiaTheme="minorEastAsia" w:hAnsi="Times New Roman" w:cs="Times New Roman"/>
                <w:color w:val="000000"/>
                <w:sz w:val="24"/>
                <w:vertAlign w:val="subscript"/>
              </w:rPr>
              <w:t>ADC</w:t>
            </w:r>
          </w:p>
        </w:tc>
        <w:tc>
          <w:tcPr>
            <w:tcW w:w="1094" w:type="dxa"/>
            <w:vAlign w:val="center"/>
          </w:tcPr>
          <w:p w14:paraId="6A511231"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10</w:t>
            </w:r>
          </w:p>
        </w:tc>
        <w:tc>
          <w:tcPr>
            <w:tcW w:w="821" w:type="dxa"/>
            <w:vAlign w:val="center"/>
          </w:tcPr>
          <w:p w14:paraId="4333D33C"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w:t>
            </w:r>
            <w:r w:rsidRPr="00FF0492">
              <w:rPr>
                <w:rFonts w:ascii="Times New Roman" w:eastAsiaTheme="minorEastAsia" w:hAnsi="Times New Roman" w:cs="Times New Roman"/>
                <w:color w:val="000000"/>
                <w:sz w:val="24"/>
                <w:vertAlign w:val="superscript"/>
              </w:rPr>
              <w:t>2</w:t>
            </w:r>
            <w:r w:rsidRPr="00FF0492">
              <w:rPr>
                <w:rFonts w:ascii="Times New Roman" w:eastAsiaTheme="minorEastAsia" w:hAnsi="Times New Roman" w:cs="Times New Roman"/>
                <w:color w:val="000000"/>
                <w:sz w:val="24"/>
              </w:rPr>
              <w:t>/s</w:t>
            </w:r>
          </w:p>
        </w:tc>
        <w:tc>
          <w:tcPr>
            <w:tcW w:w="4364" w:type="dxa"/>
            <w:vAlign w:val="center"/>
          </w:tcPr>
          <w:p w14:paraId="363B6F80"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Antibody/ADC diffusivity</w:t>
            </w:r>
          </w:p>
        </w:tc>
        <w:tc>
          <w:tcPr>
            <w:tcW w:w="1783" w:type="dxa"/>
            <w:vAlign w:val="center"/>
          </w:tcPr>
          <w:p w14:paraId="21315F03" w14:textId="27143FBE" w:rsidR="00953F4A" w:rsidRPr="004A5AD8"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&lt;EndNote&gt;&lt;Cite&gt;&lt;Author&gt;Thurber&lt;/Author&gt;&lt;Year&gt;2011&lt;/Year&gt;&lt;RecNum&gt;42&lt;/RecNum&gt;&lt;DisplayText&gt;(5)&lt;/DisplayText&gt;&lt;record&gt;&lt;rec-number&gt;42&lt;/rec-number&gt;&lt;foreign-keys&gt;&lt;key app="EN" db-id="avaapp9rg5afdwext9kvtfszxrep9d2zfsdw"&gt;42&lt;/key&gt;&lt;/foreign-keys&gt;&lt;ref-type name="Journal Article"&gt;17&lt;/ref-type&gt;&lt;contributors&gt;&lt;authors&gt;&lt;author&gt;Thurber, Greg M&lt;/author&gt;&lt;author&gt;Weissleder, Ralph&lt;/author&gt;&lt;/authors&gt;&lt;/contributors&gt;&lt;titles&gt;&lt;title&gt;A Systems Approach for Tumor Pharmacokinetics&lt;/title&gt;&lt;secondary-title&gt;PloS One&lt;/secondary-title&gt;&lt;/titles&gt;&lt;periodical&gt;&lt;full-title&gt;PloS One&lt;/full-title&gt;&lt;abbr-1&gt;PLoS One&lt;/abbr-1&gt;&lt;abbr-2&gt;PLoS One&lt;/abbr-2&gt;&lt;/periodical&gt;&lt;pages&gt;e24696&lt;/pages&gt;&lt;volume&gt;6&lt;/volume&gt;&lt;number&gt;9&lt;/number&gt;&lt;dates&gt;&lt;year&gt;2011&lt;/year&gt;&lt;/dates&gt;&lt;urls&gt;&lt;/urls&gt;&lt;electronic-resource-num&gt;10.1371/journal.pone.0024696.g001&lt;/electronic-resource-num&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(5)</w:t>
            </w:r>
            <w:r w:rsidRPr="004A5AD8">
              <w:rPr>
                <w:rFonts w:ascii="Times New Roman" w:eastAsiaTheme="minorEastAsia" w:hAnsi="Times New Roman" w:cs="Times New Roman"/>
                <w:color w:val="000000"/>
                <w:sz w:val="24"/>
              </w:rPr>
              <w:fldChar w:fldCharType="end"/>
            </w:r>
          </w:p>
        </w:tc>
      </w:tr>
      <w:tr w:rsidR="00DD21AB" w:rsidRPr="00FF0492" w14:paraId="53EE4C83" w14:textId="77777777" w:rsidTr="00FF0492">
        <w:trPr>
          <w:trHeight w:val="202"/>
          <w:jc w:val="center"/>
        </w:trPr>
        <w:tc>
          <w:tcPr>
            <w:tcW w:w="1636" w:type="dxa"/>
            <w:vAlign w:val="center"/>
          </w:tcPr>
          <w:p w14:paraId="4A67C3D3"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P</w:t>
            </w:r>
            <w:r w:rsidRPr="00FF0492">
              <w:rPr>
                <w:rFonts w:ascii="Times New Roman" w:eastAsiaTheme="minorEastAsia" w:hAnsi="Times New Roman" w:cs="Times New Roman"/>
                <w:color w:val="000000"/>
                <w:sz w:val="24"/>
                <w:vertAlign w:val="subscript"/>
              </w:rPr>
              <w:t>ADC</w:t>
            </w:r>
          </w:p>
        </w:tc>
        <w:tc>
          <w:tcPr>
            <w:tcW w:w="1094" w:type="dxa"/>
            <w:vAlign w:val="center"/>
          </w:tcPr>
          <w:p w14:paraId="09D05663"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3 x10</w:t>
            </w:r>
            <w:r w:rsidRPr="00FF0492">
              <w:rPr>
                <w:rFonts w:ascii="Times New Roman" w:eastAsiaTheme="minorEastAsia" w:hAnsi="Times New Roman" w:cs="Times New Roman"/>
                <w:color w:val="000000"/>
                <w:sz w:val="24"/>
                <w:vertAlign w:val="superscript"/>
              </w:rPr>
              <w:t>-9</w:t>
            </w:r>
          </w:p>
        </w:tc>
        <w:tc>
          <w:tcPr>
            <w:tcW w:w="821" w:type="dxa"/>
            <w:vAlign w:val="center"/>
          </w:tcPr>
          <w:p w14:paraId="188EDA8D"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m/s</w:t>
            </w:r>
          </w:p>
        </w:tc>
        <w:tc>
          <w:tcPr>
            <w:tcW w:w="4364" w:type="dxa"/>
            <w:vAlign w:val="center"/>
          </w:tcPr>
          <w:p w14:paraId="3B630ABF"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Vascular permeability of antibody/ADC</w:t>
            </w:r>
          </w:p>
        </w:tc>
        <w:tc>
          <w:tcPr>
            <w:tcW w:w="1783" w:type="dxa"/>
            <w:vAlign w:val="center"/>
          </w:tcPr>
          <w:p w14:paraId="61A00BB7" w14:textId="165E773A" w:rsidR="00953F4A" w:rsidRPr="004A5AD8"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&lt;EndNote&gt;&lt;Cite&gt;&lt;Author&gt;Yuan&lt;/Author&gt;&lt;Year&gt;1995&lt;/Year&gt;&lt;RecNum&gt;396&lt;/RecNum&gt;&lt;DisplayText&gt;(6)&lt;/DisplayText&gt;&lt;record&gt;&lt;rec-number&gt;396&lt;/rec-number&gt;&lt;foreign-keys&gt;&lt;key app="EN" db-id="avaapp9rg5afdwext9kvtfszxrep9d2zfsdw"&gt;396&lt;/key&gt;&lt;/foreign-keys&gt;&lt;ref-type name="Journal Article"&gt;17&lt;/ref-type&gt;&lt;contributors&gt;&lt;authors&gt;&lt;author&gt;Yuan, Fan&lt;/author&gt;&lt;author&gt;Dellian, Marc&lt;/author&gt;&lt;author&gt;Fukumura, Dai&lt;/author&gt;&lt;author&gt;Leunig, Michael&lt;/author&gt;&lt;author&gt;Berk, David A.&lt;/author&gt;&lt;author&gt;Torchilin, Vladimir P.&lt;/author&gt;&lt;author&gt;Jain, Rakesh K.&lt;/author&gt;&lt;/authors&gt;&lt;/contributors&gt;&lt;titles&gt;&lt;title&gt;Vascular Permeability in a Human Tumor Xenograft: Molecular Size Dependence and Cutoff Size&lt;/title&gt;&lt;secondary-title&gt;Cancer Research&lt;/secondary-title&gt;&lt;/titles&gt;&lt;periodical&gt;&lt;full-title&gt;Cancer Research&lt;/full-title&gt;&lt;abbr-1&gt;Cancer Res.&lt;/abbr-1&gt;&lt;abbr-2&gt;Cancer Res&lt;/abbr-2&gt;&lt;/periodical&gt;&lt;pages&gt;3752-3756&lt;/pages&gt;&lt;volume&gt;55&lt;/volume&gt;&lt;number&gt;17&lt;/number&gt;&lt;dates&gt;&lt;year&gt;1995&lt;/year&gt;&lt;pub-dates&gt;&lt;date&gt;September 1, 1995&lt;/date&gt;&lt;/pub-dates&gt;&lt;/dates&gt;&lt;urls&gt;&lt;related-urls&gt;&lt;url&gt;http://cancerres.aacrjournals.org/content/55/17/3752.abstract&lt;/url&gt;&lt;/related-urls&gt;&lt;/urls&gt;&lt;/record&gt;&lt;/Cite&gt;&lt;/EndNote&gt;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(6)</w:t>
            </w:r>
            <w:r w:rsidRPr="004A5AD8">
              <w:rPr>
                <w:rFonts w:ascii="Times New Roman" w:eastAsiaTheme="minorEastAsia" w:hAnsi="Times New Roman" w:cs="Times New Roman"/>
                <w:color w:val="000000"/>
                <w:sz w:val="24"/>
              </w:rPr>
              <w:fldChar w:fldCharType="end"/>
            </w:r>
          </w:p>
        </w:tc>
      </w:tr>
      <w:tr w:rsidR="00DD21AB" w:rsidRPr="00FF0492" w14:paraId="7D18CC48" w14:textId="77777777" w:rsidTr="00FF0492">
        <w:trPr>
          <w:trHeight w:val="202"/>
          <w:jc w:val="center"/>
        </w:trPr>
        <w:tc>
          <w:tcPr>
            <w:tcW w:w="1636" w:type="dxa"/>
            <w:vAlign w:val="center"/>
          </w:tcPr>
          <w:p w14:paraId="77FA200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Q</w:t>
            </w:r>
          </w:p>
        </w:tc>
        <w:tc>
          <w:tcPr>
            <w:tcW w:w="1094" w:type="dxa"/>
            <w:vAlign w:val="center"/>
          </w:tcPr>
          <w:p w14:paraId="51AC39C2"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0.0015</w:t>
            </w:r>
          </w:p>
        </w:tc>
        <w:tc>
          <w:tcPr>
            <w:tcW w:w="821" w:type="dxa"/>
            <w:vAlign w:val="center"/>
          </w:tcPr>
          <w:p w14:paraId="5730B9BE"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mL/g/s</w:t>
            </w:r>
          </w:p>
        </w:tc>
        <w:tc>
          <w:tcPr>
            <w:tcW w:w="4364" w:type="dxa"/>
            <w:vAlign w:val="center"/>
          </w:tcPr>
          <w:p w14:paraId="035287F1"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Blood flow rate to tumor</w:t>
            </w:r>
          </w:p>
        </w:tc>
        <w:tc>
          <w:tcPr>
            <w:tcW w:w="1783" w:type="dxa"/>
            <w:vAlign w:val="center"/>
          </w:tcPr>
          <w:p w14:paraId="1035DAD5" w14:textId="1701A947" w:rsidR="00953F4A" w:rsidRPr="004A5AD8"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&lt;EndNote&gt;&lt;Cite&gt;&lt;Author&gt;Ferl&lt;/Author&gt;&lt;Year&gt;2006&lt;/Year&gt;&lt;RecNum&gt;37&lt;/RecNum&gt;&lt;DisplayText&gt;(7)&lt;/DisplayText&gt;&lt;record&gt;&lt;rec-number&gt;37&lt;/rec-number&gt;&lt;foreign-keys&gt;&lt;key app="EN" db-id="avaapp9rg5afdwext9kvtfszxrep9d2zfsdw"&gt;37&lt;/key&gt;&lt;/foreign-keys&gt;&lt;ref-type name="Journal Article"&gt;17&lt;/ref-type&gt;&lt;contributors&gt;&lt;authors&gt;&lt;author&gt;Ferl, Gregory Z&lt;/author&gt;&lt;author&gt;Kenanova, Vania&lt;/author&gt;&lt;author&gt;Wu, Anna M.&lt;/author&gt;&lt;author&gt;DiStefano, Joseph J&lt;/author&gt;&lt;/authors&gt;&lt;/contributors&gt;&lt;auth-address&gt;Department of Computer Science, University of California, Los Angeles, USA. gferl@mednet.ucla.edu&lt;/auth-address&gt;&lt;titles&gt;&lt;title&gt;A two-tiered physiologically based model for dually labeled single-chain Fv-Fc antibody fragments&lt;/title&gt;&lt;secondary-title&gt;Molecular Cancer Therapeutics&lt;/secondary-title&gt;&lt;/titles&gt;&lt;periodical&gt;&lt;full-title&gt;Molecular Cancer Therapeutics&lt;/full-title&gt;&lt;abbr-1&gt;Mol. Cancer Ther.&lt;/abbr-1&gt;&lt;abbr-2&gt;Mol Cancer Ther&lt;/abbr-2&gt;&lt;/periodical&gt;&lt;pages&gt;1550-1558&lt;/pages&gt;&lt;volume&gt;5&lt;/volume&gt;&lt;number&gt;6&lt;/number&gt;&lt;keywords&gt;&lt;keyword&gt;Animals&lt;/keyword&gt;&lt;keyword&gt;Antibodies, Monoclonal/*pharmacokinetics&lt;/keyword&gt;&lt;keyword&gt;Female&lt;/keyword&gt;&lt;keyword&gt;Immunoconjugates/*pharmacokinetics&lt;/keyword&gt;&lt;keyword&gt;Immunoglobulin Fc Fragments/*metabolism&lt;/keyword&gt;&lt;keyword&gt;Immunoglobulin Fragments/*metabolism&lt;/keyword&gt;&lt;keyword&gt;Indium Radioisotopes/pharmacokinetics&lt;/keyword&gt;&lt;keyword&gt;Iodine Radioisotopes/pharmacokinetics&lt;/keyword&gt;&lt;keyword&gt;Metabolic Clearance Rate&lt;/keyword&gt;&lt;keyword&gt;Mice&lt;/keyword&gt;&lt;keyword&gt;Mice, Nude&lt;/keyword&gt;&lt;keyword&gt;*Models, Biological&lt;/keyword&gt;&lt;keyword&gt;Organ Specificity&lt;/keyword&gt;&lt;keyword&gt;Tissue Distribution&lt;/keyword&gt;&lt;/keywords&gt;&lt;dates&gt;&lt;year&gt;2006&lt;/year&gt;&lt;pub-dates&gt;&lt;date&gt;Jun&lt;/date&gt;&lt;/pub-dates&gt;&lt;/dates&gt;&lt;isbn&gt;1535-7163 (Print)&amp;#xD;1535-7163 (Linking)&lt;/isbn&gt;&lt;accession-num&gt;16818514&lt;/accession-num&gt;&lt;urls&gt;&lt;related-urls&gt;&lt;url&gt;http://www.ncbi.nlm.nih.gov/pubmed/16818514&lt;/url&gt;&lt;/related-urls&gt;&lt;/urls&gt;&lt;electronic-resource-num&gt;10.1158/1535-7163.MCT-06-0072&lt;/electronic-resource-num&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(7)</w:t>
            </w:r>
            <w:r w:rsidRPr="004A5AD8">
              <w:rPr>
                <w:rFonts w:ascii="Times New Roman" w:eastAsiaTheme="minorEastAsia" w:hAnsi="Times New Roman" w:cs="Times New Roman"/>
                <w:color w:val="000000"/>
                <w:sz w:val="24"/>
              </w:rPr>
              <w:fldChar w:fldCharType="end"/>
            </w:r>
          </w:p>
        </w:tc>
      </w:tr>
      <w:tr w:rsidR="00DD21AB" w:rsidRPr="00FF0492" w14:paraId="1168D07E" w14:textId="77777777" w:rsidTr="00FF0492">
        <w:trPr>
          <w:trHeight w:val="202"/>
          <w:jc w:val="center"/>
        </w:trPr>
        <w:tc>
          <w:tcPr>
            <w:tcW w:w="1636" w:type="dxa"/>
            <w:vAlign w:val="center"/>
          </w:tcPr>
          <w:p w14:paraId="3B61F21F"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w:t>
            </w:r>
          </w:p>
        </w:tc>
        <w:tc>
          <w:tcPr>
            <w:tcW w:w="1094" w:type="dxa"/>
            <w:vAlign w:val="center"/>
          </w:tcPr>
          <w:p w14:paraId="379274CA"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0.45</w:t>
            </w:r>
          </w:p>
        </w:tc>
        <w:tc>
          <w:tcPr>
            <w:tcW w:w="821" w:type="dxa"/>
            <w:vAlign w:val="center"/>
          </w:tcPr>
          <w:p w14:paraId="089747F2"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ND</w:t>
            </w:r>
          </w:p>
        </w:tc>
        <w:tc>
          <w:tcPr>
            <w:tcW w:w="4364" w:type="dxa"/>
            <w:vAlign w:val="center"/>
          </w:tcPr>
          <w:p w14:paraId="2EAFCB3C"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Hematocrit</w:t>
            </w:r>
          </w:p>
        </w:tc>
        <w:tc>
          <w:tcPr>
            <w:tcW w:w="1783" w:type="dxa"/>
            <w:vAlign w:val="center"/>
          </w:tcPr>
          <w:p w14:paraId="291478BE" w14:textId="21DF6147" w:rsidR="00953F4A" w:rsidRPr="004A5AD8"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&lt;EndNote&gt;&lt;Cite&gt;&lt;Author&gt;Green&lt;/Author&gt;&lt;Year&gt;1975&lt;/Year&gt;&lt;RecNum&gt;571&lt;/RecNum&gt;&lt;DisplayText&gt;(8)&lt;/DisplayText&gt;&lt;record&gt;&lt;rec-number&gt;571&lt;/rec-number&gt;&lt;foreign-keys&gt;&lt;key app="EN" db-id="avaapp9rg5afdwext9kvtfszxrep9d2zfsdw"&gt;571&lt;/key&gt;&lt;/foreign-keys&gt;&lt;ref-type name="Book"&gt;6&lt;/ref-type&gt;&lt;contributors&gt;&lt;authors&gt;&lt;author&gt;Green, Earl L&lt;/author&gt;&lt;/authors&gt;&lt;/contributors&gt;&lt;titles&gt;&lt;title&gt;Biology of the laboratory mouse&lt;/title&gt;&lt;/titles&gt;&lt;edition&gt;2nd&lt;/edition&gt;&lt;dates&gt;&lt;year&gt;1975&lt;/year&gt;&lt;/dates&gt;&lt;pub-location&gt;New York&lt;/pub-location&gt;&lt;publisher&gt;Dover Publications &amp;amp; The Jackson Laboratory&lt;/publisher&gt;&lt;isbn&gt;0486631850&lt;/isbn&gt;&lt;urls&gt;&lt;/urls&gt;&lt;language&gt;English&lt;/language&gt;&lt;/record&gt;&lt;/Cite&gt;&lt;/EndNote&gt;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(8)</w:t>
            </w:r>
            <w:r w:rsidRPr="004A5AD8">
              <w:rPr>
                <w:rFonts w:ascii="Times New Roman" w:eastAsiaTheme="minorEastAsia" w:hAnsi="Times New Roman" w:cs="Times New Roman"/>
                <w:color w:val="000000"/>
                <w:sz w:val="24"/>
              </w:rPr>
              <w:fldChar w:fldCharType="end"/>
            </w:r>
          </w:p>
        </w:tc>
      </w:tr>
      <w:tr w:rsidR="00DD21AB" w:rsidRPr="00FF0492" w14:paraId="057AA1BE" w14:textId="77777777" w:rsidTr="00FF0492">
        <w:trPr>
          <w:trHeight w:val="202"/>
          <w:jc w:val="center"/>
        </w:trPr>
        <w:tc>
          <w:tcPr>
            <w:tcW w:w="1636" w:type="dxa"/>
            <w:vAlign w:val="center"/>
          </w:tcPr>
          <w:p w14:paraId="7D131F7A"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ε</w:t>
            </w:r>
          </w:p>
        </w:tc>
        <w:tc>
          <w:tcPr>
            <w:tcW w:w="1094" w:type="dxa"/>
            <w:vAlign w:val="center"/>
          </w:tcPr>
          <w:p w14:paraId="61AB83E1"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0.24</w:t>
            </w:r>
          </w:p>
        </w:tc>
        <w:tc>
          <w:tcPr>
            <w:tcW w:w="821" w:type="dxa"/>
            <w:vAlign w:val="center"/>
          </w:tcPr>
          <w:p w14:paraId="0BEF329F"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ND</w:t>
            </w:r>
          </w:p>
        </w:tc>
        <w:tc>
          <w:tcPr>
            <w:tcW w:w="4364" w:type="dxa"/>
            <w:vAlign w:val="center"/>
          </w:tcPr>
          <w:p w14:paraId="7275B61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Tumor void fraction</w:t>
            </w:r>
          </w:p>
        </w:tc>
        <w:tc>
          <w:tcPr>
            <w:tcW w:w="1783" w:type="dxa"/>
            <w:vAlign w:val="center"/>
          </w:tcPr>
          <w:p w14:paraId="28D81A6D" w14:textId="71F9C93C" w:rsidR="00953F4A" w:rsidRPr="004A5AD8"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4A5AD8">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&lt;EndNote&gt;&lt;Cite&gt;&lt;Author&gt;Schmidt&lt;/Author&gt;&lt;Year&gt;2009&lt;/Year&gt;&lt;RecNum&gt;132&lt;/RecNum&gt;&lt;DisplayText&gt;(9)&lt;/DisplayText&gt;&lt;record&gt;&lt;rec-number&gt;132&lt;/rec-number&gt;&lt;foreign-keys&gt;&lt;key app="EN" db-id="avaapp9rg5afdwext9kvtfszxrep9d2zfsdw"&gt;132&lt;/key&gt;&lt;/foreign-keys&gt;&lt;ref-type name="Journal Article"&gt;17&lt;/ref-type&gt;&lt;contributors&gt;&lt;authors&gt;&lt;author&gt;Schmidt, Michael M.&lt;/author&gt;&lt;author&gt;Wittrup, Karl Dane&lt;/author&gt;&lt;/authors&gt;&lt;/contributors&gt;&lt;auth-address&gt;Department of Biological Engineering, Massachusetts Institute of Technology, Building E19-551, 50 Ames Street, Cambridge, MA 02139, USA.&lt;/auth-address&gt;&lt;titles&gt;&lt;title&gt;A modeling analysis of the effects of molecular size and binding affinity on tumor targeting&lt;/title&gt;&lt;secondary-title&gt;Molecular Cancer Therapeutics&lt;/secondary-title&gt;&lt;/titles&gt;&lt;periodical&gt;&lt;full-title&gt;Molecular Cancer Therapeutics&lt;/full-title&gt;&lt;abbr-1&gt;Mol. Cancer Ther.&lt;/abbr-1&gt;&lt;abbr-2&gt;Mol Cancer Ther&lt;/abbr-2&gt;&lt;/periodical&gt;&lt;pages&gt;2861-71&lt;/pages&gt;&lt;volume&gt;8&lt;/volume&gt;&lt;number&gt;10&lt;/number&gt;&lt;keywords&gt;&lt;keyword&gt;Animals&lt;/keyword&gt;&lt;keyword&gt;Antineoplastic Agents/*chemistry/*pharmacology&lt;/keyword&gt;&lt;keyword&gt;Biological Transport/drug effects&lt;/keyword&gt;&lt;keyword&gt;Humans&lt;/keyword&gt;&lt;keyword&gt;Mice&lt;/keyword&gt;&lt;keyword&gt;*Models, Biological&lt;/keyword&gt;&lt;keyword&gt;Molecular Weight&lt;/keyword&gt;&lt;keyword&gt;Neoplasms/*metabolism&lt;/keyword&gt;&lt;keyword&gt;Permeability/drug effects&lt;/keyword&gt;&lt;keyword&gt;Time Factors&lt;/keyword&gt;&lt;keyword&gt;Xenograft Model Antitumor Assays&lt;/keyword&gt;&lt;/keywords&gt;&lt;dates&gt;&lt;year&gt;2009&lt;/year&gt;&lt;pub-dates&gt;&lt;date&gt;Oct&lt;/date&gt;&lt;/pub-dates&gt;&lt;/dates&gt;&lt;isbn&gt;1538-8514 (Electronic)&amp;#xD;1535-7163 (Linking)&lt;/isbn&gt;&lt;accession-num&gt;19825804&lt;/accession-num&gt;&lt;urls&gt;&lt;related-urls&gt;&lt;url&gt;http://www.ncbi.nlm.nih.gov/pubmed/19825804&lt;/url&gt;&lt;/related-urls&gt;&lt;/urls&gt;&lt;custom2&gt;4078872&lt;/custom2&gt;&lt;electronic-resource-num&gt;10.1158/1535-7163.MCT-09-0195&lt;/electronic-resource-num&gt;&lt;research-notes&gt;modeling paper that looks at effects of size and affinity on tumor uptake. There is a local minimum of uptake for medium-large sized drugs (~25kDa), which might limit the uptake of liposomes. &lt;/research-notes&gt;&lt;/record&gt;&lt;/Cite&gt;&lt;/EndNote&gt;</w:instrText>
            </w:r>
            <w:r w:rsidRPr="004A5AD8">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(9)</w:t>
            </w:r>
            <w:r w:rsidRPr="004A5AD8">
              <w:rPr>
                <w:rFonts w:ascii="Times New Roman" w:eastAsiaTheme="minorEastAsia" w:hAnsi="Times New Roman" w:cs="Times New Roman"/>
                <w:color w:val="000000"/>
                <w:sz w:val="24"/>
              </w:rPr>
              <w:fldChar w:fldCharType="end"/>
            </w:r>
          </w:p>
        </w:tc>
      </w:tr>
      <w:tr w:rsidR="00DD21AB" w:rsidRPr="00FF0492" w14:paraId="637ACCF3" w14:textId="77777777" w:rsidTr="00FF0492">
        <w:trPr>
          <w:trHeight w:val="202"/>
          <w:jc w:val="center"/>
        </w:trPr>
        <w:tc>
          <w:tcPr>
            <w:tcW w:w="1636" w:type="dxa"/>
            <w:vAlign w:val="center"/>
          </w:tcPr>
          <w:p w14:paraId="4C9B96D7"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[Ag]</w:t>
            </w:r>
            <w:r w:rsidRPr="00FF0492">
              <w:rPr>
                <w:rFonts w:ascii="Times New Roman" w:eastAsiaTheme="minorEastAsia" w:hAnsi="Times New Roman" w:cs="Times New Roman"/>
                <w:color w:val="000000"/>
                <w:sz w:val="24"/>
                <w:vertAlign w:val="subscript"/>
              </w:rPr>
              <w:t>0</w:t>
            </w:r>
          </w:p>
        </w:tc>
        <w:tc>
          <w:tcPr>
            <w:tcW w:w="1094" w:type="dxa"/>
            <w:vAlign w:val="center"/>
          </w:tcPr>
          <w:p w14:paraId="07F6A561" w14:textId="28D8D81E"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1.2495</w:t>
            </w:r>
          </w:p>
        </w:tc>
        <w:tc>
          <w:tcPr>
            <w:tcW w:w="821" w:type="dxa"/>
            <w:vAlign w:val="center"/>
          </w:tcPr>
          <w:p w14:paraId="1C33239A"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w:t>
            </w:r>
          </w:p>
        </w:tc>
        <w:tc>
          <w:tcPr>
            <w:tcW w:w="4364" w:type="dxa"/>
            <w:vAlign w:val="center"/>
          </w:tcPr>
          <w:p w14:paraId="61FAFCE7" w14:textId="117726C8"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Initial antigen concentration</w:t>
            </w:r>
          </w:p>
          <w:p w14:paraId="70E9889C" w14:textId="61B7C485"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KB (High FRα)</w:t>
            </w:r>
          </w:p>
        </w:tc>
        <w:tc>
          <w:tcPr>
            <w:tcW w:w="1783" w:type="dxa"/>
            <w:vAlign w:val="center"/>
          </w:tcPr>
          <w:p w14:paraId="4A2AB551" w14:textId="73BAEBE6" w:rsidR="00953F4A" w:rsidRPr="00FF0492" w:rsidRDefault="00E54A92" w:rsidP="00DD21AB">
            <w:pPr>
              <w:widowControl w:val="0"/>
              <w:autoSpaceDE w:val="0"/>
              <w:autoSpaceDN w:val="0"/>
              <w:adjustRightInd w:val="0"/>
              <w:jc w:val="center"/>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&lt;EndNote&gt;&lt;Cite&gt;&lt;Author&gt;Forster&lt;/Author&gt;&lt;Year&gt;2007&lt;/Year&gt;&lt;RecNum&gt;97&lt;/RecNum&gt;&lt;DisplayText&gt;(10)&lt;/DisplayText&gt;&lt;record&gt;&lt;rec-number&gt;97&lt;/rec-number&gt;&lt;foreign-keys&gt;&lt;key app="EN" db-id="aa9v22earwp5tzedp0cptvs6rssffwefrars" timestamp="1586056680"&gt;97&lt;/key&gt;&lt;/foreign-keys&gt;&lt;ref-type name="Journal Article"&gt;17&lt;/ref-type&gt;&lt;contributors&gt;&lt;authors&gt;&lt;author&gt;Forster, M. D.&lt;/author&gt;&lt;author&gt;Ormerod, M. G.&lt;/author&gt;&lt;author&gt;Agarwal, R.&lt;/author&gt;&lt;author&gt;Kaye, S. B.&lt;/author&gt;&lt;author&gt;Jackman, A. L.&lt;/author&gt;&lt;/authors&gt;&lt;/contributors&gt;&lt;auth-address&gt;Section of Medicine, Institute of Cancer Research, Sutton, United Kingdom.&lt;/auth-address&gt;&lt;titles&gt;&lt;title&gt;Flow cytometric method for determining folate receptor expression on ovarian carcinoma cells&lt;/title&gt;&lt;secondary-title&gt;Cytometry A&lt;/secondary-title&gt;&lt;/titles&gt;&lt;periodical&gt;&lt;full-title&gt;Cytometry A&lt;/full-title&gt;&lt;/periodical&gt;&lt;pages&gt;945-50&lt;/pages&gt;&lt;volume&gt;71&lt;/volume&gt;&lt;number&gt;11&lt;/number&gt;&lt;edition&gt;2007/08/23&lt;/edition&gt;&lt;keywords&gt;&lt;keyword&gt;Ascitic Fluid/cytology/metabolism&lt;/keyword&gt;&lt;keyword&gt;Biomarkers, Tumor/metabolism&lt;/keyword&gt;&lt;keyword&gt;Carrier Proteins/genetics/*metabolism&lt;/keyword&gt;&lt;keyword&gt;Cell Line, Tumor&lt;/keyword&gt;&lt;keyword&gt;Female&lt;/keyword&gt;&lt;keyword&gt;Folate Receptors, GPI-Anchored&lt;/keyword&gt;&lt;keyword&gt;Humans&lt;/keyword&gt;&lt;keyword&gt;*Ovarian Neoplasms/metabolism/pathology&lt;/keyword&gt;&lt;keyword&gt;Receptors, Cell Surface/genetics/*metabolism&lt;/keyword&gt;&lt;/keywords&gt;&lt;dates&gt;&lt;year&gt;2007&lt;/year&gt;&lt;pub-dates&gt;&lt;date&gt;Nov&lt;/date&gt;&lt;/pub-dates&gt;&lt;/dates&gt;&lt;isbn&gt;1552-4922 (Print)&amp;#xD;1552-4922 (Linking)&lt;/isbn&gt;&lt;accession-num&gt;17712798&lt;/accession-num&gt;&lt;urls&gt;&lt;related-urls&gt;&lt;url&gt;https://www.ncbi.nlm.nih.gov/pubmed/17712798&lt;/url&gt;&lt;/related-urls&gt;&lt;/urls&gt;&lt;electronic-resource-num&gt;10.1002/cyto.a.20456&lt;/electronic-resource-num&gt;&lt;/record&gt;&lt;/Cite&gt;&lt;/EndNote&gt;</w:instrText>
            </w:r>
            <w:r>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(10)</w:t>
            </w:r>
            <w:r>
              <w:rPr>
                <w:rFonts w:ascii="Times New Roman" w:eastAsiaTheme="minorEastAsia" w:hAnsi="Times New Roman" w:cs="Times New Roman"/>
                <w:color w:val="000000"/>
                <w:sz w:val="24"/>
              </w:rPr>
              <w:fldChar w:fldCharType="end"/>
            </w:r>
          </w:p>
        </w:tc>
      </w:tr>
      <w:tr w:rsidR="00953F4A" w:rsidRPr="00FF0492" w14:paraId="168A501B" w14:textId="77777777" w:rsidTr="00FF0492">
        <w:trPr>
          <w:trHeight w:val="202"/>
          <w:jc w:val="center"/>
        </w:trPr>
        <w:tc>
          <w:tcPr>
            <w:tcW w:w="1636" w:type="dxa"/>
            <w:vAlign w:val="center"/>
          </w:tcPr>
          <w:p w14:paraId="5D19F9E6" w14:textId="43660F6D"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[Ag]</w:t>
            </w:r>
            <w:r w:rsidRPr="00FF0492">
              <w:rPr>
                <w:rFonts w:ascii="Times New Roman" w:eastAsiaTheme="minorEastAsia" w:hAnsi="Times New Roman" w:cs="Times New Roman"/>
                <w:color w:val="000000"/>
                <w:sz w:val="24"/>
                <w:vertAlign w:val="subscript"/>
              </w:rPr>
              <w:t>0</w:t>
            </w:r>
          </w:p>
        </w:tc>
        <w:tc>
          <w:tcPr>
            <w:tcW w:w="1094" w:type="dxa"/>
            <w:vAlign w:val="center"/>
          </w:tcPr>
          <w:p w14:paraId="4894CD49" w14:textId="23679DB0"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0.0333</w:t>
            </w:r>
          </w:p>
        </w:tc>
        <w:tc>
          <w:tcPr>
            <w:tcW w:w="821" w:type="dxa"/>
            <w:vAlign w:val="center"/>
          </w:tcPr>
          <w:p w14:paraId="0F945678" w14:textId="3E84B8C2"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w:t>
            </w:r>
          </w:p>
        </w:tc>
        <w:tc>
          <w:tcPr>
            <w:tcW w:w="4364" w:type="dxa"/>
            <w:vAlign w:val="center"/>
          </w:tcPr>
          <w:p w14:paraId="04B0B688" w14:textId="23178EAA"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Initial antigen concentration</w:t>
            </w:r>
          </w:p>
          <w:p w14:paraId="48C5F11E" w14:textId="0150FD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OV90 (Low FRα)</w:t>
            </w:r>
          </w:p>
        </w:tc>
        <w:tc>
          <w:tcPr>
            <w:tcW w:w="1783" w:type="dxa"/>
            <w:vAlign w:val="center"/>
          </w:tcPr>
          <w:p w14:paraId="6CBFD63A" w14:textId="71701578" w:rsidR="00953F4A" w:rsidRPr="00FF0492" w:rsidRDefault="00953F4A" w:rsidP="00DD21AB">
            <w:pPr>
              <w:widowControl w:val="0"/>
              <w:autoSpaceDE w:val="0"/>
              <w:autoSpaceDN w:val="0"/>
              <w:adjustRightInd w:val="0"/>
              <w:jc w:val="center"/>
              <w:rPr>
                <w:rFonts w:ascii="Times New Roman" w:hAnsi="Times New Roman" w:cs="Times New Roman"/>
                <w:sz w:val="24"/>
              </w:rPr>
            </w:pPr>
          </w:p>
        </w:tc>
      </w:tr>
      <w:tr w:rsidR="00DD21AB" w:rsidRPr="00FF0492" w14:paraId="5CA5D44C" w14:textId="77777777" w:rsidTr="00FF0492">
        <w:trPr>
          <w:trHeight w:val="202"/>
          <w:jc w:val="center"/>
        </w:trPr>
        <w:tc>
          <w:tcPr>
            <w:tcW w:w="1636" w:type="dxa"/>
            <w:vAlign w:val="center"/>
          </w:tcPr>
          <w:p w14:paraId="685A0147"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on, Ab</w:t>
            </w:r>
          </w:p>
        </w:tc>
        <w:tc>
          <w:tcPr>
            <w:tcW w:w="1094" w:type="dxa"/>
            <w:vAlign w:val="center"/>
          </w:tcPr>
          <w:p w14:paraId="5FF00078" w14:textId="037D057B" w:rsidR="00953F4A" w:rsidRPr="00FF0492" w:rsidRDefault="00434082"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1</w:t>
            </w:r>
            <w:r w:rsidR="00953F4A" w:rsidRPr="00FF0492">
              <w:rPr>
                <w:rFonts w:ascii="Times New Roman" w:eastAsiaTheme="minorEastAsia" w:hAnsi="Times New Roman" w:cs="Times New Roman"/>
                <w:color w:val="000000"/>
                <w:sz w:val="24"/>
              </w:rPr>
              <w:t>x10</w:t>
            </w:r>
            <w:r w:rsidR="00953F4A" w:rsidRPr="00FF0492">
              <w:rPr>
                <w:rFonts w:ascii="Times New Roman" w:eastAsiaTheme="minorEastAsia" w:hAnsi="Times New Roman" w:cs="Times New Roman"/>
                <w:color w:val="000000"/>
                <w:sz w:val="24"/>
                <w:vertAlign w:val="superscript"/>
              </w:rPr>
              <w:t>5</w:t>
            </w:r>
          </w:p>
        </w:tc>
        <w:tc>
          <w:tcPr>
            <w:tcW w:w="821" w:type="dxa"/>
            <w:vAlign w:val="center"/>
          </w:tcPr>
          <w:p w14:paraId="154EE937"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M</w:t>
            </w:r>
            <w:r w:rsidRPr="00FF0492">
              <w:rPr>
                <w:rFonts w:ascii="Times New Roman" w:eastAsiaTheme="minorEastAsia" w:hAnsi="Times New Roman" w:cs="Times New Roman"/>
                <w:color w:val="000000"/>
                <w:sz w:val="24"/>
                <w:vertAlign w:val="superscript"/>
              </w:rPr>
              <w:t>-1</w:t>
            </w:r>
            <w:r w:rsidRPr="00FF0492">
              <w:rPr>
                <w:rFonts w:ascii="Times New Roman" w:eastAsiaTheme="minorEastAsia" w:hAnsi="Times New Roman" w:cs="Times New Roman"/>
                <w:color w:val="000000"/>
                <w:sz w:val="24"/>
              </w:rPr>
              <w:t>s</w:t>
            </w:r>
            <w:r w:rsidRPr="00FF0492">
              <w:rPr>
                <w:rFonts w:ascii="Times New Roman" w:eastAsiaTheme="minorEastAsia" w:hAnsi="Times New Roman" w:cs="Times New Roman"/>
                <w:color w:val="000000"/>
                <w:sz w:val="24"/>
                <w:vertAlign w:val="superscript"/>
              </w:rPr>
              <w:t>-1</w:t>
            </w:r>
          </w:p>
        </w:tc>
        <w:tc>
          <w:tcPr>
            <w:tcW w:w="4364" w:type="dxa"/>
            <w:vAlign w:val="center"/>
          </w:tcPr>
          <w:p w14:paraId="0F55B2D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Antibody/ADC binding rate</w:t>
            </w:r>
          </w:p>
        </w:tc>
        <w:tc>
          <w:tcPr>
            <w:tcW w:w="1783" w:type="dxa"/>
            <w:vAlign w:val="center"/>
          </w:tcPr>
          <w:p w14:paraId="65BB4729" w14:textId="70CE1F12" w:rsidR="00953F4A" w:rsidRPr="00FF0492" w:rsidRDefault="00434082"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hAnsi="Times New Roman" w:cs="Times New Roman"/>
                <w:sz w:val="24"/>
              </w:rPr>
              <w:t>Estimated</w:t>
            </w:r>
          </w:p>
        </w:tc>
      </w:tr>
      <w:tr w:rsidR="00DD21AB" w:rsidRPr="00FF0492" w14:paraId="55065162" w14:textId="77777777" w:rsidTr="00FF0492">
        <w:trPr>
          <w:trHeight w:val="202"/>
          <w:jc w:val="center"/>
        </w:trPr>
        <w:tc>
          <w:tcPr>
            <w:tcW w:w="1636" w:type="dxa"/>
            <w:vAlign w:val="center"/>
          </w:tcPr>
          <w:p w14:paraId="60CE50B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proofErr w:type="spellStart"/>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off</w:t>
            </w:r>
            <w:proofErr w:type="spellEnd"/>
            <w:r w:rsidRPr="00FF0492">
              <w:rPr>
                <w:rFonts w:ascii="Times New Roman" w:eastAsiaTheme="minorEastAsia" w:hAnsi="Times New Roman" w:cs="Times New Roman"/>
                <w:color w:val="000000"/>
                <w:sz w:val="24"/>
                <w:vertAlign w:val="subscript"/>
              </w:rPr>
              <w:t>, Ab</w:t>
            </w:r>
          </w:p>
        </w:tc>
        <w:tc>
          <w:tcPr>
            <w:tcW w:w="1094" w:type="dxa"/>
            <w:vAlign w:val="center"/>
          </w:tcPr>
          <w:p w14:paraId="65FC1011" w14:textId="6AC145CA" w:rsidR="00953F4A" w:rsidRPr="00FF0492" w:rsidRDefault="00434082"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8</w:t>
            </w:r>
            <w:r w:rsidR="00953F4A" w:rsidRPr="00FF0492">
              <w:rPr>
                <w:rFonts w:ascii="Times New Roman" w:eastAsiaTheme="minorEastAsia" w:hAnsi="Times New Roman" w:cs="Times New Roman"/>
                <w:color w:val="000000"/>
                <w:sz w:val="24"/>
              </w:rPr>
              <w:t>x10</w:t>
            </w:r>
            <w:r w:rsidR="00953F4A" w:rsidRPr="00FF0492">
              <w:rPr>
                <w:rFonts w:ascii="Times New Roman" w:eastAsiaTheme="minorEastAsia" w:hAnsi="Times New Roman" w:cs="Times New Roman"/>
                <w:color w:val="000000"/>
                <w:sz w:val="24"/>
                <w:vertAlign w:val="superscript"/>
              </w:rPr>
              <w:t>−</w:t>
            </w:r>
            <w:r w:rsidRPr="00FF0492">
              <w:rPr>
                <w:rFonts w:ascii="Times New Roman" w:eastAsiaTheme="minorEastAsia" w:hAnsi="Times New Roman" w:cs="Times New Roman"/>
                <w:color w:val="000000"/>
                <w:sz w:val="24"/>
                <w:vertAlign w:val="superscript"/>
              </w:rPr>
              <w:t>6</w:t>
            </w:r>
          </w:p>
        </w:tc>
        <w:tc>
          <w:tcPr>
            <w:tcW w:w="821" w:type="dxa"/>
            <w:vAlign w:val="center"/>
          </w:tcPr>
          <w:p w14:paraId="120138DD"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s</w:t>
            </w:r>
            <w:r w:rsidRPr="00FF0492">
              <w:rPr>
                <w:rFonts w:ascii="Times New Roman" w:eastAsiaTheme="minorEastAsia" w:hAnsi="Times New Roman" w:cs="Times New Roman"/>
                <w:color w:val="000000"/>
                <w:sz w:val="24"/>
                <w:vertAlign w:val="superscript"/>
              </w:rPr>
              <w:t>-1</w:t>
            </w:r>
          </w:p>
        </w:tc>
        <w:tc>
          <w:tcPr>
            <w:tcW w:w="4364" w:type="dxa"/>
            <w:vAlign w:val="center"/>
          </w:tcPr>
          <w:p w14:paraId="53EF4436"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Antibody/ADC dissociation rate</w:t>
            </w:r>
          </w:p>
        </w:tc>
        <w:tc>
          <w:tcPr>
            <w:tcW w:w="1783" w:type="dxa"/>
            <w:vAlign w:val="center"/>
          </w:tcPr>
          <w:p w14:paraId="1D18A1DD" w14:textId="7434A9C8" w:rsidR="00953F4A" w:rsidRPr="00FF0492" w:rsidRDefault="00434082"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hAnsi="Times New Roman" w:cs="Times New Roman"/>
                <w:sz w:val="24"/>
              </w:rPr>
              <w:t>Calculated</w:t>
            </w:r>
          </w:p>
        </w:tc>
      </w:tr>
      <w:tr w:rsidR="00DD21AB" w:rsidRPr="00FF0492" w14:paraId="3C9A2E83" w14:textId="77777777" w:rsidTr="00FF0492">
        <w:trPr>
          <w:trHeight w:val="202"/>
          <w:jc w:val="center"/>
        </w:trPr>
        <w:tc>
          <w:tcPr>
            <w:tcW w:w="1636" w:type="dxa"/>
            <w:vAlign w:val="center"/>
          </w:tcPr>
          <w:p w14:paraId="6E6CFBFC"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d</w:t>
            </w:r>
          </w:p>
        </w:tc>
        <w:tc>
          <w:tcPr>
            <w:tcW w:w="1094" w:type="dxa"/>
            <w:vAlign w:val="center"/>
          </w:tcPr>
          <w:p w14:paraId="660BD527" w14:textId="566C25EF" w:rsidR="00953F4A" w:rsidRPr="00FF0492" w:rsidRDefault="00434082"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0.08</w:t>
            </w:r>
          </w:p>
        </w:tc>
        <w:tc>
          <w:tcPr>
            <w:tcW w:w="821" w:type="dxa"/>
            <w:vAlign w:val="center"/>
          </w:tcPr>
          <w:p w14:paraId="6EFD1481"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nM</w:t>
            </w:r>
          </w:p>
        </w:tc>
        <w:tc>
          <w:tcPr>
            <w:tcW w:w="4364" w:type="dxa"/>
            <w:vAlign w:val="center"/>
          </w:tcPr>
          <w:p w14:paraId="7E0882CF"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Antibody/ADC dissociation constant</w:t>
            </w:r>
          </w:p>
        </w:tc>
        <w:tc>
          <w:tcPr>
            <w:tcW w:w="1783" w:type="dxa"/>
            <w:vAlign w:val="center"/>
          </w:tcPr>
          <w:p w14:paraId="278F3969" w14:textId="40D5B977" w:rsidR="00953F4A" w:rsidRPr="00FF0492" w:rsidRDefault="00E54A92" w:rsidP="00DD21AB">
            <w:pPr>
              <w:widowControl w:val="0"/>
              <w:autoSpaceDE w:val="0"/>
              <w:autoSpaceDN w:val="0"/>
              <w:adjustRightInd w:val="0"/>
              <w:jc w:val="center"/>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&lt;EndNote&gt;&lt;Cite&gt;&lt;Author&gt;Ab&lt;/Author&gt;&lt;Year&gt;2015&lt;/Year&gt;&lt;RecNum&gt;98&lt;/RecNum&gt;&lt;DisplayText&gt;(1)&lt;/DisplayText&gt;&lt;record&gt;&lt;rec-number&gt;98&lt;/rec-number&gt;&lt;foreign-keys&gt;&lt;key app="EN" db-id="aa9v22earwp5tzedp0cptvs6rssffwefrars" timestamp="1586056798"&gt;98&lt;/key&gt;&lt;/foreign-keys&gt;&lt;ref-type name="Journal Article"&gt;17&lt;/ref-type&gt;&lt;contributors&gt;&lt;authors&gt;&lt;author&gt;Ab, Olga&lt;/author&gt;&lt;author&gt;Whiteman, Kathleen R.&lt;/author&gt;&lt;author&gt;Bartle, Laura M.&lt;/author&gt;&lt;author&gt;Sun, Xiuxia&lt;/author&gt;&lt;author&gt;Singh, Rajeeva&lt;/author&gt;&lt;author&gt;Tavares, Daniel&lt;/author&gt;&lt;author&gt;LaBelle, Alyssa&lt;/author&gt;&lt;author&gt;Payne, Gillian&lt;/author&gt;&lt;author&gt;Lutz, Robert J.&lt;/author&gt;&lt;author&gt;Pinkas, Jan&lt;/author&gt;&lt;author&gt;Goldmacher, Victor S.&lt;/author&gt;&lt;author&gt;Chittenden, Thomas&lt;/author&gt;&lt;author&gt;Lambert, John M.&lt;/author&gt;&lt;/authors&gt;&lt;/contributors&gt;&lt;titles&gt;&lt;title&gt;IMGN853, a Folate Receptor-α (FRα)–Targeting Antibody–Drug Conjugate, Exhibits Potent Targeted Antitumor Activity against FRα-Expressing Tumors&lt;/title&gt;&lt;secondary-title&gt;Molecular Cancer Therapeutics&lt;/secondary-title&gt;&lt;/titles&gt;&lt;periodical&gt;&lt;full-title&gt;Molecular Cancer Therapeutics&lt;/full-title&gt;&lt;/periodical&gt;&lt;pages&gt;1605&lt;/pages&gt;&lt;volume&gt;14&lt;/volume&gt;&lt;number&gt;7&lt;/number&gt;&lt;dates&gt;&lt;year&gt;2015&lt;/year&gt;&lt;/dates&gt;&lt;urls&gt;&lt;related-urls&gt;&lt;url&gt;http://mct.aacrjournals.org/content/14/7/1605.abstract&lt;/url&gt;&lt;/related-urls&gt;&lt;/urls&gt;&lt;electronic-resource-num&gt;10.1158/1535-7163.MCT-14-1095&lt;/electronic-resource-num&gt;&lt;/record&gt;&lt;/Cite&gt;&lt;/EndNote&gt;</w:instrText>
            </w:r>
            <w:r>
              <w:rPr>
                <w:rFonts w:ascii="Times New Roman" w:eastAsiaTheme="minorEastAsia" w:hAnsi="Times New Roman" w:cs="Times New Roman"/>
                <w:color w:val="000000"/>
                <w:sz w:val="24"/>
              </w:rPr>
              <w:fldChar w:fldCharType="separate"/>
            </w:r>
            <w:r w:rsidR="00896B31">
              <w:rPr>
                <w:rFonts w:ascii="Times New Roman" w:eastAsiaTheme="minorEastAsia" w:hAnsi="Times New Roman" w:cs="Times New Roman"/>
                <w:noProof/>
                <w:color w:val="000000"/>
                <w:sz w:val="24"/>
              </w:rPr>
              <w:t>(1)</w:t>
            </w:r>
            <w:r>
              <w:rPr>
                <w:rFonts w:ascii="Times New Roman" w:eastAsiaTheme="minorEastAsia" w:hAnsi="Times New Roman" w:cs="Times New Roman"/>
                <w:color w:val="000000"/>
                <w:sz w:val="24"/>
              </w:rPr>
              <w:fldChar w:fldCharType="end"/>
            </w:r>
          </w:p>
        </w:tc>
      </w:tr>
      <w:tr w:rsidR="00DD21AB" w:rsidRPr="00FF0492" w14:paraId="3D7BEC00" w14:textId="77777777" w:rsidTr="00FF0492">
        <w:trPr>
          <w:trHeight w:val="202"/>
          <w:jc w:val="center"/>
        </w:trPr>
        <w:tc>
          <w:tcPr>
            <w:tcW w:w="1636" w:type="dxa"/>
            <w:vAlign w:val="center"/>
          </w:tcPr>
          <w:p w14:paraId="01F7285E"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e</w:t>
            </w:r>
          </w:p>
        </w:tc>
        <w:tc>
          <w:tcPr>
            <w:tcW w:w="1094" w:type="dxa"/>
            <w:vAlign w:val="center"/>
          </w:tcPr>
          <w:p w14:paraId="01D44A49" w14:textId="7BFC1AC1"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0.6x10</w:t>
            </w:r>
            <w:r w:rsidRPr="00FF0492">
              <w:rPr>
                <w:rFonts w:ascii="Times New Roman" w:eastAsiaTheme="minorEastAsia" w:hAnsi="Times New Roman" w:cs="Times New Roman"/>
                <w:color w:val="000000"/>
                <w:sz w:val="24"/>
                <w:vertAlign w:val="superscript"/>
              </w:rPr>
              <w:t>−5</w:t>
            </w:r>
          </w:p>
        </w:tc>
        <w:tc>
          <w:tcPr>
            <w:tcW w:w="821" w:type="dxa"/>
            <w:vAlign w:val="center"/>
          </w:tcPr>
          <w:p w14:paraId="48328579"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s</w:t>
            </w:r>
            <w:r w:rsidRPr="00FF0492">
              <w:rPr>
                <w:rFonts w:ascii="Times New Roman" w:eastAsiaTheme="minorEastAsia" w:hAnsi="Times New Roman" w:cs="Times New Roman"/>
                <w:color w:val="000000"/>
                <w:sz w:val="24"/>
                <w:vertAlign w:val="superscript"/>
              </w:rPr>
              <w:t>-1</w:t>
            </w:r>
          </w:p>
        </w:tc>
        <w:tc>
          <w:tcPr>
            <w:tcW w:w="4364" w:type="dxa"/>
            <w:vAlign w:val="center"/>
          </w:tcPr>
          <w:p w14:paraId="55375136"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Antibody/ADC internalization rate</w:t>
            </w:r>
          </w:p>
        </w:tc>
        <w:tc>
          <w:tcPr>
            <w:tcW w:w="1783" w:type="dxa"/>
            <w:vAlign w:val="center"/>
          </w:tcPr>
          <w:p w14:paraId="46336A25" w14:textId="377A07ED"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Estimated, see supplementary discussion</w:t>
            </w:r>
          </w:p>
        </w:tc>
      </w:tr>
      <w:tr w:rsidR="00DD21AB" w:rsidRPr="00FF0492" w14:paraId="0ADB4F59" w14:textId="77777777" w:rsidTr="00FF0492">
        <w:trPr>
          <w:trHeight w:val="202"/>
          <w:jc w:val="center"/>
        </w:trPr>
        <w:tc>
          <w:tcPr>
            <w:tcW w:w="1636" w:type="dxa"/>
            <w:vAlign w:val="center"/>
          </w:tcPr>
          <w:p w14:paraId="68701705"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R</w:t>
            </w:r>
            <w:r w:rsidRPr="00FF0492">
              <w:rPr>
                <w:rFonts w:ascii="Times New Roman" w:eastAsiaTheme="minorEastAsia" w:hAnsi="Times New Roman" w:cs="Times New Roman"/>
                <w:color w:val="000000"/>
                <w:sz w:val="24"/>
                <w:vertAlign w:val="subscript"/>
              </w:rPr>
              <w:t>s</w:t>
            </w:r>
          </w:p>
        </w:tc>
        <w:tc>
          <w:tcPr>
            <w:tcW w:w="1094" w:type="dxa"/>
            <w:vAlign w:val="center"/>
          </w:tcPr>
          <w:p w14:paraId="2F300464" w14:textId="3626F5C6"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e</w:t>
            </w:r>
            <w:r w:rsidRPr="00FF0492">
              <w:rPr>
                <w:rFonts w:ascii="Times New Roman" w:eastAsiaTheme="minorEastAsia" w:hAnsi="Times New Roman" w:cs="Times New Roman"/>
                <w:color w:val="000000"/>
                <w:sz w:val="24"/>
              </w:rPr>
              <w:t>*[Ag</w:t>
            </w:r>
            <w:r w:rsidRPr="00FF0492">
              <w:rPr>
                <w:rFonts w:ascii="Times New Roman" w:eastAsiaTheme="minorEastAsia" w:hAnsi="Times New Roman" w:cs="Times New Roman"/>
                <w:color w:val="000000"/>
                <w:sz w:val="24"/>
                <w:vertAlign w:val="subscript"/>
              </w:rPr>
              <w:t>0</w:t>
            </w:r>
            <w:r w:rsidRPr="00FF0492">
              <w:rPr>
                <w:rFonts w:ascii="Times New Roman" w:eastAsiaTheme="minorEastAsia" w:hAnsi="Times New Roman" w:cs="Times New Roman"/>
                <w:color w:val="000000"/>
                <w:sz w:val="24"/>
              </w:rPr>
              <w:t>]</w:t>
            </w:r>
          </w:p>
        </w:tc>
        <w:tc>
          <w:tcPr>
            <w:tcW w:w="821" w:type="dxa"/>
            <w:vAlign w:val="center"/>
          </w:tcPr>
          <w:p w14:paraId="6025478B"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μM/s</w:t>
            </w:r>
          </w:p>
        </w:tc>
        <w:tc>
          <w:tcPr>
            <w:tcW w:w="4364" w:type="dxa"/>
            <w:vAlign w:val="center"/>
          </w:tcPr>
          <w:p w14:paraId="113689D3" w14:textId="59C8D896"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Antigen recycle rate</w:t>
            </w:r>
          </w:p>
        </w:tc>
        <w:tc>
          <w:tcPr>
            <w:tcW w:w="1783" w:type="dxa"/>
            <w:vAlign w:val="center"/>
          </w:tcPr>
          <w:p w14:paraId="74520D76" w14:textId="09F2FC55"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w:t>
            </w:r>
          </w:p>
        </w:tc>
      </w:tr>
      <w:tr w:rsidR="00DD21AB" w:rsidRPr="00FF0492" w14:paraId="2B5A6802" w14:textId="77777777" w:rsidTr="00FF0492">
        <w:trPr>
          <w:trHeight w:val="202"/>
          <w:jc w:val="center"/>
        </w:trPr>
        <w:tc>
          <w:tcPr>
            <w:tcW w:w="1636" w:type="dxa"/>
            <w:vAlign w:val="center"/>
          </w:tcPr>
          <w:p w14:paraId="56199EAE"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bscript"/>
              </w:rPr>
            </w:pPr>
            <w:r w:rsidRPr="00FF0492">
              <w:rPr>
                <w:rFonts w:ascii="Times New Roman" w:eastAsiaTheme="minorEastAsia" w:hAnsi="Times New Roman" w:cs="Times New Roman"/>
                <w:color w:val="000000"/>
                <w:sz w:val="24"/>
              </w:rPr>
              <w:t>k</w:t>
            </w:r>
            <w:r w:rsidRPr="00FF0492">
              <w:rPr>
                <w:rFonts w:ascii="Times New Roman" w:eastAsiaTheme="minorEastAsia" w:hAnsi="Times New Roman" w:cs="Times New Roman"/>
                <w:color w:val="000000"/>
                <w:sz w:val="24"/>
                <w:vertAlign w:val="subscript"/>
              </w:rPr>
              <w:t>deg</w:t>
            </w:r>
          </w:p>
        </w:tc>
        <w:tc>
          <w:tcPr>
            <w:tcW w:w="1094" w:type="dxa"/>
            <w:vAlign w:val="center"/>
          </w:tcPr>
          <w:p w14:paraId="2FE95B85"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8.0x10</w:t>
            </w:r>
            <w:r w:rsidRPr="00FF0492">
              <w:rPr>
                <w:rFonts w:ascii="Times New Roman" w:eastAsiaTheme="minorEastAsia" w:hAnsi="Times New Roman" w:cs="Times New Roman"/>
                <w:color w:val="000000"/>
                <w:sz w:val="24"/>
                <w:vertAlign w:val="superscript"/>
              </w:rPr>
              <w:t>−6</w:t>
            </w:r>
          </w:p>
        </w:tc>
        <w:tc>
          <w:tcPr>
            <w:tcW w:w="821" w:type="dxa"/>
            <w:vAlign w:val="center"/>
          </w:tcPr>
          <w:p w14:paraId="2668BCC8"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vertAlign w:val="superscript"/>
              </w:rPr>
            </w:pPr>
            <w:r w:rsidRPr="00FF0492">
              <w:rPr>
                <w:rFonts w:ascii="Times New Roman" w:eastAsiaTheme="minorEastAsia" w:hAnsi="Times New Roman" w:cs="Times New Roman"/>
                <w:color w:val="000000"/>
                <w:sz w:val="24"/>
              </w:rPr>
              <w:t>s</w:t>
            </w:r>
            <w:r w:rsidRPr="00FF0492">
              <w:rPr>
                <w:rFonts w:ascii="Times New Roman" w:eastAsiaTheme="minorEastAsia" w:hAnsi="Times New Roman" w:cs="Times New Roman"/>
                <w:color w:val="000000"/>
                <w:sz w:val="24"/>
                <w:vertAlign w:val="superscript"/>
              </w:rPr>
              <w:t>-1</w:t>
            </w:r>
          </w:p>
        </w:tc>
        <w:tc>
          <w:tcPr>
            <w:tcW w:w="4364" w:type="dxa"/>
            <w:vAlign w:val="center"/>
          </w:tcPr>
          <w:p w14:paraId="1B1F18BA" w14:textId="77777777" w:rsidR="00953F4A" w:rsidRPr="00FF0492" w:rsidRDefault="00953F4A"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eastAsiaTheme="minorEastAsia" w:hAnsi="Times New Roman" w:cs="Times New Roman"/>
                <w:color w:val="000000"/>
                <w:sz w:val="24"/>
              </w:rPr>
              <w:t>ADC lysosomal degradation rate</w:t>
            </w:r>
          </w:p>
        </w:tc>
        <w:tc>
          <w:tcPr>
            <w:tcW w:w="1783" w:type="dxa"/>
            <w:vAlign w:val="center"/>
          </w:tcPr>
          <w:p w14:paraId="130469C5" w14:textId="730FA3D8" w:rsidR="00953F4A" w:rsidRPr="00FF0492" w:rsidRDefault="00DD21AB" w:rsidP="00DD21AB">
            <w:pPr>
              <w:widowControl w:val="0"/>
              <w:autoSpaceDE w:val="0"/>
              <w:autoSpaceDN w:val="0"/>
              <w:adjustRightInd w:val="0"/>
              <w:jc w:val="center"/>
              <w:rPr>
                <w:rFonts w:ascii="Times New Roman" w:eastAsiaTheme="minorEastAsia" w:hAnsi="Times New Roman" w:cs="Times New Roman"/>
                <w:color w:val="000000"/>
                <w:sz w:val="24"/>
              </w:rPr>
            </w:pPr>
            <w:r w:rsidRPr="00FF0492">
              <w:rPr>
                <w:rFonts w:ascii="Times New Roman" w:hAnsi="Times New Roman" w:cs="Times New Roman"/>
                <w:sz w:val="24"/>
              </w:rPr>
              <w:t>Assumed half-life 24 hours</w:t>
            </w:r>
            <w:r w:rsidR="00953F4A" w:rsidRPr="00FF0492">
              <w:rPr>
                <w:rFonts w:ascii="Times New Roman" w:eastAsiaTheme="minorEastAsia" w:hAnsi="Times New Roman" w:cs="Times New Roman"/>
                <w:color w:val="000000"/>
                <w:sz w:val="24"/>
              </w:rPr>
              <w:fldChar w:fldCharType="begin"/>
            </w:r>
            <w:r w:rsidR="00896B31">
              <w:rPr>
                <w:rFonts w:ascii="Times New Roman" w:eastAsiaTheme="minorEastAsia" w:hAnsi="Times New Roman" w:cs="Times New Roman"/>
                <w:color w:val="000000"/>
                <w:sz w:val="24"/>
              </w:rPr>
              <w:instrText xml:space="preserve"> ADDIN EN.CITE &lt;EndNote&gt;&lt;Cite&gt;&lt;Author&gt;Maass&lt;/Author&gt;&lt;Year&gt;2016&lt;/Year&gt;&lt;RecNum&gt;580&lt;/RecNum&gt;&lt;DisplayText&gt;(11)&lt;/DisplayText&gt;&lt;record&gt;&lt;rec-number&gt;580&lt;/rec-number&gt;&lt;foreign-keys&gt;&lt;key app="EN" db-id="avaapp9rg5afdwext9kvtfszxrep9d2zfsdw"&gt;580&lt;/key&gt;&lt;/foreign-keys&gt;&lt;ref-type name="Journal Article"&gt;17&lt;/ref-type&gt;&lt;contributors&gt;&lt;authors&gt;&lt;author&gt;Maass, Katie F.&lt;/author&gt;&lt;author&gt;Kulkarni, Chethana&lt;/author&gt;&lt;author&gt;Betts, Alison M.&lt;/author&gt;&lt;author&gt;Wittrup, K. Dane&lt;/author&gt;&lt;/authors&gt;&lt;/contributors&gt;&lt;titles&gt;&lt;title&gt;Determination of Cellular Processing Rates for a Trastuzumab-Maytansinoid Antibody-Drug Conjugate (ADC) Highlights Key Parameters for ADC Design&lt;/title&gt;&lt;secondary-title&gt;The AAPS Journal&lt;/secondary-title&gt;&lt;/titles&gt;&lt;periodical&gt;&lt;full-title&gt;The AAPS journal&lt;/full-title&gt;&lt;abbr-1&gt;AAPS J.&lt;/abbr-1&gt;&lt;abbr-2&gt;AAPS J&lt;/abbr-2&gt;&lt;/periodical&gt;&lt;pages&gt;635-646&lt;/pages&gt;&lt;volume&gt;18&lt;/volume&gt;&lt;number&gt;3&lt;/number&gt;&lt;keywords&gt;&lt;keyword&gt;antibody-drug conjugate&lt;/keyword&gt;&lt;keyword&gt;cellular traf fi cking&lt;/keyword&gt;&lt;keyword&gt;dm1&lt;/keyword&gt;&lt;keyword&gt;pharmacodynamics&lt;/keyword&gt;&lt;keyword&gt;pharmacokinetics&lt;/keyword&gt;&lt;keyword&gt;t-&lt;/keyword&gt;&lt;keyword&gt;trastuzumab emtansine&lt;/keyword&gt;&lt;/keywords&gt;&lt;dates&gt;&lt;year&gt;2016&lt;/year&gt;&lt;/dates&gt;&lt;publisher&gt;The AAPS Journal&lt;/publisher&gt;&lt;urls&gt;&lt;related-urls&gt;&lt;url&gt;http://dx.doi.org/10.1208/s12248-016-9892-3&lt;/url&gt;&lt;url&gt;http://link.springer.com/10.1208/s12248-016-9892-3&lt;/url&gt;&lt;/related-urls&gt;&lt;pdf-urls&gt;&lt;url&gt;file:///Users/ccillier/Google Drive/Research/Papers/Maass_2016.pdf&lt;/url&gt;&lt;/pdf-urls&gt;&lt;/urls&gt;&lt;electronic-resource-num&gt;10.1208/s12248-016-9892-3&lt;/electronic-resource-num&gt;&lt;/record&gt;&lt;/Cite&gt;&lt;/EndNote&gt;</w:instrText>
            </w:r>
            <w:r w:rsidR="00953F4A" w:rsidRPr="00FF0492">
              <w:rPr>
                <w:rFonts w:ascii="Times New Roman" w:eastAsiaTheme="minorEastAsia" w:hAnsi="Times New Roman" w:cs="Times New Roman"/>
                <w:color w:val="000000"/>
                <w:sz w:val="24"/>
              </w:rPr>
              <w:fldChar w:fldCharType="end"/>
            </w:r>
            <w:r w:rsidR="00896B31">
              <w:rPr>
                <w:rFonts w:ascii="Times New Roman" w:eastAsiaTheme="minorEastAsia" w:hAnsi="Times New Roman" w:cs="Times New Roman"/>
                <w:color w:val="000000"/>
                <w:sz w:val="24"/>
              </w:rPr>
              <w:t>(1</w:t>
            </w:r>
            <w:r w:rsidR="00870B17">
              <w:rPr>
                <w:rFonts w:ascii="Times New Roman" w:eastAsiaTheme="minorEastAsia" w:hAnsi="Times New Roman" w:cs="Times New Roman"/>
                <w:color w:val="000000"/>
                <w:sz w:val="24"/>
              </w:rPr>
              <w:t>0,</w:t>
            </w:r>
            <w:r w:rsidR="00896B31">
              <w:rPr>
                <w:rFonts w:ascii="Times New Roman" w:eastAsiaTheme="minorEastAsia" w:hAnsi="Times New Roman" w:cs="Times New Roman"/>
                <w:color w:val="000000"/>
                <w:sz w:val="24"/>
              </w:rPr>
              <w:t>1</w:t>
            </w:r>
            <w:r w:rsidR="00870B17">
              <w:rPr>
                <w:rFonts w:ascii="Times New Roman" w:eastAsiaTheme="minorEastAsia" w:hAnsi="Times New Roman" w:cs="Times New Roman"/>
                <w:color w:val="000000"/>
                <w:sz w:val="24"/>
              </w:rPr>
              <w:t>1</w:t>
            </w:r>
            <w:r w:rsidR="00896B31">
              <w:rPr>
                <w:rFonts w:ascii="Times New Roman" w:eastAsiaTheme="minorEastAsia" w:hAnsi="Times New Roman" w:cs="Times New Roman"/>
                <w:color w:val="000000"/>
                <w:sz w:val="24"/>
              </w:rPr>
              <w:t>)</w:t>
            </w:r>
          </w:p>
        </w:tc>
      </w:tr>
    </w:tbl>
    <w:p w14:paraId="61B75ABE" w14:textId="5221218F" w:rsidR="008F412D" w:rsidRDefault="008F412D">
      <w:pPr>
        <w:rPr>
          <w:rFonts w:ascii="Times New Roman" w:hAnsi="Times New Roman" w:cs="Times New Roman"/>
          <w:b/>
          <w:color w:val="000000"/>
          <w:sz w:val="24"/>
        </w:rPr>
      </w:pPr>
      <w:r>
        <w:rPr>
          <w:rFonts w:ascii="Times New Roman" w:hAnsi="Times New Roman" w:cs="Times New Roman"/>
          <w:b/>
          <w:color w:val="000000"/>
          <w:sz w:val="24"/>
        </w:rPr>
        <w:br w:type="page"/>
      </w:r>
    </w:p>
    <w:p w14:paraId="5C11526C" w14:textId="0A4DB332" w:rsidR="008F412D" w:rsidRDefault="008F412D" w:rsidP="009F383C">
      <w:pPr>
        <w:rPr>
          <w:rFonts w:ascii="Times New Roman" w:hAnsi="Times New Roman" w:cs="Times New Roman"/>
          <w:b/>
          <w:color w:val="000000"/>
          <w:sz w:val="24"/>
        </w:rPr>
      </w:pPr>
      <w:r>
        <w:rPr>
          <w:rFonts w:ascii="Times New Roman" w:hAnsi="Times New Roman" w:cs="Times New Roman"/>
          <w:b/>
          <w:color w:val="000000"/>
          <w:sz w:val="24"/>
        </w:rPr>
        <w:lastRenderedPageBreak/>
        <w:t>Selection of ADC cellular internalization rate</w:t>
      </w:r>
    </w:p>
    <w:p w14:paraId="187C7989" w14:textId="32FBDE00" w:rsidR="008F412D" w:rsidRDefault="008513C1" w:rsidP="008F412D">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038066F8" wp14:editId="2577BF97">
            <wp:extent cx="5943600" cy="3061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6-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7A4F3B55" w14:textId="484C1B17" w:rsidR="008F412D" w:rsidRDefault="008F412D" w:rsidP="008F412D">
      <w:pPr>
        <w:jc w:val="both"/>
        <w:rPr>
          <w:rFonts w:ascii="Times New Roman" w:hAnsi="Times New Roman" w:cs="Times New Roman"/>
          <w:sz w:val="24"/>
        </w:rPr>
      </w:pPr>
      <w:r w:rsidRPr="00E45E27">
        <w:rPr>
          <w:rFonts w:ascii="Times New Roman" w:hAnsi="Times New Roman" w:cs="Times New Roman"/>
          <w:b/>
          <w:sz w:val="24"/>
        </w:rPr>
        <w:t>Fig. S</w:t>
      </w:r>
      <w:r>
        <w:rPr>
          <w:rFonts w:ascii="Times New Roman" w:hAnsi="Times New Roman" w:cs="Times New Roman"/>
          <w:b/>
          <w:sz w:val="24"/>
        </w:rPr>
        <w:t>7</w:t>
      </w:r>
      <w:r>
        <w:rPr>
          <w:rFonts w:ascii="Times New Roman" w:hAnsi="Times New Roman" w:cs="Times New Roman"/>
          <w:sz w:val="24"/>
        </w:rPr>
        <w:t>. Distribution analysis of cross-reactive rmFR1-12 to select cellular internalization rate.</w:t>
      </w:r>
      <w:r w:rsidR="00DD21AB">
        <w:rPr>
          <w:rFonts w:ascii="Times New Roman" w:hAnsi="Times New Roman" w:cs="Times New Roman"/>
          <w:sz w:val="24"/>
        </w:rPr>
        <w:t xml:space="preserve"> </w:t>
      </w:r>
      <w:r w:rsidR="007D3F4C">
        <w:rPr>
          <w:rFonts w:ascii="Times New Roman" w:hAnsi="Times New Roman" w:cs="Times New Roman"/>
          <w:sz w:val="24"/>
        </w:rPr>
        <w:t xml:space="preserve">(A) </w:t>
      </w:r>
      <w:r w:rsidR="00277230">
        <w:rPr>
          <w:rFonts w:ascii="Times New Roman" w:hAnsi="Times New Roman" w:cs="Times New Roman"/>
          <w:sz w:val="24"/>
        </w:rPr>
        <w:t>Immunofluorescence</w:t>
      </w:r>
      <w:r w:rsidR="007D3F4C">
        <w:rPr>
          <w:rFonts w:ascii="Times New Roman" w:hAnsi="Times New Roman" w:cs="Times New Roman"/>
          <w:sz w:val="24"/>
        </w:rPr>
        <w:t xml:space="preserve"> his</w:t>
      </w:r>
      <w:r w:rsidR="00277230">
        <w:rPr>
          <w:rFonts w:ascii="Times New Roman" w:hAnsi="Times New Roman" w:cs="Times New Roman"/>
          <w:sz w:val="24"/>
        </w:rPr>
        <w:t>t</w:t>
      </w:r>
      <w:r w:rsidR="007D3F4C">
        <w:rPr>
          <w:rFonts w:ascii="Times New Roman" w:hAnsi="Times New Roman" w:cs="Times New Roman"/>
          <w:sz w:val="24"/>
        </w:rPr>
        <w:t>ology analysis shows differential distribution of 2.5mg/kg cross-reactive antibody rmFR1-12 (</w:t>
      </w:r>
      <w:r w:rsidR="007D3F4C" w:rsidRPr="007D3F4C">
        <w:rPr>
          <w:rFonts w:ascii="Times New Roman" w:hAnsi="Times New Roman" w:cs="Times New Roman"/>
          <w:i/>
          <w:sz w:val="24"/>
        </w:rPr>
        <w:t>red, AlexaFluor488</w:t>
      </w:r>
      <w:r w:rsidR="007D3F4C">
        <w:rPr>
          <w:rFonts w:ascii="Times New Roman" w:hAnsi="Times New Roman" w:cs="Times New Roman"/>
          <w:sz w:val="24"/>
        </w:rPr>
        <w:t>) without and with carrier dosing (10mg/kg and 25mg/kg) relative to blood vessels (</w:t>
      </w:r>
      <w:r w:rsidR="007D3F4C" w:rsidRPr="007D3F4C">
        <w:rPr>
          <w:rFonts w:ascii="Times New Roman" w:hAnsi="Times New Roman" w:cs="Times New Roman"/>
          <w:i/>
          <w:sz w:val="24"/>
        </w:rPr>
        <w:t>gray, CD31-AlexaFluor555</w:t>
      </w:r>
      <w:r w:rsidR="007D3F4C">
        <w:rPr>
          <w:rFonts w:ascii="Times New Roman" w:hAnsi="Times New Roman" w:cs="Times New Roman"/>
          <w:sz w:val="24"/>
        </w:rPr>
        <w:t>). (B) Krogh cylinder simulations showing radial distribution of bound and internalized fluorescent antibody</w:t>
      </w:r>
      <w:r w:rsidR="00F844E2">
        <w:rPr>
          <w:rFonts w:ascii="Times New Roman" w:hAnsi="Times New Roman" w:cs="Times New Roman"/>
          <w:sz w:val="24"/>
        </w:rPr>
        <w:t xml:space="preserve"> with and without carrier dosing</w:t>
      </w:r>
      <w:r w:rsidR="007D3F4C">
        <w:rPr>
          <w:rFonts w:ascii="Times New Roman" w:hAnsi="Times New Roman" w:cs="Times New Roman"/>
          <w:sz w:val="24"/>
        </w:rPr>
        <w:t xml:space="preserve"> </w:t>
      </w:r>
      <w:r w:rsidR="00F844E2">
        <w:rPr>
          <w:rFonts w:ascii="Times New Roman" w:hAnsi="Times New Roman" w:cs="Times New Roman"/>
          <w:sz w:val="24"/>
        </w:rPr>
        <w:t>using</w:t>
      </w:r>
      <w:r w:rsidR="007D3F4C">
        <w:rPr>
          <w:rFonts w:ascii="Times New Roman" w:hAnsi="Times New Roman" w:cs="Times New Roman"/>
          <w:sz w:val="24"/>
        </w:rPr>
        <w:t xml:space="preserve"> literature reported range of FRα internalization rates</w:t>
      </w:r>
      <w:r w:rsidR="007D3F4C" w:rsidRPr="00F844E2">
        <w:rPr>
          <w:rFonts w:ascii="Times New Roman" w:hAnsi="Times New Roman" w:cs="Times New Roman"/>
          <w:i/>
          <w:sz w:val="24"/>
        </w:rPr>
        <w:t>.</w:t>
      </w:r>
      <w:r w:rsidR="00F844E2" w:rsidRPr="00F844E2">
        <w:rPr>
          <w:rFonts w:ascii="Times New Roman" w:hAnsi="Times New Roman" w:cs="Times New Roman"/>
          <w:i/>
          <w:sz w:val="24"/>
        </w:rPr>
        <w:t xml:space="preserve"> Simulation run time is 48 hours to correspond to tumors </w:t>
      </w:r>
      <w:r w:rsidR="00F844E2">
        <w:rPr>
          <w:rFonts w:ascii="Times New Roman" w:hAnsi="Times New Roman" w:cs="Times New Roman"/>
          <w:i/>
          <w:sz w:val="24"/>
        </w:rPr>
        <w:t xml:space="preserve">in (A) </w:t>
      </w:r>
      <w:r w:rsidR="00F844E2" w:rsidRPr="00F844E2">
        <w:rPr>
          <w:rFonts w:ascii="Times New Roman" w:hAnsi="Times New Roman" w:cs="Times New Roman"/>
          <w:i/>
          <w:sz w:val="24"/>
        </w:rPr>
        <w:t>harvested 48 hours post-injection</w:t>
      </w:r>
      <w:r w:rsidR="00F844E2">
        <w:rPr>
          <w:rFonts w:ascii="Times New Roman" w:hAnsi="Times New Roman" w:cs="Times New Roman"/>
          <w:sz w:val="24"/>
        </w:rPr>
        <w:t>.</w:t>
      </w:r>
    </w:p>
    <w:p w14:paraId="7FEE046D" w14:textId="005A26D7" w:rsidR="00DD21AB" w:rsidRDefault="00DD21AB" w:rsidP="009F383C">
      <w:pPr>
        <w:rPr>
          <w:rFonts w:ascii="Times New Roman" w:hAnsi="Times New Roman" w:cs="Times New Roman"/>
          <w:b/>
          <w:color w:val="000000"/>
          <w:sz w:val="24"/>
        </w:rPr>
      </w:pPr>
    </w:p>
    <w:p w14:paraId="1D90B131" w14:textId="542CD62E" w:rsidR="003A7AE9" w:rsidRDefault="003A7AE9" w:rsidP="009F383C">
      <w:pPr>
        <w:rPr>
          <w:rFonts w:ascii="Times New Roman" w:hAnsi="Times New Roman" w:cs="Times New Roman"/>
          <w:b/>
          <w:color w:val="000000"/>
          <w:sz w:val="24"/>
        </w:rPr>
      </w:pPr>
      <w:r>
        <w:rPr>
          <w:rFonts w:ascii="Times New Roman" w:hAnsi="Times New Roman" w:cs="Times New Roman"/>
          <w:b/>
          <w:color w:val="000000"/>
          <w:sz w:val="24"/>
        </w:rPr>
        <w:t>Internalization Rate</w:t>
      </w:r>
    </w:p>
    <w:p w14:paraId="21A3B4EA" w14:textId="4F953B9B" w:rsidR="00DD21AB" w:rsidRDefault="00DD21AB" w:rsidP="0005631C">
      <w:pPr>
        <w:ind w:firstLine="720"/>
        <w:jc w:val="both"/>
        <w:rPr>
          <w:rFonts w:ascii="Times New Roman" w:hAnsi="Times New Roman" w:cs="Times New Roman"/>
          <w:color w:val="000000"/>
          <w:sz w:val="24"/>
        </w:rPr>
      </w:pPr>
      <w:r>
        <w:rPr>
          <w:rFonts w:ascii="Times New Roman" w:hAnsi="Times New Roman" w:cs="Times New Roman"/>
          <w:color w:val="000000"/>
          <w:sz w:val="24"/>
        </w:rPr>
        <w:t xml:space="preserve">Distribution heterogeneity of ADCs is a result of </w:t>
      </w:r>
      <w:r w:rsidR="0005631C">
        <w:rPr>
          <w:rFonts w:ascii="Times New Roman" w:hAnsi="Times New Roman" w:cs="Times New Roman"/>
          <w:color w:val="000000"/>
          <w:sz w:val="24"/>
        </w:rPr>
        <w:t xml:space="preserve">the ‘binding site-barrier’ effect where antibody-binding to receptors outcompetes intratumoral antibody diffusion, resulting in concentration of the drug in perivascular cells. A less appreciated but equally critical factor that contributes to this heterogeneity is the rate of cellular internalization of the antibody-receptor complex, which irreversibly traps the drug in cells. Therefore, ADC cellular internalization rate is </w:t>
      </w:r>
      <w:r w:rsidR="0013554C">
        <w:rPr>
          <w:rFonts w:ascii="Times New Roman" w:hAnsi="Times New Roman" w:cs="Times New Roman"/>
          <w:color w:val="000000"/>
          <w:sz w:val="24"/>
        </w:rPr>
        <w:t>an important</w:t>
      </w:r>
      <w:r w:rsidR="0005631C">
        <w:rPr>
          <w:rFonts w:ascii="Times New Roman" w:hAnsi="Times New Roman" w:cs="Times New Roman"/>
          <w:color w:val="000000"/>
          <w:sz w:val="24"/>
        </w:rPr>
        <w:t xml:space="preserve"> parameter required to predict the intratumoral distribution of M-s-</w:t>
      </w:r>
      <w:r w:rsidR="00255C1C">
        <w:rPr>
          <w:rFonts w:ascii="Times New Roman" w:hAnsi="Times New Roman" w:cs="Times New Roman"/>
          <w:color w:val="000000"/>
          <w:sz w:val="24"/>
        </w:rPr>
        <w:t>S</w:t>
      </w:r>
      <w:r w:rsidR="0005631C">
        <w:rPr>
          <w:rFonts w:ascii="Times New Roman" w:hAnsi="Times New Roman" w:cs="Times New Roman"/>
          <w:color w:val="000000"/>
          <w:sz w:val="24"/>
        </w:rPr>
        <w:t xml:space="preserve">PDB-DM4 in Fig. 2. However, literature </w:t>
      </w:r>
      <w:r w:rsidR="009D0D17">
        <w:rPr>
          <w:rFonts w:ascii="Times New Roman" w:hAnsi="Times New Roman" w:cs="Times New Roman"/>
          <w:color w:val="000000"/>
          <w:sz w:val="24"/>
        </w:rPr>
        <w:t xml:space="preserve">analysis reveals a wide range of reported </w:t>
      </w:r>
      <w:r w:rsidR="0013554C">
        <w:rPr>
          <w:rFonts w:ascii="Times New Roman" w:hAnsi="Times New Roman" w:cs="Times New Roman"/>
          <w:color w:val="000000"/>
          <w:sz w:val="24"/>
        </w:rPr>
        <w:t xml:space="preserve">folate receptor </w:t>
      </w:r>
      <w:r w:rsidR="009D0D17">
        <w:rPr>
          <w:rFonts w:ascii="Times New Roman" w:hAnsi="Times New Roman" w:cs="Times New Roman"/>
          <w:color w:val="000000"/>
          <w:sz w:val="24"/>
        </w:rPr>
        <w:t>internalization rate, from 6-40 hours</w:t>
      </w:r>
      <w:r w:rsidR="00EE5D40">
        <w:rPr>
          <w:rFonts w:ascii="Times New Roman" w:hAnsi="Times New Roman" w:cs="Times New Roman"/>
          <w:color w:val="000000"/>
          <w:sz w:val="24"/>
        </w:rPr>
        <w:fldChar w:fldCharType="begin"/>
      </w:r>
      <w:r w:rsidR="00896B31">
        <w:rPr>
          <w:rFonts w:ascii="Times New Roman" w:hAnsi="Times New Roman" w:cs="Times New Roman"/>
          <w:color w:val="000000"/>
          <w:sz w:val="24"/>
        </w:rPr>
        <w:instrText xml:space="preserve"> ADDIN EN.CITE &lt;EndNote&gt;&lt;Cite&gt;&lt;Author&gt;Paulos&lt;/Author&gt;&lt;Year&gt;2004&lt;/Year&gt;&lt;RecNum&gt;99&lt;/RecNum&gt;&lt;DisplayText&gt;(12)&lt;/DisplayText&gt;&lt;record&gt;&lt;rec-number&gt;99&lt;/rec-number&gt;&lt;foreign-keys&gt;&lt;key app="EN" db-id="aa9v22earwp5tzedp0cptvs6rssffwefrars" timestamp="1586062470"&gt;99&lt;/key&gt;&lt;/foreign-keys&gt;&lt;ref-type name="Journal Article"&gt;17&lt;/ref-type&gt;&lt;contributors&gt;&lt;authors&gt;&lt;author&gt;Paulos, C. M.&lt;/author&gt;&lt;author&gt;Reddy, J. A.&lt;/author&gt;&lt;author&gt;Leamon, C. P.&lt;/author&gt;&lt;author&gt;Turk, M. J.&lt;/author&gt;&lt;author&gt;Low, P. S.&lt;/author&gt;&lt;/authors&gt;&lt;/contributors&gt;&lt;auth-address&gt;Department of Chemistry, Purdue University, West Lafayette, Indiana, USA.&lt;/auth-address&gt;&lt;titles&gt;&lt;title&gt;Ligand binding and kinetics of folate receptor recycling in vivo: impact on receptor-mediated drug delivery&lt;/title&gt;&lt;secondary-title&gt;Mol Pharmacol&lt;/secondary-title&gt;&lt;/titles&gt;&lt;periodical&gt;&lt;full-title&gt;Mol Pharmacol&lt;/full-title&gt;&lt;/periodical&gt;&lt;pages&gt;1406-14&lt;/pages&gt;&lt;volume&gt;66&lt;/volume&gt;&lt;number&gt;6&lt;/number&gt;&lt;edition&gt;2004/09/17&lt;/edition&gt;&lt;keywords&gt;&lt;keyword&gt;Animals&lt;/keyword&gt;&lt;keyword&gt;Carrier Proteins/genetics/*metabolism&lt;/keyword&gt;&lt;keyword&gt;Disease Models, Animal&lt;/keyword&gt;&lt;keyword&gt;Endocytosis&lt;/keyword&gt;&lt;keyword&gt;Folate Receptors, GPI-Anchored&lt;/keyword&gt;&lt;keyword&gt;Folic Acid/*analogs &amp;amp; derivatives/pharmacokinetics&lt;/keyword&gt;&lt;keyword&gt;HeLa Cells&lt;/keyword&gt;&lt;keyword&gt;Humans&lt;/keyword&gt;&lt;keyword&gt;KB Cells&lt;/keyword&gt;&lt;keyword&gt;Leukemia L1210/*metabolism&lt;/keyword&gt;&lt;keyword&gt;Ligands&lt;/keyword&gt;&lt;keyword&gt;Mice&lt;/keyword&gt;&lt;keyword&gt;Mice, Inbred BALB C&lt;/keyword&gt;&lt;keyword&gt;Mice, Inbred DBA&lt;/keyword&gt;&lt;keyword&gt;Pentetic Acid/*analogs &amp;amp; derivatives/pharmacokinetics&lt;/keyword&gt;&lt;keyword&gt;Protein Binding&lt;/keyword&gt;&lt;keyword&gt;Receptors, Cell Surface/genetics/*metabolism&lt;/keyword&gt;&lt;/keywords&gt;&lt;dates&gt;&lt;year&gt;2004&lt;/year&gt;&lt;pub-dates&gt;&lt;date&gt;Dec&lt;/date&gt;&lt;/pub-dates&gt;&lt;/dates&gt;&lt;isbn&gt;0026-895X (Print)&amp;#xD;0026-895X (Linking)&lt;/isbn&gt;&lt;accession-num&gt;15371560&lt;/accession-num&gt;&lt;urls&gt;&lt;related-urls&gt;&lt;url&gt;https://www.ncbi.nlm.nih.gov/pubmed/15371560&lt;/url&gt;&lt;/related-urls&gt;&lt;/urls&gt;&lt;electronic-resource-num&gt;10.1124/mol.104.003723&lt;/electronic-resource-num&gt;&lt;/record&gt;&lt;/Cite&gt;&lt;/EndNote&gt;</w:instrText>
      </w:r>
      <w:r w:rsidR="00EE5D40">
        <w:rPr>
          <w:rFonts w:ascii="Times New Roman" w:hAnsi="Times New Roman" w:cs="Times New Roman"/>
          <w:color w:val="000000"/>
          <w:sz w:val="24"/>
        </w:rPr>
        <w:fldChar w:fldCharType="separate"/>
      </w:r>
      <w:r w:rsidR="00896B31">
        <w:rPr>
          <w:rFonts w:ascii="Times New Roman" w:hAnsi="Times New Roman" w:cs="Times New Roman"/>
          <w:noProof/>
          <w:color w:val="000000"/>
          <w:sz w:val="24"/>
        </w:rPr>
        <w:t>(12)</w:t>
      </w:r>
      <w:r w:rsidR="00EE5D40">
        <w:rPr>
          <w:rFonts w:ascii="Times New Roman" w:hAnsi="Times New Roman" w:cs="Times New Roman"/>
          <w:color w:val="000000"/>
          <w:sz w:val="24"/>
        </w:rPr>
        <w:fldChar w:fldCharType="end"/>
      </w:r>
      <w:r w:rsidR="009D0D17">
        <w:rPr>
          <w:rFonts w:ascii="Times New Roman" w:hAnsi="Times New Roman" w:cs="Times New Roman"/>
          <w:color w:val="000000"/>
          <w:sz w:val="24"/>
        </w:rPr>
        <w:t xml:space="preserve"> </w:t>
      </w:r>
      <w:r w:rsidR="00AC7F05">
        <w:rPr>
          <w:rFonts w:ascii="Times New Roman" w:hAnsi="Times New Roman" w:cs="Times New Roman"/>
          <w:color w:val="000000"/>
          <w:sz w:val="24"/>
        </w:rPr>
        <w:t>with antibodies</w:t>
      </w:r>
      <w:r w:rsidR="00F6630F">
        <w:rPr>
          <w:rFonts w:ascii="Times New Roman" w:hAnsi="Times New Roman" w:cs="Times New Roman"/>
          <w:color w:val="000000"/>
          <w:sz w:val="24"/>
        </w:rPr>
        <w:t xml:space="preserve"> (versus folate ligands)</w:t>
      </w:r>
      <w:r w:rsidR="00AC7F05">
        <w:rPr>
          <w:rFonts w:ascii="Times New Roman" w:hAnsi="Times New Roman" w:cs="Times New Roman"/>
          <w:color w:val="000000"/>
          <w:sz w:val="24"/>
        </w:rPr>
        <w:t xml:space="preserve"> typically on the order of 24 to 40 hrs</w:t>
      </w:r>
      <w:r w:rsidR="009D0D17">
        <w:rPr>
          <w:rFonts w:ascii="Times New Roman" w:hAnsi="Times New Roman" w:cs="Times New Roman"/>
          <w:color w:val="000000"/>
          <w:sz w:val="24"/>
        </w:rPr>
        <w:t>. In order to identify the most representative internalization rate for the system reported here, we performed a qualitative comparison between the observed distribution of 2.5mg/kg AlexaFluor488-rmFR1-12 antibody co-dosed with and without a carrier, non-fluorescent dose of rmFR1-12 (10mg/kg, 25mg/kg) and predictive simulations</w:t>
      </w:r>
      <w:r w:rsidR="00A63267">
        <w:rPr>
          <w:rFonts w:ascii="Times New Roman" w:hAnsi="Times New Roman" w:cs="Times New Roman"/>
          <w:color w:val="000000"/>
          <w:sz w:val="24"/>
        </w:rPr>
        <w:fldChar w:fldCharType="begin"/>
      </w:r>
      <w:r w:rsidR="00896B31">
        <w:rPr>
          <w:rFonts w:ascii="Times New Roman" w:hAnsi="Times New Roman" w:cs="Times New Roman"/>
          <w:color w:val="000000"/>
          <w:sz w:val="24"/>
        </w:rPr>
        <w:instrText xml:space="preserve"> ADDIN EN.CITE &lt;EndNote&gt;&lt;Cite&gt;&lt;Author&gt;Khera&lt;/Author&gt;&lt;Year&gt;2018&lt;/Year&gt;&lt;RecNum&gt;96&lt;/RecNum&gt;&lt;DisplayText&gt;(3)&lt;/DisplayText&gt;&lt;record&gt;&lt;rec-number&gt;96&lt;/rec-number&gt;&lt;foreign-keys&gt;&lt;key app="EN" db-id="aa9v22earwp5tzedp0cptvs6rssffwefrars" timestamp="1586055771"&gt;96&lt;/key&gt;&lt;/foreign-keys&gt;&lt;ref-type name="Journal Article"&gt;17&lt;/ref-type&gt;&lt;contributors&gt;&lt;authors&gt;&lt;author&gt;Khera, Eshita&lt;/author&gt;&lt;author&gt;Cilliers, Cornelius&lt;/author&gt;&lt;author&gt;Bhatnagar, Sumit&lt;/author&gt;&lt;author&gt;Thurber, Greg M.&lt;/author&gt;&lt;/authors&gt;&lt;/contributors&gt;&lt;titles&gt;&lt;title&gt;Computational transport analysis of antibody-drug conjugate bystander effects and payload tumoral distribution: implications for therapy&lt;/title&gt;&lt;secondary-title&gt;Molecular Systems Design &amp;amp; Engineering&lt;/secondary-title&gt;&lt;/titles&gt;&lt;periodical&gt;&lt;full-title&gt;Molecular Systems Design &amp;amp; Engineering&lt;/full-title&gt;&lt;/periodical&gt;&lt;pages&gt;73-88&lt;/pages&gt;&lt;volume&gt;3&lt;/volume&gt;&lt;number&gt;1&lt;/number&gt;&lt;dates&gt;&lt;year&gt;2018&lt;/year&gt;&lt;/dates&gt;&lt;publisher&gt;The Royal Society of Chemistry&lt;/publisher&gt;&lt;work-type&gt;10.1039/C7ME00093F&lt;/work-type&gt;&lt;urls&gt;&lt;related-urls&gt;&lt;url&gt;http://dx.doi.org/10.1039/C7ME00093F&lt;/url&gt;&lt;/related-urls&gt;&lt;/urls&gt;&lt;electronic-resource-num&gt;10.1039/C7ME00093F&lt;/electronic-resource-num&gt;&lt;/record&gt;&lt;/Cite&gt;&lt;/EndNote&gt;</w:instrText>
      </w:r>
      <w:r w:rsidR="00A63267">
        <w:rPr>
          <w:rFonts w:ascii="Times New Roman" w:hAnsi="Times New Roman" w:cs="Times New Roman"/>
          <w:color w:val="000000"/>
          <w:sz w:val="24"/>
        </w:rPr>
        <w:fldChar w:fldCharType="separate"/>
      </w:r>
      <w:r w:rsidR="00896B31">
        <w:rPr>
          <w:rFonts w:ascii="Times New Roman" w:hAnsi="Times New Roman" w:cs="Times New Roman"/>
          <w:noProof/>
          <w:color w:val="000000"/>
          <w:sz w:val="24"/>
        </w:rPr>
        <w:t>(3)</w:t>
      </w:r>
      <w:r w:rsidR="00A63267">
        <w:rPr>
          <w:rFonts w:ascii="Times New Roman" w:hAnsi="Times New Roman" w:cs="Times New Roman"/>
          <w:color w:val="000000"/>
          <w:sz w:val="24"/>
        </w:rPr>
        <w:fldChar w:fldCharType="end"/>
      </w:r>
      <w:r w:rsidR="009D0D17">
        <w:rPr>
          <w:rFonts w:ascii="Times New Roman" w:hAnsi="Times New Roman" w:cs="Times New Roman"/>
          <w:color w:val="000000"/>
          <w:sz w:val="24"/>
        </w:rPr>
        <w:t xml:space="preserve"> differing in only internalization half-life ranging from 6-40 hours. Since rmFR1-12 is a cross-reactive antibody, we accounted for TMDD effects by estimating individual plasma clearance rates for each of the three dosing </w:t>
      </w:r>
      <w:r w:rsidR="009D0D17">
        <w:rPr>
          <w:rFonts w:ascii="Times New Roman" w:hAnsi="Times New Roman" w:cs="Times New Roman"/>
          <w:color w:val="000000"/>
          <w:sz w:val="24"/>
        </w:rPr>
        <w:lastRenderedPageBreak/>
        <w:t>schemes As expected, the fraction of alpha clearance (A) and alpha phase clearance rate (k</w:t>
      </w:r>
      <w:r w:rsidR="009D0D17" w:rsidRPr="009D0D17">
        <w:rPr>
          <w:rFonts w:ascii="Times New Roman" w:hAnsi="Times New Roman" w:cs="Times New Roman"/>
          <w:color w:val="000000"/>
          <w:sz w:val="24"/>
          <w:vertAlign w:val="subscript"/>
        </w:rPr>
        <w:t>α</w:t>
      </w:r>
      <w:r w:rsidR="009D0D17">
        <w:rPr>
          <w:rFonts w:ascii="Times New Roman" w:hAnsi="Times New Roman" w:cs="Times New Roman"/>
          <w:color w:val="000000"/>
          <w:sz w:val="24"/>
        </w:rPr>
        <w:t>) remained consistent across the dosing schemes, and only the beta phase clearance (k</w:t>
      </w:r>
      <w:r w:rsidR="007D3F4C">
        <w:rPr>
          <w:rFonts w:ascii="Times New Roman" w:hAnsi="Times New Roman" w:cs="Times New Roman"/>
          <w:color w:val="000000"/>
          <w:sz w:val="24"/>
          <w:vertAlign w:val="subscript"/>
        </w:rPr>
        <w:t>β</w:t>
      </w:r>
      <w:r w:rsidR="009D0D17">
        <w:rPr>
          <w:rFonts w:ascii="Times New Roman" w:hAnsi="Times New Roman" w:cs="Times New Roman"/>
          <w:color w:val="000000"/>
          <w:sz w:val="24"/>
        </w:rPr>
        <w:t>)</w:t>
      </w:r>
      <w:r w:rsidR="007D3F4C">
        <w:rPr>
          <w:rFonts w:ascii="Times New Roman" w:hAnsi="Times New Roman" w:cs="Times New Roman"/>
          <w:color w:val="000000"/>
          <w:sz w:val="24"/>
        </w:rPr>
        <w:t xml:space="preserve"> changed, with 2.5mg/kg showing the fastest clearance due to TMDD and 2.5mg/kg + 25mg/kg with the slowest clearance due to saturation of receptor sinks in healthy tissue (Table S1.). </w:t>
      </w:r>
    </w:p>
    <w:p w14:paraId="5CDCF727" w14:textId="60DE2071" w:rsidR="007D3F4C" w:rsidRDefault="007D3F4C" w:rsidP="0005631C">
      <w:pPr>
        <w:ind w:firstLine="720"/>
        <w:jc w:val="both"/>
        <w:rPr>
          <w:rFonts w:ascii="Times New Roman" w:hAnsi="Times New Roman" w:cs="Times New Roman"/>
          <w:color w:val="000000"/>
          <w:sz w:val="24"/>
        </w:rPr>
      </w:pPr>
      <w:r>
        <w:rPr>
          <w:rFonts w:ascii="Times New Roman" w:hAnsi="Times New Roman" w:cs="Times New Roman"/>
          <w:color w:val="000000"/>
          <w:sz w:val="24"/>
        </w:rPr>
        <w:t>Immunofluorescence imaging shows the relative difference in tissue penetration (</w:t>
      </w:r>
      <w:r w:rsidRPr="007D3F4C">
        <w:rPr>
          <w:rFonts w:ascii="Times New Roman" w:hAnsi="Times New Roman" w:cs="Times New Roman"/>
          <w:i/>
          <w:color w:val="000000"/>
          <w:sz w:val="24"/>
        </w:rPr>
        <w:t>red, AlexaFluor488</w:t>
      </w:r>
      <w:r>
        <w:rPr>
          <w:rFonts w:ascii="Times New Roman" w:hAnsi="Times New Roman" w:cs="Times New Roman"/>
          <w:color w:val="000000"/>
          <w:sz w:val="24"/>
        </w:rPr>
        <w:t>) for the three dosing schemes relative to blood vessels (</w:t>
      </w:r>
      <w:r w:rsidRPr="007D3F4C">
        <w:rPr>
          <w:rFonts w:ascii="Times New Roman" w:hAnsi="Times New Roman" w:cs="Times New Roman"/>
          <w:i/>
          <w:color w:val="000000"/>
          <w:sz w:val="24"/>
        </w:rPr>
        <w:t>gray, CD31-AlexaFluor555</w:t>
      </w:r>
      <w:r>
        <w:rPr>
          <w:rFonts w:ascii="Times New Roman" w:hAnsi="Times New Roman" w:cs="Times New Roman"/>
          <w:color w:val="000000"/>
          <w:sz w:val="24"/>
        </w:rPr>
        <w:t>). Cross-reactive</w:t>
      </w:r>
      <w:r w:rsidR="00277230">
        <w:rPr>
          <w:rFonts w:ascii="Times New Roman" w:hAnsi="Times New Roman" w:cs="Times New Roman"/>
          <w:color w:val="000000"/>
          <w:sz w:val="24"/>
        </w:rPr>
        <w:t xml:space="preserve"> fluorescence </w:t>
      </w:r>
      <w:r>
        <w:rPr>
          <w:rFonts w:ascii="Times New Roman" w:hAnsi="Times New Roman" w:cs="Times New Roman"/>
          <w:color w:val="000000"/>
          <w:sz w:val="24"/>
        </w:rPr>
        <w:t xml:space="preserve">antibody when </w:t>
      </w:r>
      <w:r w:rsidR="000B7CEC">
        <w:rPr>
          <w:rFonts w:ascii="Times New Roman" w:hAnsi="Times New Roman" w:cs="Times New Roman"/>
          <w:color w:val="000000"/>
          <w:sz w:val="24"/>
        </w:rPr>
        <w:t>administered</w:t>
      </w:r>
      <w:r>
        <w:rPr>
          <w:rFonts w:ascii="Times New Roman" w:hAnsi="Times New Roman" w:cs="Times New Roman"/>
          <w:color w:val="000000"/>
          <w:sz w:val="24"/>
        </w:rPr>
        <w:t xml:space="preserve"> </w:t>
      </w:r>
      <w:r w:rsidR="00D93746">
        <w:rPr>
          <w:rFonts w:ascii="Times New Roman" w:hAnsi="Times New Roman" w:cs="Times New Roman"/>
          <w:color w:val="000000"/>
          <w:sz w:val="24"/>
        </w:rPr>
        <w:t xml:space="preserve">by itself </w:t>
      </w:r>
      <w:r w:rsidR="00277230">
        <w:rPr>
          <w:rFonts w:ascii="Times New Roman" w:hAnsi="Times New Roman" w:cs="Times New Roman"/>
          <w:color w:val="000000"/>
          <w:sz w:val="24"/>
        </w:rPr>
        <w:t xml:space="preserve">distributes heterogeneously, but when co-administered with unlabeled carrier dose (10mg/kg and 25mg/kg) exhibits more homogeneous distribution </w:t>
      </w:r>
      <w:r w:rsidR="00300F0A">
        <w:rPr>
          <w:rFonts w:ascii="Times New Roman" w:hAnsi="Times New Roman" w:cs="Times New Roman"/>
          <w:color w:val="000000"/>
          <w:sz w:val="24"/>
        </w:rPr>
        <w:t>(Fig. S7A).</w:t>
      </w:r>
      <w:r w:rsidR="00277230">
        <w:rPr>
          <w:rFonts w:ascii="Times New Roman" w:hAnsi="Times New Roman" w:cs="Times New Roman"/>
          <w:color w:val="000000"/>
          <w:sz w:val="24"/>
        </w:rPr>
        <w:t xml:space="preserve"> Using this as the “expected” simulation outcome</w:t>
      </w:r>
      <w:r w:rsidR="008103C6">
        <w:rPr>
          <w:rFonts w:ascii="Times New Roman" w:hAnsi="Times New Roman" w:cs="Times New Roman"/>
          <w:color w:val="000000"/>
          <w:sz w:val="24"/>
        </w:rPr>
        <w:t xml:space="preserve"> for total cellular ADC (surface bound and internalized)</w:t>
      </w:r>
      <w:r w:rsidR="00277230">
        <w:rPr>
          <w:rFonts w:ascii="Times New Roman" w:hAnsi="Times New Roman" w:cs="Times New Roman"/>
          <w:color w:val="000000"/>
          <w:sz w:val="24"/>
        </w:rPr>
        <w:t xml:space="preserve">, various internalization rates were tested in the model (Fig. S7B). For the simulations with 6 hours internalization half-life, both 2.5mg/kg and 2.5+10mg/kg doses show </w:t>
      </w:r>
      <w:r w:rsidR="008103C6">
        <w:rPr>
          <w:rFonts w:ascii="Times New Roman" w:hAnsi="Times New Roman" w:cs="Times New Roman"/>
          <w:color w:val="000000"/>
          <w:sz w:val="24"/>
        </w:rPr>
        <w:t>highly perivascular</w:t>
      </w:r>
      <w:r w:rsidR="00277230">
        <w:rPr>
          <w:rFonts w:ascii="Times New Roman" w:hAnsi="Times New Roman" w:cs="Times New Roman"/>
          <w:color w:val="000000"/>
          <w:sz w:val="24"/>
        </w:rPr>
        <w:t xml:space="preserve"> distribution of the total cellular ADC</w:t>
      </w:r>
      <w:r w:rsidR="008103C6">
        <w:rPr>
          <w:rFonts w:ascii="Times New Roman" w:hAnsi="Times New Roman" w:cs="Times New Roman"/>
          <w:color w:val="000000"/>
          <w:sz w:val="24"/>
        </w:rPr>
        <w:t xml:space="preserve"> (AUC ~ 6000), while 2.5+25mg/kg shows homogeneous distribution with improved total ADC binding and uptake (AUC~10,000). This does not match the observed behavior of the ADC in the histology images and suggests that a predicted internalization half-life of 6 hours is too fast. Iterative simulations helped converge to an internalization half-life of 30-40 hours, which showed relatively heterogeneous distribution of the </w:t>
      </w:r>
      <w:r w:rsidR="004D2CEA">
        <w:rPr>
          <w:rFonts w:ascii="Times New Roman" w:hAnsi="Times New Roman" w:cs="Times New Roman"/>
          <w:color w:val="000000"/>
          <w:sz w:val="24"/>
        </w:rPr>
        <w:t>2.5mg/kg only dose, and similarly homogeneous distribution of the carrier-dosed tumors, similar that observed in the histology images. Additionally, in this internalization rate range, area under curve (AUC) analysis shows increased ADC binding and uptake of ADC going from 2.5mg/kg to 2.5+10mg/kg dosing scheme, but a subsequent decrease for the 2.5+25mg/kg dosing scheme, representative of the efficacy trends observed in Fig. 6A. Therefore, we selected 32 hours as the predicted internalization half-life of the ADC and performed subsequent simulations for maximum ADC internalization in KB and OV90 tumors (Fig. 2B &amp; 2D) using this value.</w:t>
      </w:r>
    </w:p>
    <w:p w14:paraId="448F6871" w14:textId="4CA68547" w:rsidR="00CF58D7" w:rsidRDefault="00CF58D7" w:rsidP="0005631C">
      <w:pPr>
        <w:ind w:firstLine="720"/>
        <w:jc w:val="both"/>
        <w:rPr>
          <w:rFonts w:ascii="Times New Roman" w:hAnsi="Times New Roman" w:cs="Times New Roman"/>
          <w:color w:val="000000"/>
          <w:sz w:val="24"/>
        </w:rPr>
      </w:pPr>
    </w:p>
    <w:p w14:paraId="2B53C08C" w14:textId="77777777" w:rsidR="00CF58D7" w:rsidRPr="00DD21AB" w:rsidRDefault="00CF58D7" w:rsidP="00CF58D7">
      <w:pPr>
        <w:jc w:val="both"/>
        <w:rPr>
          <w:rFonts w:ascii="Times New Roman" w:hAnsi="Times New Roman" w:cs="Times New Roman"/>
          <w:color w:val="000000"/>
        </w:rPr>
      </w:pPr>
    </w:p>
    <w:p w14:paraId="4B785132" w14:textId="5795651D" w:rsidR="009F383C" w:rsidRPr="00DD21AB" w:rsidRDefault="009F383C">
      <w:pPr>
        <w:rPr>
          <w:rFonts w:ascii="Times New Roman" w:hAnsi="Times New Roman" w:cs="Times New Roman"/>
          <w:b/>
          <w:color w:val="000000"/>
          <w:sz w:val="24"/>
        </w:rPr>
      </w:pPr>
    </w:p>
    <w:p w14:paraId="7F41CA2F" w14:textId="77777777" w:rsidR="00595946" w:rsidRDefault="00595946">
      <w:pPr>
        <w:rPr>
          <w:rFonts w:ascii="Times New Roman" w:hAnsi="Times New Roman" w:cs="Times New Roman"/>
          <w:b/>
          <w:color w:val="000000"/>
          <w:sz w:val="32"/>
        </w:rPr>
      </w:pPr>
      <w:r>
        <w:rPr>
          <w:rFonts w:ascii="Times New Roman" w:hAnsi="Times New Roman" w:cs="Times New Roman"/>
          <w:b/>
          <w:color w:val="000000"/>
          <w:sz w:val="32"/>
        </w:rPr>
        <w:br w:type="page"/>
      </w:r>
    </w:p>
    <w:p w14:paraId="48D6B15F" w14:textId="334973D8" w:rsidR="00595946" w:rsidRDefault="00086962">
      <w:pPr>
        <w:rPr>
          <w:rFonts w:ascii="Times New Roman" w:hAnsi="Times New Roman" w:cs="Times New Roman"/>
          <w:b/>
          <w:color w:val="000000"/>
          <w:sz w:val="32"/>
        </w:rPr>
      </w:pPr>
      <w:r>
        <w:rPr>
          <w:rFonts w:ascii="Times New Roman" w:hAnsi="Times New Roman" w:cs="Times New Roman"/>
          <w:b/>
          <w:noProof/>
          <w:color w:val="000000"/>
          <w:sz w:val="32"/>
        </w:rPr>
        <w:lastRenderedPageBreak/>
        <mc:AlternateContent>
          <mc:Choice Requires="wps">
            <w:drawing>
              <wp:anchor distT="0" distB="0" distL="114300" distR="114300" simplePos="0" relativeHeight="251659264" behindDoc="0" locked="0" layoutInCell="1" allowOverlap="1" wp14:anchorId="0336A0CC" wp14:editId="3427E812">
                <wp:simplePos x="0" y="0"/>
                <wp:positionH relativeFrom="column">
                  <wp:posOffset>280670</wp:posOffset>
                </wp:positionH>
                <wp:positionV relativeFrom="paragraph">
                  <wp:posOffset>3583940</wp:posOffset>
                </wp:positionV>
                <wp:extent cx="7609840" cy="829310"/>
                <wp:effectExtent l="0" t="635" r="9525" b="9525"/>
                <wp:wrapSquare wrapText="bothSides"/>
                <wp:docPr id="13" name="Text Box 13"/>
                <wp:cNvGraphicFramePr/>
                <a:graphic xmlns:a="http://schemas.openxmlformats.org/drawingml/2006/main">
                  <a:graphicData uri="http://schemas.microsoft.com/office/word/2010/wordprocessingShape">
                    <wps:wsp>
                      <wps:cNvSpPr txBox="1"/>
                      <wps:spPr>
                        <a:xfrm rot="16200000">
                          <a:off x="0" y="0"/>
                          <a:ext cx="7609840" cy="829310"/>
                        </a:xfrm>
                        <a:prstGeom prst="rect">
                          <a:avLst/>
                        </a:prstGeom>
                        <a:solidFill>
                          <a:schemeClr val="lt1"/>
                        </a:solidFill>
                        <a:ln w="6350">
                          <a:noFill/>
                        </a:ln>
                      </wps:spPr>
                      <wps:txbx>
                        <w:txbxContent>
                          <w:p w14:paraId="620053A4" w14:textId="24AC663F" w:rsidR="00FE580C" w:rsidRDefault="00FE580C" w:rsidP="00086962">
                            <w:pPr>
                              <w:jc w:val="both"/>
                            </w:pPr>
                            <w:r w:rsidRPr="00E45E27">
                              <w:rPr>
                                <w:rFonts w:ascii="Times New Roman" w:hAnsi="Times New Roman" w:cs="Times New Roman"/>
                                <w:b/>
                                <w:sz w:val="24"/>
                              </w:rPr>
                              <w:t>Fig. S</w:t>
                            </w:r>
                            <w:r>
                              <w:rPr>
                                <w:rFonts w:ascii="Times New Roman" w:hAnsi="Times New Roman" w:cs="Times New Roman"/>
                                <w:b/>
                                <w:sz w:val="24"/>
                              </w:rPr>
                              <w:t>8</w:t>
                            </w:r>
                            <w:r>
                              <w:rPr>
                                <w:rFonts w:ascii="Times New Roman" w:hAnsi="Times New Roman" w:cs="Times New Roman"/>
                                <w:sz w:val="24"/>
                              </w:rPr>
                              <w:t>. Mean and standard deviation of tumor volumes, statistical analysis (</w:t>
                            </w:r>
                            <w:r w:rsidR="001232A8">
                              <w:rPr>
                                <w:rFonts w:ascii="Times New Roman" w:hAnsi="Times New Roman" w:cs="Times New Roman"/>
                                <w:sz w:val="24"/>
                              </w:rPr>
                              <w:t>un</w:t>
                            </w:r>
                            <w:r>
                              <w:rPr>
                                <w:rFonts w:ascii="Times New Roman" w:hAnsi="Times New Roman" w:cs="Times New Roman"/>
                                <w:sz w:val="24"/>
                              </w:rPr>
                              <w:t>paired t-test),  and corresponding weight changes for DM4 ADC treated mice. (</w:t>
                            </w:r>
                            <w:r w:rsidRPr="00086962">
                              <w:rPr>
                                <w:rFonts w:ascii="Times New Roman" w:hAnsi="Times New Roman" w:cs="Times New Roman"/>
                                <w:i/>
                                <w:iCs/>
                                <w:sz w:val="24"/>
                              </w:rPr>
                              <w:t>ns = not significant, * p &lt; 0.05, ** p &lt; 0.01, *** p &lt; 0.</w:t>
                            </w:r>
                            <w:r w:rsidR="001232A8" w:rsidRPr="00086962">
                              <w:rPr>
                                <w:rFonts w:ascii="Times New Roman" w:hAnsi="Times New Roman" w:cs="Times New Roman"/>
                                <w:i/>
                                <w:iCs/>
                                <w:sz w:val="24"/>
                              </w:rPr>
                              <w:t>00</w:t>
                            </w:r>
                            <w:r w:rsidR="001232A8">
                              <w:rPr>
                                <w:rFonts w:ascii="Times New Roman" w:hAnsi="Times New Roman" w:cs="Times New Roman"/>
                                <w:i/>
                                <w:iCs/>
                                <w:sz w:val="24"/>
                              </w:rPr>
                              <w:t>1</w:t>
                            </w:r>
                            <w:r w:rsidRPr="00086962">
                              <w:rPr>
                                <w:rFonts w:ascii="Times New Roman" w:hAnsi="Times New Roman" w:cs="Times New Roman"/>
                                <w:i/>
                                <w:iCs/>
                                <w:sz w:val="24"/>
                              </w:rPr>
                              <w:t>, **** p &lt; 0.0</w:t>
                            </w:r>
                            <w:r w:rsidR="001232A8">
                              <w:rPr>
                                <w:rFonts w:ascii="Times New Roman" w:hAnsi="Times New Roman" w:cs="Times New Roman"/>
                                <w:i/>
                                <w:iCs/>
                                <w:sz w:val="24"/>
                              </w:rPr>
                              <w:t>0</w:t>
                            </w:r>
                            <w:r w:rsidRPr="00086962">
                              <w:rPr>
                                <w:rFonts w:ascii="Times New Roman" w:hAnsi="Times New Roman" w:cs="Times New Roman"/>
                                <w:i/>
                                <w:iCs/>
                                <w:sz w:val="24"/>
                              </w:rPr>
                              <w:t>01</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6A0CC" id="_x0000_t202" coordsize="21600,21600" o:spt="202" path="m,l,21600r21600,l21600,xe">
                <v:stroke joinstyle="miter"/>
                <v:path gradientshapeok="t" o:connecttype="rect"/>
              </v:shapetype>
              <v:shape id="Text Box 13" o:spid="_x0000_s1026" type="#_x0000_t202" style="position:absolute;margin-left:22.1pt;margin-top:282.2pt;width:599.2pt;height:65.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" fillcolor="white [3201]" stroked="f" strokeweight=".5pt">
                <v:textbox>
                  <w:txbxContent>
                    <w:p w14:paraId="620053A4" w14:textId="24AC663F" w:rsidR="00FE580C" w:rsidRDefault="00FE580C" w:rsidP="00086962">
                      <w:pPr>
                        <w:jc w:val="both"/>
                      </w:pPr>
                      <w:r w:rsidRPr="00E45E27">
                        <w:rPr>
                          <w:rFonts w:ascii="Times New Roman" w:hAnsi="Times New Roman" w:cs="Times New Roman"/>
                          <w:b/>
                          <w:sz w:val="24"/>
                        </w:rPr>
                        <w:t>Fig. S</w:t>
                      </w:r>
                      <w:r>
                        <w:rPr>
                          <w:rFonts w:ascii="Times New Roman" w:hAnsi="Times New Roman" w:cs="Times New Roman"/>
                          <w:b/>
                          <w:sz w:val="24"/>
                        </w:rPr>
                        <w:t>8</w:t>
                      </w:r>
                      <w:r>
                        <w:rPr>
                          <w:rFonts w:ascii="Times New Roman" w:hAnsi="Times New Roman" w:cs="Times New Roman"/>
                          <w:sz w:val="24"/>
                        </w:rPr>
                        <w:t>. Mean and standard deviation of tumor volumes, statistical analysis (</w:t>
                      </w:r>
                      <w:r w:rsidR="001232A8">
                        <w:rPr>
                          <w:rFonts w:ascii="Times New Roman" w:hAnsi="Times New Roman" w:cs="Times New Roman"/>
                          <w:sz w:val="24"/>
                        </w:rPr>
                        <w:t>un</w:t>
                      </w:r>
                      <w:r>
                        <w:rPr>
                          <w:rFonts w:ascii="Times New Roman" w:hAnsi="Times New Roman" w:cs="Times New Roman"/>
                          <w:sz w:val="24"/>
                        </w:rPr>
                        <w:t>paired t-test),  and corresponding weight changes for DM4 ADC treated mice. (</w:t>
                      </w:r>
                      <w:r w:rsidRPr="00086962">
                        <w:rPr>
                          <w:rFonts w:ascii="Times New Roman" w:hAnsi="Times New Roman" w:cs="Times New Roman"/>
                          <w:i/>
                          <w:iCs/>
                          <w:sz w:val="24"/>
                        </w:rPr>
                        <w:t>ns = not significant, * p &lt; 0.05, ** p &lt; 0.01, *** p &lt; 0.</w:t>
                      </w:r>
                      <w:r w:rsidR="001232A8" w:rsidRPr="00086962">
                        <w:rPr>
                          <w:rFonts w:ascii="Times New Roman" w:hAnsi="Times New Roman" w:cs="Times New Roman"/>
                          <w:i/>
                          <w:iCs/>
                          <w:sz w:val="24"/>
                        </w:rPr>
                        <w:t>00</w:t>
                      </w:r>
                      <w:r w:rsidR="001232A8">
                        <w:rPr>
                          <w:rFonts w:ascii="Times New Roman" w:hAnsi="Times New Roman" w:cs="Times New Roman"/>
                          <w:i/>
                          <w:iCs/>
                          <w:sz w:val="24"/>
                        </w:rPr>
                        <w:t>1</w:t>
                      </w:r>
                      <w:r w:rsidRPr="00086962">
                        <w:rPr>
                          <w:rFonts w:ascii="Times New Roman" w:hAnsi="Times New Roman" w:cs="Times New Roman"/>
                          <w:i/>
                          <w:iCs/>
                          <w:sz w:val="24"/>
                        </w:rPr>
                        <w:t>, **** p &lt; 0.0</w:t>
                      </w:r>
                      <w:r w:rsidR="001232A8">
                        <w:rPr>
                          <w:rFonts w:ascii="Times New Roman" w:hAnsi="Times New Roman" w:cs="Times New Roman"/>
                          <w:i/>
                          <w:iCs/>
                          <w:sz w:val="24"/>
                        </w:rPr>
                        <w:t>0</w:t>
                      </w:r>
                      <w:r w:rsidRPr="00086962">
                        <w:rPr>
                          <w:rFonts w:ascii="Times New Roman" w:hAnsi="Times New Roman" w:cs="Times New Roman"/>
                          <w:i/>
                          <w:iCs/>
                          <w:sz w:val="24"/>
                        </w:rPr>
                        <w:t>01</w:t>
                      </w:r>
                      <w:r>
                        <w:rPr>
                          <w:rFonts w:ascii="Times New Roman" w:hAnsi="Times New Roman" w:cs="Times New Roman"/>
                          <w:sz w:val="24"/>
                        </w:rPr>
                        <w:t>)</w:t>
                      </w:r>
                    </w:p>
                  </w:txbxContent>
                </v:textbox>
                <w10:wrap type="square"/>
              </v:shape>
            </w:pict>
          </mc:Fallback>
        </mc:AlternateContent>
      </w:r>
      <w:r w:rsidR="001232A8">
        <w:rPr>
          <w:rFonts w:ascii="Times New Roman" w:hAnsi="Times New Roman" w:cs="Times New Roman"/>
          <w:b/>
          <w:noProof/>
          <w:color w:val="000000"/>
          <w:sz w:val="32"/>
        </w:rPr>
        <w:drawing>
          <wp:inline distT="0" distB="0" distL="0" distR="0" wp14:anchorId="23EDEB9B" wp14:editId="15D06A65">
            <wp:extent cx="7924295" cy="3321262"/>
            <wp:effectExtent l="0" t="3492"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S8_new.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960525" cy="3336447"/>
                    </a:xfrm>
                    <a:prstGeom prst="rect">
                      <a:avLst/>
                    </a:prstGeom>
                  </pic:spPr>
                </pic:pic>
              </a:graphicData>
            </a:graphic>
          </wp:inline>
        </w:drawing>
      </w:r>
    </w:p>
    <w:p w14:paraId="67816F9C" w14:textId="36F44FB7" w:rsidR="00DD21AB" w:rsidRDefault="001232A8">
      <w:pPr>
        <w:rPr>
          <w:rFonts w:ascii="Times New Roman" w:hAnsi="Times New Roman" w:cs="Times New Roman"/>
          <w:b/>
          <w:color w:val="000000"/>
          <w:sz w:val="32"/>
        </w:rPr>
      </w:pPr>
      <w:r>
        <w:rPr>
          <w:rFonts w:ascii="Times New Roman" w:hAnsi="Times New Roman" w:cs="Times New Roman"/>
          <w:b/>
          <w:noProof/>
          <w:color w:val="000000"/>
          <w:sz w:val="32"/>
        </w:rPr>
        <w:lastRenderedPageBreak/>
        <mc:AlternateContent>
          <mc:Choice Requires="wps">
            <w:drawing>
              <wp:anchor distT="0" distB="0" distL="114300" distR="114300" simplePos="0" relativeHeight="251661312" behindDoc="0" locked="0" layoutInCell="1" allowOverlap="1" wp14:anchorId="0FC8B282" wp14:editId="55A2DF52">
                <wp:simplePos x="0" y="0"/>
                <wp:positionH relativeFrom="margin">
                  <wp:align>right</wp:align>
                </wp:positionH>
                <wp:positionV relativeFrom="paragraph">
                  <wp:posOffset>3490913</wp:posOffset>
                </wp:positionV>
                <wp:extent cx="8206106" cy="829310"/>
                <wp:effectExtent l="0" t="7302" r="0" b="0"/>
                <wp:wrapNone/>
                <wp:docPr id="14" name="Text Box 14"/>
                <wp:cNvGraphicFramePr/>
                <a:graphic xmlns:a="http://schemas.openxmlformats.org/drawingml/2006/main">
                  <a:graphicData uri="http://schemas.microsoft.com/office/word/2010/wordprocessingShape">
                    <wps:wsp>
                      <wps:cNvSpPr txBox="1"/>
                      <wps:spPr>
                        <a:xfrm rot="16200000">
                          <a:off x="0" y="0"/>
                          <a:ext cx="8206106" cy="829310"/>
                        </a:xfrm>
                        <a:prstGeom prst="rect">
                          <a:avLst/>
                        </a:prstGeom>
                        <a:solidFill>
                          <a:schemeClr val="lt1"/>
                        </a:solidFill>
                        <a:ln w="6350">
                          <a:noFill/>
                        </a:ln>
                      </wps:spPr>
                      <wps:txbx>
                        <w:txbxContent>
                          <w:p w14:paraId="6C9700A5" w14:textId="04DB4792" w:rsidR="00FE580C" w:rsidRDefault="00FE580C" w:rsidP="00086962">
                            <w:pPr>
                              <w:jc w:val="both"/>
                            </w:pPr>
                            <w:r w:rsidRPr="00E45E27">
                              <w:rPr>
                                <w:rFonts w:ascii="Times New Roman" w:hAnsi="Times New Roman" w:cs="Times New Roman"/>
                                <w:b/>
                                <w:sz w:val="24"/>
                              </w:rPr>
                              <w:t>Fig. S</w:t>
                            </w:r>
                            <w:r>
                              <w:rPr>
                                <w:rFonts w:ascii="Times New Roman" w:hAnsi="Times New Roman" w:cs="Times New Roman"/>
                                <w:b/>
                                <w:sz w:val="24"/>
                              </w:rPr>
                              <w:t>9</w:t>
                            </w:r>
                            <w:r>
                              <w:rPr>
                                <w:rFonts w:ascii="Times New Roman" w:hAnsi="Times New Roman" w:cs="Times New Roman"/>
                                <w:sz w:val="24"/>
                              </w:rPr>
                              <w:t>. Mean and standard deviation of tumor volumes , statistical analysis, and corresponding weight changes for DGN549 ADC treated mice. (</w:t>
                            </w:r>
                            <w:r w:rsidRPr="008E3E04">
                              <w:rPr>
                                <w:rFonts w:ascii="Times New Roman" w:hAnsi="Times New Roman" w:cs="Times New Roman"/>
                                <w:i/>
                                <w:iCs/>
                                <w:sz w:val="24"/>
                              </w:rPr>
                              <w:t>ns = not significant, * p &lt; 0.05, ** p &lt; 0.01, *** p &lt; 0.00</w:t>
                            </w:r>
                            <w:r w:rsidR="001232A8">
                              <w:rPr>
                                <w:rFonts w:ascii="Times New Roman" w:hAnsi="Times New Roman" w:cs="Times New Roman"/>
                                <w:i/>
                                <w:iCs/>
                                <w:sz w:val="24"/>
                              </w:rPr>
                              <w:t>1</w:t>
                            </w:r>
                            <w:r w:rsidRPr="008E3E04">
                              <w:rPr>
                                <w:rFonts w:ascii="Times New Roman" w:hAnsi="Times New Roman" w:cs="Times New Roman"/>
                                <w:i/>
                                <w:iCs/>
                                <w:sz w:val="24"/>
                              </w:rPr>
                              <w:t>, **** p &lt; 0.00</w:t>
                            </w:r>
                            <w:r w:rsidR="001232A8">
                              <w:rPr>
                                <w:rFonts w:ascii="Times New Roman" w:hAnsi="Times New Roman" w:cs="Times New Roman"/>
                                <w:i/>
                                <w:iCs/>
                                <w:sz w:val="24"/>
                              </w:rPr>
                              <w:t>0</w:t>
                            </w:r>
                            <w:r w:rsidRPr="008E3E04">
                              <w:rPr>
                                <w:rFonts w:ascii="Times New Roman" w:hAnsi="Times New Roman" w:cs="Times New Roman"/>
                                <w:i/>
                                <w:iCs/>
                                <w:sz w:val="24"/>
                              </w:rPr>
                              <w:t>1</w:t>
                            </w:r>
                            <w:r>
                              <w:rPr>
                                <w:rFonts w:ascii="Times New Roman" w:hAnsi="Times New Roman" w:cs="Times New Roman"/>
                                <w:sz w:val="24"/>
                              </w:rPr>
                              <w:t>)</w:t>
                            </w:r>
                          </w:p>
                          <w:p w14:paraId="3BD5C011" w14:textId="7800992C" w:rsidR="00FE580C" w:rsidRPr="00086962" w:rsidRDefault="00FE580C" w:rsidP="00086962">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B282" id="Text Box 14" o:spid="_x0000_s1027" type="#_x0000_t202" style="position:absolute;margin-left:594.95pt;margin-top:274.9pt;width:646.15pt;height:65.3pt;rotation:-9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" fillcolor="white [3201]" stroked="f" strokeweight=".5pt">
                <v:textbox>
                  <w:txbxContent>
                    <w:p w14:paraId="6C9700A5" w14:textId="04DB4792" w:rsidR="00FE580C" w:rsidRDefault="00FE580C" w:rsidP="00086962">
                      <w:pPr>
                        <w:jc w:val="both"/>
                      </w:pPr>
                      <w:r w:rsidRPr="00E45E27">
                        <w:rPr>
                          <w:rFonts w:ascii="Times New Roman" w:hAnsi="Times New Roman" w:cs="Times New Roman"/>
                          <w:b/>
                          <w:sz w:val="24"/>
                        </w:rPr>
                        <w:t>Fig. S</w:t>
                      </w:r>
                      <w:r>
                        <w:rPr>
                          <w:rFonts w:ascii="Times New Roman" w:hAnsi="Times New Roman" w:cs="Times New Roman"/>
                          <w:b/>
                          <w:sz w:val="24"/>
                        </w:rPr>
                        <w:t>9</w:t>
                      </w:r>
                      <w:r>
                        <w:rPr>
                          <w:rFonts w:ascii="Times New Roman" w:hAnsi="Times New Roman" w:cs="Times New Roman"/>
                          <w:sz w:val="24"/>
                        </w:rPr>
                        <w:t>. Mean and standard deviation of tumor volumes , statistical analysis, and corresponding weight changes for DGN549 ADC treated mice. (</w:t>
                      </w:r>
                      <w:r w:rsidRPr="008E3E04">
                        <w:rPr>
                          <w:rFonts w:ascii="Times New Roman" w:hAnsi="Times New Roman" w:cs="Times New Roman"/>
                          <w:i/>
                          <w:iCs/>
                          <w:sz w:val="24"/>
                        </w:rPr>
                        <w:t>ns = not significant, * p &lt; 0.05, ** p &lt; 0.01, *** p &lt; 0.00</w:t>
                      </w:r>
                      <w:r w:rsidR="001232A8">
                        <w:rPr>
                          <w:rFonts w:ascii="Times New Roman" w:hAnsi="Times New Roman" w:cs="Times New Roman"/>
                          <w:i/>
                          <w:iCs/>
                          <w:sz w:val="24"/>
                        </w:rPr>
                        <w:t>1</w:t>
                      </w:r>
                      <w:r w:rsidRPr="008E3E04">
                        <w:rPr>
                          <w:rFonts w:ascii="Times New Roman" w:hAnsi="Times New Roman" w:cs="Times New Roman"/>
                          <w:i/>
                          <w:iCs/>
                          <w:sz w:val="24"/>
                        </w:rPr>
                        <w:t>, **** p &lt; 0.00</w:t>
                      </w:r>
                      <w:r w:rsidR="001232A8">
                        <w:rPr>
                          <w:rFonts w:ascii="Times New Roman" w:hAnsi="Times New Roman" w:cs="Times New Roman"/>
                          <w:i/>
                          <w:iCs/>
                          <w:sz w:val="24"/>
                        </w:rPr>
                        <w:t>0</w:t>
                      </w:r>
                      <w:r w:rsidRPr="008E3E04">
                        <w:rPr>
                          <w:rFonts w:ascii="Times New Roman" w:hAnsi="Times New Roman" w:cs="Times New Roman"/>
                          <w:i/>
                          <w:iCs/>
                          <w:sz w:val="24"/>
                        </w:rPr>
                        <w:t>1</w:t>
                      </w:r>
                      <w:r>
                        <w:rPr>
                          <w:rFonts w:ascii="Times New Roman" w:hAnsi="Times New Roman" w:cs="Times New Roman"/>
                          <w:sz w:val="24"/>
                        </w:rPr>
                        <w:t>)</w:t>
                      </w:r>
                    </w:p>
                    <w:p w14:paraId="3BD5C011" w14:textId="7800992C" w:rsidR="00FE580C" w:rsidRPr="00086962" w:rsidRDefault="00FE580C" w:rsidP="00086962">
                      <w:pPr>
                        <w:jc w:val="both"/>
                        <w:rPr>
                          <w:rFonts w:ascii="Times New Roman" w:hAnsi="Times New Roman" w:cs="Times New Roman"/>
                          <w:sz w:val="24"/>
                        </w:rPr>
                      </w:pPr>
                    </w:p>
                  </w:txbxContent>
                </v:textbox>
                <w10:wrap anchorx="margin"/>
              </v:shape>
            </w:pict>
          </mc:Fallback>
        </mc:AlternateContent>
      </w:r>
      <w:r>
        <w:rPr>
          <w:rFonts w:ascii="Times New Roman" w:hAnsi="Times New Roman" w:cs="Times New Roman"/>
          <w:b/>
          <w:noProof/>
          <w:color w:val="000000"/>
          <w:sz w:val="32"/>
        </w:rPr>
        <w:drawing>
          <wp:anchor distT="0" distB="0" distL="114300" distR="114300" simplePos="0" relativeHeight="251662336" behindDoc="0" locked="0" layoutInCell="1" allowOverlap="1" wp14:anchorId="49A1F048" wp14:editId="25140EB8">
            <wp:simplePos x="0" y="0"/>
            <wp:positionH relativeFrom="column">
              <wp:posOffset>-1820545</wp:posOffset>
            </wp:positionH>
            <wp:positionV relativeFrom="paragraph">
              <wp:posOffset>1553845</wp:posOffset>
            </wp:positionV>
            <wp:extent cx="8221345" cy="5124450"/>
            <wp:effectExtent l="5398" t="0" r="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9_new.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21345" cy="5124450"/>
                    </a:xfrm>
                    <a:prstGeom prst="rect">
                      <a:avLst/>
                    </a:prstGeom>
                  </pic:spPr>
                </pic:pic>
              </a:graphicData>
            </a:graphic>
            <wp14:sizeRelH relativeFrom="margin">
              <wp14:pctWidth>0</wp14:pctWidth>
            </wp14:sizeRelH>
            <wp14:sizeRelV relativeFrom="margin">
              <wp14:pctHeight>0</wp14:pctHeight>
            </wp14:sizeRelV>
          </wp:anchor>
        </w:drawing>
      </w:r>
      <w:r w:rsidR="00DD21AB">
        <w:rPr>
          <w:rFonts w:ascii="Times New Roman" w:hAnsi="Times New Roman" w:cs="Times New Roman"/>
          <w:b/>
          <w:color w:val="000000"/>
          <w:sz w:val="32"/>
        </w:rPr>
        <w:br w:type="page"/>
      </w:r>
    </w:p>
    <w:p w14:paraId="61CFD9FB" w14:textId="1954DBD0" w:rsidR="009F383C" w:rsidRDefault="009F383C" w:rsidP="009F383C">
      <w:pPr>
        <w:rPr>
          <w:rFonts w:ascii="Times New Roman" w:hAnsi="Times New Roman" w:cs="Times New Roman"/>
          <w:b/>
          <w:color w:val="000000"/>
          <w:sz w:val="32"/>
        </w:rPr>
      </w:pPr>
      <w:r>
        <w:rPr>
          <w:rFonts w:ascii="Times New Roman" w:hAnsi="Times New Roman" w:cs="Times New Roman"/>
          <w:b/>
          <w:color w:val="000000"/>
          <w:sz w:val="32"/>
        </w:rPr>
        <w:lastRenderedPageBreak/>
        <w:t>Supplementary References</w:t>
      </w:r>
    </w:p>
    <w:p w14:paraId="0E00776C" w14:textId="77777777" w:rsidR="00896B31" w:rsidRPr="00896B31" w:rsidRDefault="002C28B0" w:rsidP="00896B31">
      <w:pPr>
        <w:pStyle w:val="EndNoteBibliography"/>
        <w:spacing w:after="0"/>
        <w:ind w:left="720" w:hanging="720"/>
      </w:pPr>
      <w:r w:rsidRPr="004A5AD8">
        <w:rPr>
          <w:rFonts w:ascii="Times New Roman" w:hAnsi="Times New Roman" w:cs="Times New Roman"/>
          <w:sz w:val="24"/>
          <w:szCs w:val="24"/>
        </w:rPr>
        <w:fldChar w:fldCharType="begin"/>
      </w:r>
      <w:r w:rsidRPr="004A5AD8">
        <w:rPr>
          <w:rFonts w:ascii="Times New Roman" w:hAnsi="Times New Roman" w:cs="Times New Roman"/>
          <w:sz w:val="24"/>
          <w:szCs w:val="24"/>
        </w:rPr>
        <w:instrText xml:space="preserve"> ADDIN EN.REFLIST </w:instrText>
      </w:r>
      <w:r w:rsidRPr="004A5AD8">
        <w:rPr>
          <w:rFonts w:ascii="Times New Roman" w:hAnsi="Times New Roman" w:cs="Times New Roman"/>
          <w:sz w:val="24"/>
          <w:szCs w:val="24"/>
        </w:rPr>
        <w:fldChar w:fldCharType="separate"/>
      </w:r>
      <w:r w:rsidR="00896B31" w:rsidRPr="00896B31">
        <w:t>1.</w:t>
      </w:r>
      <w:r w:rsidR="00896B31" w:rsidRPr="00896B31">
        <w:tab/>
        <w:t>Ab O, Whiteman KR, Bartle LM, Sun X, Singh R, Tavares D</w:t>
      </w:r>
      <w:r w:rsidR="00896B31" w:rsidRPr="00896B31">
        <w:rPr>
          <w:i/>
        </w:rPr>
        <w:t>, et al.</w:t>
      </w:r>
      <w:r w:rsidR="00896B31" w:rsidRPr="00896B31">
        <w:t xml:space="preserve"> IMGN853, a Folate Receptor-α (FRα)–Targeting Antibody–Drug Conjugate, Exhibits Potent Targeted Antitumor Activity against FRα-Expressing Tumors. Molecular Cancer Therapeutics </w:t>
      </w:r>
      <w:r w:rsidR="00896B31" w:rsidRPr="00896B31">
        <w:rPr>
          <w:b/>
        </w:rPr>
        <w:t>2015</w:t>
      </w:r>
      <w:r w:rsidR="00896B31" w:rsidRPr="00896B31">
        <w:t>;14(7):1605 doi 10.1158/1535-7163.MCT-14-1095.</w:t>
      </w:r>
    </w:p>
    <w:p w14:paraId="647B0812" w14:textId="77777777" w:rsidR="00896B31" w:rsidRPr="00896B31" w:rsidRDefault="00896B31" w:rsidP="00896B31">
      <w:pPr>
        <w:pStyle w:val="EndNoteBibliography"/>
        <w:spacing w:after="0"/>
        <w:ind w:left="720" w:hanging="720"/>
      </w:pPr>
      <w:r w:rsidRPr="00896B31">
        <w:t>2.</w:t>
      </w:r>
      <w:r w:rsidRPr="00896B31">
        <w:tab/>
        <w:t>Rudnick SI, Lou J, Shaller CC, Tang Y, Klein-Szanto AJ, Weiner LM</w:t>
      </w:r>
      <w:r w:rsidRPr="00896B31">
        <w:rPr>
          <w:i/>
        </w:rPr>
        <w:t>, et al.</w:t>
      </w:r>
      <w:r w:rsidRPr="00896B31">
        <w:t xml:space="preserve"> Influence of affinity and antigen internalization on the uptake and penetration of Anti-HER2 antibodies in solid tumors. Cancer Res </w:t>
      </w:r>
      <w:r w:rsidRPr="00896B31">
        <w:rPr>
          <w:b/>
        </w:rPr>
        <w:t>2011</w:t>
      </w:r>
      <w:r w:rsidRPr="00896B31">
        <w:t>;71(6):2250-9 doi 10.1158/0008-5472.CAN-10-2277.</w:t>
      </w:r>
    </w:p>
    <w:p w14:paraId="36345B7A" w14:textId="77777777" w:rsidR="00896B31" w:rsidRPr="00896B31" w:rsidRDefault="00896B31" w:rsidP="00896B31">
      <w:pPr>
        <w:pStyle w:val="EndNoteBibliography"/>
        <w:spacing w:after="0"/>
        <w:ind w:left="720" w:hanging="720"/>
      </w:pPr>
      <w:r w:rsidRPr="00896B31">
        <w:t>3.</w:t>
      </w:r>
      <w:r w:rsidRPr="00896B31">
        <w:tab/>
        <w:t xml:space="preserve">Khera E, Cilliers C, Bhatnagar S, Thurber GM. Computational transport analysis of antibody-drug conjugate bystander effects and payload tumoral distribution: implications for therapy. Molecular Systems Design &amp; Engineering </w:t>
      </w:r>
      <w:r w:rsidRPr="00896B31">
        <w:rPr>
          <w:b/>
        </w:rPr>
        <w:t>2018</w:t>
      </w:r>
      <w:r w:rsidRPr="00896B31">
        <w:t>;3(1):73-88 doi 10.1039/C7ME00093F.</w:t>
      </w:r>
    </w:p>
    <w:p w14:paraId="2B9CB2E7" w14:textId="77777777" w:rsidR="00896B31" w:rsidRPr="00896B31" w:rsidRDefault="00896B31" w:rsidP="00896B31">
      <w:pPr>
        <w:pStyle w:val="EndNoteBibliography"/>
        <w:spacing w:after="0"/>
        <w:ind w:left="720" w:hanging="720"/>
      </w:pPr>
      <w:r w:rsidRPr="00896B31">
        <w:t>4.</w:t>
      </w:r>
      <w:r w:rsidRPr="00896B31">
        <w:tab/>
        <w:t xml:space="preserve">Hilmas D, Gillette E. Morphometric Analyses of the Microvasculature of Tumors During Growth and After X-Irradiation. Cancer </w:t>
      </w:r>
      <w:r w:rsidRPr="00896B31">
        <w:rPr>
          <w:b/>
        </w:rPr>
        <w:t>1974</w:t>
      </w:r>
      <w:r w:rsidRPr="00896B31">
        <w:t>;33(1):103-10.</w:t>
      </w:r>
    </w:p>
    <w:p w14:paraId="7E76071D" w14:textId="77777777" w:rsidR="00896B31" w:rsidRPr="00896B31" w:rsidRDefault="00896B31" w:rsidP="00896B31">
      <w:pPr>
        <w:pStyle w:val="EndNoteBibliography"/>
        <w:spacing w:after="0"/>
        <w:ind w:left="720" w:hanging="720"/>
      </w:pPr>
      <w:r w:rsidRPr="00896B31">
        <w:t>5.</w:t>
      </w:r>
      <w:r w:rsidRPr="00896B31">
        <w:tab/>
        <w:t xml:space="preserve">Thurber GM, Weissleder R. A Systems Approach for Tumor Pharmacokinetics. PLoS One </w:t>
      </w:r>
      <w:r w:rsidRPr="00896B31">
        <w:rPr>
          <w:b/>
        </w:rPr>
        <w:t>2011</w:t>
      </w:r>
      <w:r w:rsidRPr="00896B31">
        <w:t>;6(9):e24696 doi 10.1371/journal.pone.0024696.g001.</w:t>
      </w:r>
    </w:p>
    <w:p w14:paraId="6AD4A2E9" w14:textId="77777777" w:rsidR="00896B31" w:rsidRPr="00896B31" w:rsidRDefault="00896B31" w:rsidP="00896B31">
      <w:pPr>
        <w:pStyle w:val="EndNoteBibliography"/>
        <w:spacing w:after="0"/>
        <w:ind w:left="720" w:hanging="720"/>
      </w:pPr>
      <w:r w:rsidRPr="00896B31">
        <w:t>6.</w:t>
      </w:r>
      <w:r w:rsidRPr="00896B31">
        <w:tab/>
        <w:t>Yuan F, Dellian M, Fukumura D, Leunig M, Berk DA, Torchilin VP</w:t>
      </w:r>
      <w:r w:rsidRPr="00896B31">
        <w:rPr>
          <w:i/>
        </w:rPr>
        <w:t>, et al.</w:t>
      </w:r>
      <w:r w:rsidRPr="00896B31">
        <w:t xml:space="preserve"> Vascular Permeability in a Human Tumor Xenograft: Molecular Size Dependence and Cutoff Size. Cancer Res </w:t>
      </w:r>
      <w:r w:rsidRPr="00896B31">
        <w:rPr>
          <w:b/>
        </w:rPr>
        <w:t>1995</w:t>
      </w:r>
      <w:r w:rsidRPr="00896B31">
        <w:t>;55(17):3752-6.</w:t>
      </w:r>
    </w:p>
    <w:p w14:paraId="51B957C5" w14:textId="77777777" w:rsidR="00896B31" w:rsidRPr="00896B31" w:rsidRDefault="00896B31" w:rsidP="00896B31">
      <w:pPr>
        <w:pStyle w:val="EndNoteBibliography"/>
        <w:spacing w:after="0"/>
        <w:ind w:left="720" w:hanging="720"/>
      </w:pPr>
      <w:r w:rsidRPr="00896B31">
        <w:t>7.</w:t>
      </w:r>
      <w:r w:rsidRPr="00896B31">
        <w:tab/>
        <w:t xml:space="preserve">Ferl GZ, Kenanova V, Wu AM, DiStefano JJ. A two-tiered physiologically based model for dually labeled single-chain Fv-Fc antibody fragments. Mol Cancer Ther </w:t>
      </w:r>
      <w:r w:rsidRPr="00896B31">
        <w:rPr>
          <w:b/>
        </w:rPr>
        <w:t>2006</w:t>
      </w:r>
      <w:r w:rsidRPr="00896B31">
        <w:t>;5(6):1550-8 doi 10.1158/1535-7163.MCT-06-0072.</w:t>
      </w:r>
    </w:p>
    <w:p w14:paraId="30DF3D51" w14:textId="77777777" w:rsidR="00896B31" w:rsidRPr="00896B31" w:rsidRDefault="00896B31" w:rsidP="00896B31">
      <w:pPr>
        <w:pStyle w:val="EndNoteBibliography"/>
        <w:spacing w:after="0"/>
        <w:ind w:left="720" w:hanging="720"/>
      </w:pPr>
      <w:r w:rsidRPr="00896B31">
        <w:t>8.</w:t>
      </w:r>
      <w:r w:rsidRPr="00896B31">
        <w:tab/>
        <w:t>Green EL. Biology of the laboratory mouse. New York: Dover Publications &amp; The Jackson Laboratory; 1975.</w:t>
      </w:r>
    </w:p>
    <w:p w14:paraId="517D672F" w14:textId="77777777" w:rsidR="00896B31" w:rsidRPr="00896B31" w:rsidRDefault="00896B31" w:rsidP="00896B31">
      <w:pPr>
        <w:pStyle w:val="EndNoteBibliography"/>
        <w:spacing w:after="0"/>
        <w:ind w:left="720" w:hanging="720"/>
      </w:pPr>
      <w:r w:rsidRPr="00896B31">
        <w:t>9.</w:t>
      </w:r>
      <w:r w:rsidRPr="00896B31">
        <w:tab/>
        <w:t xml:space="preserve">Schmidt MM, Wittrup KD. A modeling analysis of the effects of molecular size and binding affinity on tumor targeting. Mol Cancer Ther </w:t>
      </w:r>
      <w:r w:rsidRPr="00896B31">
        <w:rPr>
          <w:b/>
        </w:rPr>
        <w:t>2009</w:t>
      </w:r>
      <w:r w:rsidRPr="00896B31">
        <w:t>;8(10):2861-71 doi 10.1158/1535-7163.MCT-09-0195.</w:t>
      </w:r>
    </w:p>
    <w:p w14:paraId="5223CEC0" w14:textId="77777777" w:rsidR="00896B31" w:rsidRPr="00896B31" w:rsidRDefault="00896B31" w:rsidP="00896B31">
      <w:pPr>
        <w:pStyle w:val="EndNoteBibliography"/>
        <w:spacing w:after="0"/>
        <w:ind w:left="720" w:hanging="720"/>
      </w:pPr>
      <w:r w:rsidRPr="00896B31">
        <w:t>10.</w:t>
      </w:r>
      <w:r w:rsidRPr="00896B31">
        <w:tab/>
        <w:t xml:space="preserve">Forster MD, Ormerod MG, Agarwal R, Kaye SB, Jackman AL. Flow cytometric method for determining folate receptor expression on ovarian carcinoma cells. Cytometry A </w:t>
      </w:r>
      <w:r w:rsidRPr="00896B31">
        <w:rPr>
          <w:b/>
        </w:rPr>
        <w:t>2007</w:t>
      </w:r>
      <w:r w:rsidRPr="00896B31">
        <w:t>;71(11):945-50 doi 10.1002/cyto.a.20456.</w:t>
      </w:r>
    </w:p>
    <w:p w14:paraId="14C5ECCF" w14:textId="77777777" w:rsidR="00896B31" w:rsidRPr="00896B31" w:rsidRDefault="00896B31" w:rsidP="00896B31">
      <w:pPr>
        <w:pStyle w:val="EndNoteBibliography"/>
        <w:spacing w:after="0"/>
        <w:ind w:left="720" w:hanging="720"/>
      </w:pPr>
      <w:r w:rsidRPr="00896B31">
        <w:t>11.</w:t>
      </w:r>
      <w:r w:rsidRPr="00896B31">
        <w:tab/>
        <w:t xml:space="preserve">Maass KF, Kulkarni C, Betts AM, Wittrup KD. Determination of Cellular Processing Rates for a Trastuzumab-Maytansinoid Antibody-Drug Conjugate (ADC) Highlights Key Parameters for ADC Design. AAPS J </w:t>
      </w:r>
      <w:r w:rsidRPr="00896B31">
        <w:rPr>
          <w:b/>
        </w:rPr>
        <w:t>2016</w:t>
      </w:r>
      <w:r w:rsidRPr="00896B31">
        <w:t>;18(3):635-46 doi 10.1208/s12248-016-9892-3.</w:t>
      </w:r>
    </w:p>
    <w:p w14:paraId="446A4375" w14:textId="77777777" w:rsidR="00896B31" w:rsidRPr="00896B31" w:rsidRDefault="00896B31" w:rsidP="00896B31">
      <w:pPr>
        <w:pStyle w:val="EndNoteBibliography"/>
        <w:ind w:left="720" w:hanging="720"/>
      </w:pPr>
      <w:r w:rsidRPr="00896B31">
        <w:t>12.</w:t>
      </w:r>
      <w:r w:rsidRPr="00896B31">
        <w:tab/>
        <w:t xml:space="preserve">Paulos CM, Reddy JA, Leamon CP, Turk MJ, Low PS. Ligand binding and kinetics of folate receptor recycling in vivo: impact on receptor-mediated drug delivery. Mol Pharmacol </w:t>
      </w:r>
      <w:r w:rsidRPr="00896B31">
        <w:rPr>
          <w:b/>
        </w:rPr>
        <w:t>2004</w:t>
      </w:r>
      <w:r w:rsidRPr="00896B31">
        <w:t>;66(6):1406-14 doi 10.1124/mol.104.003723.</w:t>
      </w:r>
    </w:p>
    <w:p w14:paraId="503B70DA" w14:textId="79CCE496" w:rsidR="009E17AA" w:rsidRPr="00B63750" w:rsidRDefault="002C28B0" w:rsidP="009E17AA">
      <w:pPr>
        <w:jc w:val="both"/>
        <w:rPr>
          <w:rFonts w:ascii="Times New Roman" w:hAnsi="Times New Roman" w:cs="Times New Roman"/>
          <w:sz w:val="24"/>
          <w:szCs w:val="24"/>
        </w:rPr>
      </w:pPr>
      <w:r w:rsidRPr="004A5AD8">
        <w:rPr>
          <w:rFonts w:ascii="Times New Roman" w:hAnsi="Times New Roman" w:cs="Times New Roman"/>
          <w:sz w:val="24"/>
          <w:szCs w:val="24"/>
        </w:rPr>
        <w:fldChar w:fldCharType="end"/>
      </w:r>
    </w:p>
    <w:sectPr w:rsidR="009E17AA" w:rsidRPr="00B63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4D"/>
    <w:family w:val="decorative"/>
    <w:pitch w:val="variable"/>
    <w:sig w:usb0="00000003" w:usb1="1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altName w:val="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8501F"/>
    <w:multiLevelType w:val="hybridMultilevel"/>
    <w:tmpl w:val="153E5F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3059C"/>
    <w:multiLevelType w:val="hybridMultilevel"/>
    <w:tmpl w:val="939400A0"/>
    <w:lvl w:ilvl="0" w:tplc="67F4702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5D2CD6"/>
    <w:multiLevelType w:val="hybridMultilevel"/>
    <w:tmpl w:val="A1CA5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9v22earwp5tzedp0cptvs6rssffwefrars&quot;&gt;Diabetes blocking-Converted&lt;record-ids&gt;&lt;item&gt;96&lt;/item&gt;&lt;item&gt;97&lt;/item&gt;&lt;item&gt;98&lt;/item&gt;&lt;item&gt;99&lt;/item&gt;&lt;item&gt;163&lt;/item&gt;&lt;/record-ids&gt;&lt;/item&gt;&lt;/Libraries&gt;"/>
  </w:docVars>
  <w:rsids>
    <w:rsidRoot w:val="00BC5BE7"/>
    <w:rsid w:val="000335C7"/>
    <w:rsid w:val="0005631C"/>
    <w:rsid w:val="00086962"/>
    <w:rsid w:val="000B2460"/>
    <w:rsid w:val="000B7CEC"/>
    <w:rsid w:val="000D5AE1"/>
    <w:rsid w:val="0011030B"/>
    <w:rsid w:val="001232A8"/>
    <w:rsid w:val="00126E83"/>
    <w:rsid w:val="0013002C"/>
    <w:rsid w:val="0013554C"/>
    <w:rsid w:val="0016534B"/>
    <w:rsid w:val="001655CC"/>
    <w:rsid w:val="001735DE"/>
    <w:rsid w:val="001B5CA9"/>
    <w:rsid w:val="0021276D"/>
    <w:rsid w:val="00212D37"/>
    <w:rsid w:val="00215AC3"/>
    <w:rsid w:val="00252A22"/>
    <w:rsid w:val="00255C1C"/>
    <w:rsid w:val="00277230"/>
    <w:rsid w:val="00282A3C"/>
    <w:rsid w:val="002C28B0"/>
    <w:rsid w:val="00300F0A"/>
    <w:rsid w:val="003756CF"/>
    <w:rsid w:val="003A3BD6"/>
    <w:rsid w:val="003A7AE9"/>
    <w:rsid w:val="003C2ADD"/>
    <w:rsid w:val="003C6885"/>
    <w:rsid w:val="00434082"/>
    <w:rsid w:val="00436C76"/>
    <w:rsid w:val="004511CC"/>
    <w:rsid w:val="004A5AD8"/>
    <w:rsid w:val="004D2CEA"/>
    <w:rsid w:val="004E636A"/>
    <w:rsid w:val="004F37E7"/>
    <w:rsid w:val="00540FE5"/>
    <w:rsid w:val="005440C2"/>
    <w:rsid w:val="005503A7"/>
    <w:rsid w:val="005573DD"/>
    <w:rsid w:val="00582BCD"/>
    <w:rsid w:val="00595946"/>
    <w:rsid w:val="005E64B1"/>
    <w:rsid w:val="005F5B73"/>
    <w:rsid w:val="00647269"/>
    <w:rsid w:val="00666C79"/>
    <w:rsid w:val="00690378"/>
    <w:rsid w:val="006A0B22"/>
    <w:rsid w:val="006A175A"/>
    <w:rsid w:val="006D46DE"/>
    <w:rsid w:val="006E5461"/>
    <w:rsid w:val="00705DCE"/>
    <w:rsid w:val="00730788"/>
    <w:rsid w:val="00770538"/>
    <w:rsid w:val="007C3098"/>
    <w:rsid w:val="007D3F4C"/>
    <w:rsid w:val="008103C6"/>
    <w:rsid w:val="00823072"/>
    <w:rsid w:val="008260E1"/>
    <w:rsid w:val="00836E11"/>
    <w:rsid w:val="008513C1"/>
    <w:rsid w:val="0085192A"/>
    <w:rsid w:val="00870B17"/>
    <w:rsid w:val="00883953"/>
    <w:rsid w:val="00885A25"/>
    <w:rsid w:val="00896B31"/>
    <w:rsid w:val="008C4627"/>
    <w:rsid w:val="008D4530"/>
    <w:rsid w:val="008D595A"/>
    <w:rsid w:val="008F412D"/>
    <w:rsid w:val="009306EB"/>
    <w:rsid w:val="00953F4A"/>
    <w:rsid w:val="009A0CC3"/>
    <w:rsid w:val="009D0D17"/>
    <w:rsid w:val="009D2D58"/>
    <w:rsid w:val="009D661C"/>
    <w:rsid w:val="009E17AA"/>
    <w:rsid w:val="009F383C"/>
    <w:rsid w:val="009F7254"/>
    <w:rsid w:val="00A02FA0"/>
    <w:rsid w:val="00A63267"/>
    <w:rsid w:val="00A82CA5"/>
    <w:rsid w:val="00A878F2"/>
    <w:rsid w:val="00A91C01"/>
    <w:rsid w:val="00AC7F05"/>
    <w:rsid w:val="00B44D24"/>
    <w:rsid w:val="00B63750"/>
    <w:rsid w:val="00B73322"/>
    <w:rsid w:val="00B85281"/>
    <w:rsid w:val="00BB20D4"/>
    <w:rsid w:val="00BC51E4"/>
    <w:rsid w:val="00BC5BE7"/>
    <w:rsid w:val="00BE5AA9"/>
    <w:rsid w:val="00BE5F68"/>
    <w:rsid w:val="00C06660"/>
    <w:rsid w:val="00C93754"/>
    <w:rsid w:val="00CE6EC3"/>
    <w:rsid w:val="00CF58D7"/>
    <w:rsid w:val="00D3428A"/>
    <w:rsid w:val="00D46831"/>
    <w:rsid w:val="00D93746"/>
    <w:rsid w:val="00DC3E31"/>
    <w:rsid w:val="00DD21AB"/>
    <w:rsid w:val="00E45E27"/>
    <w:rsid w:val="00E54A92"/>
    <w:rsid w:val="00E9670B"/>
    <w:rsid w:val="00ED72EF"/>
    <w:rsid w:val="00EE1E9A"/>
    <w:rsid w:val="00EE1FFA"/>
    <w:rsid w:val="00EE5D40"/>
    <w:rsid w:val="00EF3E96"/>
    <w:rsid w:val="00F0036C"/>
    <w:rsid w:val="00F157EA"/>
    <w:rsid w:val="00F6630F"/>
    <w:rsid w:val="00F844E2"/>
    <w:rsid w:val="00FB57A5"/>
    <w:rsid w:val="00FE580C"/>
    <w:rsid w:val="00FF0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E7E4"/>
  <w15:chartTrackingRefBased/>
  <w15:docId w15:val="{E2E56B12-4505-4CE8-B256-DCB1164B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17AA"/>
    <w:rPr>
      <w:sz w:val="16"/>
      <w:szCs w:val="16"/>
    </w:rPr>
  </w:style>
  <w:style w:type="paragraph" w:styleId="CommentText">
    <w:name w:val="annotation text"/>
    <w:basedOn w:val="Normal"/>
    <w:link w:val="CommentTextChar"/>
    <w:uiPriority w:val="99"/>
    <w:semiHidden/>
    <w:unhideWhenUsed/>
    <w:rsid w:val="009E17AA"/>
    <w:pPr>
      <w:spacing w:line="240" w:lineRule="auto"/>
    </w:pPr>
    <w:rPr>
      <w:sz w:val="20"/>
      <w:szCs w:val="20"/>
    </w:rPr>
  </w:style>
  <w:style w:type="character" w:customStyle="1" w:styleId="CommentTextChar">
    <w:name w:val="Comment Text Char"/>
    <w:basedOn w:val="DefaultParagraphFont"/>
    <w:link w:val="CommentText"/>
    <w:uiPriority w:val="99"/>
    <w:semiHidden/>
    <w:rsid w:val="009E17AA"/>
    <w:rPr>
      <w:sz w:val="20"/>
      <w:szCs w:val="20"/>
    </w:rPr>
  </w:style>
  <w:style w:type="paragraph" w:styleId="CommentSubject">
    <w:name w:val="annotation subject"/>
    <w:basedOn w:val="CommentText"/>
    <w:next w:val="CommentText"/>
    <w:link w:val="CommentSubjectChar"/>
    <w:uiPriority w:val="99"/>
    <w:semiHidden/>
    <w:unhideWhenUsed/>
    <w:rsid w:val="009E17AA"/>
    <w:rPr>
      <w:b/>
      <w:bCs/>
    </w:rPr>
  </w:style>
  <w:style w:type="character" w:customStyle="1" w:styleId="CommentSubjectChar">
    <w:name w:val="Comment Subject Char"/>
    <w:basedOn w:val="CommentTextChar"/>
    <w:link w:val="CommentSubject"/>
    <w:uiPriority w:val="99"/>
    <w:semiHidden/>
    <w:rsid w:val="009E17AA"/>
    <w:rPr>
      <w:b/>
      <w:bCs/>
      <w:sz w:val="20"/>
      <w:szCs w:val="20"/>
    </w:rPr>
  </w:style>
  <w:style w:type="paragraph" w:styleId="BalloonText">
    <w:name w:val="Balloon Text"/>
    <w:basedOn w:val="Normal"/>
    <w:link w:val="BalloonTextChar"/>
    <w:uiPriority w:val="99"/>
    <w:semiHidden/>
    <w:unhideWhenUsed/>
    <w:rsid w:val="009E1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7AA"/>
    <w:rPr>
      <w:rFonts w:ascii="Segoe UI" w:hAnsi="Segoe UI" w:cs="Segoe UI"/>
      <w:sz w:val="18"/>
      <w:szCs w:val="18"/>
    </w:rPr>
  </w:style>
  <w:style w:type="paragraph" w:styleId="ListParagraph">
    <w:name w:val="List Paragraph"/>
    <w:basedOn w:val="Normal"/>
    <w:uiPriority w:val="34"/>
    <w:qFormat/>
    <w:rsid w:val="008F412D"/>
    <w:pPr>
      <w:ind w:left="720"/>
      <w:contextualSpacing/>
    </w:pPr>
  </w:style>
  <w:style w:type="table" w:styleId="TableGrid">
    <w:name w:val="Table Grid"/>
    <w:basedOn w:val="TableNormal"/>
    <w:uiPriority w:val="39"/>
    <w:rsid w:val="00375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34082"/>
    <w:rPr>
      <w:color w:val="0000FF"/>
      <w:u w:val="single"/>
    </w:rPr>
  </w:style>
  <w:style w:type="paragraph" w:customStyle="1" w:styleId="Body">
    <w:name w:val="Body"/>
    <w:rsid w:val="00FB57A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italic">
    <w:name w:val="italic"/>
    <w:basedOn w:val="DefaultParagraphFont"/>
    <w:rsid w:val="00690378"/>
  </w:style>
  <w:style w:type="character" w:customStyle="1" w:styleId="bold">
    <w:name w:val="bold"/>
    <w:basedOn w:val="DefaultParagraphFont"/>
    <w:rsid w:val="00690378"/>
  </w:style>
  <w:style w:type="paragraph" w:customStyle="1" w:styleId="EndNoteBibliographyTitle">
    <w:name w:val="EndNote Bibliography Title"/>
    <w:basedOn w:val="Normal"/>
    <w:link w:val="EndNoteBibliographyTitleChar"/>
    <w:rsid w:val="002C28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C28B0"/>
    <w:rPr>
      <w:rFonts w:ascii="Calibri" w:hAnsi="Calibri" w:cs="Calibri"/>
      <w:noProof/>
    </w:rPr>
  </w:style>
  <w:style w:type="paragraph" w:customStyle="1" w:styleId="EndNoteBibliography">
    <w:name w:val="EndNote Bibliography"/>
    <w:basedOn w:val="Normal"/>
    <w:link w:val="EndNoteBibliographyChar"/>
    <w:rsid w:val="002C28B0"/>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2C28B0"/>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A4BB3-0A84-4C07-91FD-9CED6AD7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5026</Words>
  <Characters>28654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Eshita Khera</dc:creator>
  <cp:keywords/>
  <dc:description/>
  <cp:lastModifiedBy>Thurber, Greg</cp:lastModifiedBy>
  <cp:revision>5</cp:revision>
  <dcterms:created xsi:type="dcterms:W3CDTF">2020-08-06T18:04:00Z</dcterms:created>
  <dcterms:modified xsi:type="dcterms:W3CDTF">2020-09-26T23:38:00Z</dcterms:modified>
</cp:coreProperties>
</file>