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0A9C" w14:textId="59414EE4" w:rsidR="00E1254C" w:rsidRDefault="00143E01" w:rsidP="008B0BCD">
      <w:pPr>
        <w:pStyle w:val="Heading1Unnumbered"/>
        <w:pageBreakBefore/>
        <w:spacing w:line="480" w:lineRule="auto"/>
        <w:jc w:val="center"/>
      </w:pPr>
      <w:r>
        <w:t>SUPPLEMENTARY</w:t>
      </w:r>
      <w:r w:rsidRPr="00E1254C">
        <w:t xml:space="preserve"> </w:t>
      </w:r>
      <w:r>
        <w:t>DATA</w:t>
      </w:r>
    </w:p>
    <w:p w14:paraId="3BBF64F3" w14:textId="7292699C" w:rsidR="00587D2F" w:rsidRPr="00587D2F" w:rsidRDefault="006847C4" w:rsidP="0069449D">
      <w:pPr>
        <w:pStyle w:val="Heading2Unnumbered"/>
        <w:spacing w:line="480" w:lineRule="auto"/>
      </w:pPr>
      <w:r>
        <w:t>A</w:t>
      </w:r>
      <w:r w:rsidR="00587D2F">
        <w:t xml:space="preserve">ssessment of </w:t>
      </w:r>
      <w:r w:rsidR="000C658E">
        <w:t xml:space="preserve">pembrolizumab </w:t>
      </w:r>
      <w:r w:rsidR="00587D2F">
        <w:t>binding to immunoglobulin superfamily members</w:t>
      </w:r>
    </w:p>
    <w:p w14:paraId="40B17909" w14:textId="019EC759" w:rsidR="000C658E" w:rsidRDefault="00587D2F" w:rsidP="000C658E">
      <w:pPr>
        <w:pStyle w:val="Paragraph"/>
        <w:spacing w:line="480" w:lineRule="auto"/>
      </w:pPr>
      <w:r>
        <w:t xml:space="preserve">Binding of pembrolizumab to PD-1, CD28, CTLA-4, and ICOS was assessed in electrochemiluminescence-based </w:t>
      </w:r>
      <w:r w:rsidR="000C658E">
        <w:t xml:space="preserve">(ECL) </w:t>
      </w:r>
      <w:r>
        <w:t xml:space="preserve">immunoassays. Recombinant </w:t>
      </w:r>
      <w:r w:rsidR="00413B5D">
        <w:t>h</w:t>
      </w:r>
      <w:r>
        <w:t xml:space="preserve">uman PD-1 Fc </w:t>
      </w:r>
      <w:r w:rsidR="00413B5D">
        <w:t>c</w:t>
      </w:r>
      <w:r>
        <w:t>himera</w:t>
      </w:r>
      <w:r w:rsidR="00F071F7">
        <w:t>,</w:t>
      </w:r>
      <w:r>
        <w:t xml:space="preserve"> </w:t>
      </w:r>
      <w:r w:rsidR="00413B5D">
        <w:t>r</w:t>
      </w:r>
      <w:r>
        <w:t xml:space="preserve">ecombinant </w:t>
      </w:r>
      <w:r w:rsidR="00413B5D">
        <w:t>h</w:t>
      </w:r>
      <w:r>
        <w:t xml:space="preserve">uman CTLA-4 Fc </w:t>
      </w:r>
      <w:r w:rsidR="00413B5D">
        <w:t>c</w:t>
      </w:r>
      <w:r>
        <w:t>himera</w:t>
      </w:r>
      <w:r w:rsidR="00413B5D">
        <w:t>,</w:t>
      </w:r>
      <w:r>
        <w:t xml:space="preserve"> </w:t>
      </w:r>
      <w:r w:rsidR="00413B5D">
        <w:t>r</w:t>
      </w:r>
      <w:r>
        <w:t xml:space="preserve">ecombinant </w:t>
      </w:r>
      <w:r w:rsidR="00413B5D">
        <w:t>h</w:t>
      </w:r>
      <w:r>
        <w:t xml:space="preserve">uman CD28 Fc </w:t>
      </w:r>
      <w:r w:rsidR="00413B5D">
        <w:t>c</w:t>
      </w:r>
      <w:r>
        <w:t>himer</w:t>
      </w:r>
      <w:r w:rsidR="00F071F7">
        <w:t>a,</w:t>
      </w:r>
      <w:r>
        <w:t xml:space="preserve"> and </w:t>
      </w:r>
      <w:r w:rsidR="00F071F7">
        <w:t>r</w:t>
      </w:r>
      <w:r>
        <w:t xml:space="preserve">ecombinant </w:t>
      </w:r>
      <w:r w:rsidR="00F071F7">
        <w:t>h</w:t>
      </w:r>
      <w:r>
        <w:t xml:space="preserve">uman ICOS Fc </w:t>
      </w:r>
      <w:r w:rsidR="00F071F7">
        <w:t>c</w:t>
      </w:r>
      <w:r>
        <w:t xml:space="preserve">himera </w:t>
      </w:r>
      <w:r w:rsidR="00DD1B94">
        <w:t xml:space="preserve">(all from R&amp;D Systems) </w:t>
      </w:r>
      <w:r>
        <w:t xml:space="preserve">were immobilized onto 96-well Small Spot High Bind plates </w:t>
      </w:r>
      <w:r w:rsidR="00ED59EA">
        <w:t>(</w:t>
      </w:r>
      <w:r w:rsidR="00D618F8">
        <w:t>Meso Scale Discovery</w:t>
      </w:r>
      <w:r w:rsidR="00ED59EA">
        <w:t xml:space="preserve">) </w:t>
      </w:r>
      <w:r>
        <w:t xml:space="preserve">by adding 25 µL of 1 µg/mL solutions into each well and incubating overnight at 4°C. After washing 3 times with </w:t>
      </w:r>
      <w:r w:rsidR="002110CF" w:rsidRPr="00E72344">
        <w:t>PBS</w:t>
      </w:r>
      <w:r w:rsidR="002110CF">
        <w:t>/</w:t>
      </w:r>
      <w:r w:rsidR="002110CF" w:rsidRPr="00E72344">
        <w:t>0.05% Tween 20</w:t>
      </w:r>
      <w:r>
        <w:t xml:space="preserve">, plates were blocked </w:t>
      </w:r>
      <w:r w:rsidR="00530307">
        <w:t>in PBS/0.5% bovine serum albumin</w:t>
      </w:r>
      <w:r w:rsidR="00734EC2">
        <w:t xml:space="preserve"> (BSA)</w:t>
      </w:r>
      <w:r>
        <w:t xml:space="preserve"> for approximately 1 hour at room temperature. After </w:t>
      </w:r>
      <w:r w:rsidR="00530307">
        <w:t>further washing</w:t>
      </w:r>
      <w:r>
        <w:t xml:space="preserve">, plates were prepared for the binding experiment. For each experiment, antibodies were diluted in </w:t>
      </w:r>
      <w:r w:rsidR="00D618F8">
        <w:t xml:space="preserve">assay buffer, </w:t>
      </w:r>
      <w:r w:rsidR="00734EC2">
        <w:t xml:space="preserve">PBS containing </w:t>
      </w:r>
      <w:r w:rsidR="00734EC2" w:rsidRPr="00E72344">
        <w:t xml:space="preserve">0.5% BSA (w/v), 0.05% Tween 20 (v/v), 0.25% CHAPS (w/v), and 5 mM EDTA </w:t>
      </w:r>
      <w:r>
        <w:t xml:space="preserve">to concentrations of 10000, 2500, 625, 156.3, 39.1, 9.8, and 2.4 ng/mL. Twenty-five microliters of each antibody solution or </w:t>
      </w:r>
      <w:r w:rsidR="00D618F8">
        <w:t>a</w:t>
      </w:r>
      <w:r>
        <w:t xml:space="preserve">ssay </w:t>
      </w:r>
      <w:r w:rsidR="00D618F8">
        <w:t>b</w:t>
      </w:r>
      <w:r>
        <w:t xml:space="preserve">uffer was added into the appropriate wells. Plates were incubated for approximately 1 hour at room temperature and then washed 3 times. After washing, 150 µL of Read Buffer T with Surfactant </w:t>
      </w:r>
      <w:r w:rsidR="00D618F8">
        <w:t xml:space="preserve">(Meso Scale Discovery) </w:t>
      </w:r>
      <w:r>
        <w:t>was added into each well, and plates were processed using the Meso Scale Discovery MESO SECTOR S 600; the results were analyzed using Discovery WORKBENCH® Software 4.0.12.1. A human IgG4 antibody directed to RSV was used as a negative control antibody</w:t>
      </w:r>
      <w:r w:rsidR="007D11EE">
        <w:t xml:space="preserve"> (</w:t>
      </w:r>
      <w:r w:rsidR="00191B29">
        <w:t>MSD</w:t>
      </w:r>
      <w:r w:rsidR="007D11EE">
        <w:t>)</w:t>
      </w:r>
      <w:r>
        <w:t xml:space="preserve">. Commercially available antibodies </w:t>
      </w:r>
      <w:r w:rsidR="007D11EE">
        <w:t xml:space="preserve">(R&amp;D Systems) </w:t>
      </w:r>
      <w:r>
        <w:t>directed to CD28, CTLA-4, or ICOS were used as positive control antibodies. Experiments were conducted 3 times in duplicate</w:t>
      </w:r>
      <w:r w:rsidRPr="00DD0126">
        <w:t xml:space="preserve">. </w:t>
      </w:r>
      <w:r w:rsidR="00DD0126" w:rsidRPr="00DD0126">
        <w:t>Statistical analyses were performed using Prism software (GraphPad)</w:t>
      </w:r>
      <w:r w:rsidR="00DD0126">
        <w:t>.</w:t>
      </w:r>
    </w:p>
    <w:p w14:paraId="3E722C95" w14:textId="32ECC82A" w:rsidR="00587D2F" w:rsidRDefault="00AA1DE7" w:rsidP="0069449D">
      <w:pPr>
        <w:pStyle w:val="Paragraph"/>
        <w:spacing w:line="480" w:lineRule="auto"/>
      </w:pPr>
      <w:bookmarkStart w:id="0" w:name="_Hlk34047821"/>
      <w:r>
        <w:lastRenderedPageBreak/>
        <w:t xml:space="preserve">Supplementary </w:t>
      </w:r>
      <w:r w:rsidR="00A01090">
        <w:t xml:space="preserve">Data </w:t>
      </w:r>
      <w:r>
        <w:t xml:space="preserve">Figure S1 </w:t>
      </w:r>
      <w:bookmarkEnd w:id="0"/>
      <w:r>
        <w:t>shows that p</w:t>
      </w:r>
      <w:r w:rsidR="000C658E">
        <w:t>embrolizum</w:t>
      </w:r>
      <w:r w:rsidR="000C658E" w:rsidRPr="00A6197D">
        <w:t>ab does not bind to immunoglobulin superfamily members human CD28, human CTLA-4, or human ICOS.</w:t>
      </w:r>
    </w:p>
    <w:p w14:paraId="60D59584" w14:textId="66B5F0B5" w:rsidR="00DE42E1" w:rsidRPr="00DE42E1" w:rsidRDefault="00DE42E1" w:rsidP="00DE42E1">
      <w:pPr>
        <w:pStyle w:val="Heading2Unnumbered"/>
        <w:spacing w:line="480" w:lineRule="auto"/>
      </w:pPr>
      <w:r>
        <w:t>In Vitro Activity Assays</w:t>
      </w:r>
    </w:p>
    <w:p w14:paraId="4A177ACD" w14:textId="288E1BEB" w:rsidR="00472973" w:rsidRDefault="00C62B72" w:rsidP="008B0BCD">
      <w:pPr>
        <w:pStyle w:val="Paragraph"/>
        <w:spacing w:line="480" w:lineRule="auto"/>
      </w:pPr>
      <w:r>
        <w:rPr>
          <w:i/>
          <w:iCs/>
        </w:rPr>
        <w:t>Activity on primary T cell clone</w:t>
      </w:r>
      <w:r>
        <w:rPr>
          <w:rStyle w:val="CommentReference"/>
        </w:rPr>
        <w:t xml:space="preserve"> </w:t>
      </w:r>
      <w:r w:rsidRPr="00F714AA">
        <w:rPr>
          <w:i/>
          <w:iCs/>
        </w:rPr>
        <w:t>BC4-49</w:t>
      </w:r>
      <w:r w:rsidR="00C75A72">
        <w:rPr>
          <w:i/>
          <w:iCs/>
        </w:rPr>
        <w:t xml:space="preserve"> (T cell clone co-culture assay)</w:t>
      </w:r>
      <w:r w:rsidRPr="00F714AA">
        <w:t>.</w:t>
      </w:r>
      <w:r>
        <w:t xml:space="preserve"> </w:t>
      </w:r>
      <w:r w:rsidR="008B015E">
        <w:t xml:space="preserve">This section contains additional detail for the methods used for the T cell clone co-culture assay. </w:t>
      </w:r>
      <w:r w:rsidRPr="00F714AA">
        <w:t>Human CD4</w:t>
      </w:r>
      <w:r w:rsidRPr="00F714AA">
        <w:rPr>
          <w:vertAlign w:val="superscript"/>
        </w:rPr>
        <w:t>+</w:t>
      </w:r>
      <w:r w:rsidRPr="00F714AA">
        <w:t>, HLA-DR alloantigen-specific T cell clone BC4-49 was generated from PBMCs of a healthy donor following two rounds of primin</w:t>
      </w:r>
      <w:r w:rsidRPr="00F714AA">
        <w:rPr>
          <w:color w:val="000000" w:themeColor="text1"/>
        </w:rPr>
        <w:t xml:space="preserve">g with </w:t>
      </w:r>
      <w:hyperlink r:id="rId12" w:tooltip="Epstein–Barr virus" w:history="1">
        <w:r w:rsidRPr="00F714AA">
          <w:rPr>
            <w:rStyle w:val="Hyperlink"/>
            <w:color w:val="000000" w:themeColor="text1"/>
            <w:shd w:val="clear" w:color="auto" w:fill="FFFFFF"/>
          </w:rPr>
          <w:t>Epstein–Barr virus</w:t>
        </w:r>
      </w:hyperlink>
      <w:r w:rsidRPr="00F714AA">
        <w:rPr>
          <w:color w:val="000000" w:themeColor="text1"/>
          <w:shd w:val="clear" w:color="auto" w:fill="FFFFFF"/>
        </w:rPr>
        <w:t xml:space="preserve">-immortalized </w:t>
      </w:r>
      <w:hyperlink r:id="rId13" w:tooltip="B cell" w:history="1">
        <w:r w:rsidRPr="00F714AA">
          <w:rPr>
            <w:rStyle w:val="Hyperlink"/>
            <w:color w:val="000000" w:themeColor="text1"/>
            <w:shd w:val="clear" w:color="auto" w:fill="FFFFFF"/>
          </w:rPr>
          <w:t>B cell</w:t>
        </w:r>
      </w:hyperlink>
      <w:r w:rsidRPr="00F714AA">
        <w:rPr>
          <w:color w:val="000000" w:themeColor="text1"/>
          <w:shd w:val="clear" w:color="auto" w:fill="FFFFFF"/>
        </w:rPr>
        <w:t xml:space="preserve"> </w:t>
      </w:r>
      <w:r w:rsidRPr="00A83086">
        <w:rPr>
          <w:color w:val="000000" w:themeColor="text1"/>
          <w:shd w:val="clear" w:color="auto" w:fill="FFFFFF"/>
        </w:rPr>
        <w:t>lym</w:t>
      </w:r>
      <w:r w:rsidRPr="00A83086">
        <w:rPr>
          <w:color w:val="222222"/>
          <w:shd w:val="clear" w:color="auto" w:fill="FFFFFF"/>
        </w:rPr>
        <w:t>phoblastoid</w:t>
      </w:r>
      <w:r w:rsidRPr="00A83086">
        <w:t xml:space="preserve"> JY cells</w:t>
      </w:r>
      <w:r w:rsidRPr="00F714AA">
        <w:t xml:space="preserve"> (</w:t>
      </w:r>
      <w:r w:rsidR="003C50C5">
        <w:t xml:space="preserve">gift from Gilbert M </w:t>
      </w:r>
      <w:r w:rsidR="003C50C5" w:rsidRPr="004222DD">
        <w:t>Lenoir</w:t>
      </w:r>
      <w:r>
        <w:t>;</w:t>
      </w:r>
      <w:bookmarkStart w:id="1" w:name="_ITBL_50"/>
      <w:r w:rsidR="006B1559">
        <w:t xml:space="preserve"> </w:t>
      </w:r>
      <w:r w:rsidR="002C6DDE">
        <w:fldChar w:fldCharType="begin"/>
      </w:r>
      <w:r w:rsidR="002C6DDE">
        <w:instrText xml:space="preserve"> REF _Ref12282393 \r \h </w:instrText>
      </w:r>
      <w:r w:rsidR="002C6DDE">
        <w:fldChar w:fldCharType="separate"/>
      </w:r>
      <w:r w:rsidR="0058529E">
        <w:t>48</w:t>
      </w:r>
      <w:r w:rsidR="002C6DDE">
        <w:fldChar w:fldCharType="end"/>
      </w:r>
      <w:bookmarkEnd w:id="1"/>
      <w:r w:rsidRPr="009F329E">
        <w:t>) a</w:t>
      </w:r>
      <w:r w:rsidRPr="00F714AA">
        <w:t>nd subsequent cloning by limited dilution (</w:t>
      </w:r>
      <w:bookmarkStart w:id="2" w:name="_ITBL_51"/>
      <w:r w:rsidR="002C6DDE">
        <w:fldChar w:fldCharType="begin"/>
      </w:r>
      <w:r w:rsidR="002C6DDE">
        <w:instrText xml:space="preserve"> REF _Ref12282407 \r \h </w:instrText>
      </w:r>
      <w:r w:rsidR="002C6DDE">
        <w:fldChar w:fldCharType="separate"/>
      </w:r>
      <w:r w:rsidR="0058529E">
        <w:t>49</w:t>
      </w:r>
      <w:r w:rsidR="002C6DDE">
        <w:fldChar w:fldCharType="end"/>
      </w:r>
      <w:bookmarkEnd w:id="2"/>
      <w:r w:rsidRPr="00F714AA">
        <w:t xml:space="preserve">). </w:t>
      </w:r>
      <w:r w:rsidR="00644B96">
        <w:t xml:space="preserve">PBMCs were </w:t>
      </w:r>
      <w:r w:rsidR="00CF6BA6">
        <w:t>purchased from Stanford Blood Center (Stanford University School of Medicine</w:t>
      </w:r>
      <w:r w:rsidR="00D07924">
        <w:t>, Palo Alto, CA</w:t>
      </w:r>
      <w:r w:rsidR="00644B96">
        <w:t xml:space="preserve">). </w:t>
      </w:r>
      <w:r w:rsidRPr="00F714AA">
        <w:t>JY-PD</w:t>
      </w:r>
      <w:r w:rsidR="00AE6D7C">
        <w:t>-</w:t>
      </w:r>
      <w:r w:rsidRPr="00F714AA">
        <w:t>L1 c</w:t>
      </w:r>
      <w:r>
        <w:t xml:space="preserve">lone 6 was generated by infection of wild-type JY cells with a lentivirus vector pLX-301 encoding human PD-L1 (Millipore Sigma, Saint Louis, MI) in the presence of SureENTRY Transduction Reagent (Qiagen Sciences, MD) for 24 hours followed by selection in 0.2 µg/mL puromycin (Gibco by Life technologies, Grand Island, NY). Puromycin-resistant clone 6 was selected based on high cell surface PD-L1 expression as assessed by flow cytometry. </w:t>
      </w:r>
      <w:bookmarkStart w:id="3" w:name="_Hlk24448885"/>
      <w:bookmarkStart w:id="4" w:name="_Hlk24385661"/>
      <w:r w:rsidR="003C50C5" w:rsidRPr="00A6197D">
        <w:t>BC4-49</w:t>
      </w:r>
      <w:r w:rsidR="003C50C5">
        <w:t>, JY-PD-L1, and JY cells were negative for mycoplasma (last tested FEB-2018).</w:t>
      </w:r>
      <w:bookmarkEnd w:id="3"/>
      <w:r w:rsidR="003C50C5">
        <w:t xml:space="preserve"> </w:t>
      </w:r>
      <w:r w:rsidR="003C50C5" w:rsidRPr="00460C18">
        <w:t>Cell line authentication was not conducted.</w:t>
      </w:r>
      <w:bookmarkEnd w:id="4"/>
    </w:p>
    <w:p w14:paraId="6ABF79D7" w14:textId="7A3B292F" w:rsidR="00C62B72" w:rsidRDefault="00C62B72" w:rsidP="008B0BCD">
      <w:pPr>
        <w:pStyle w:val="Paragraph"/>
        <w:spacing w:line="480" w:lineRule="auto"/>
      </w:pPr>
      <w:r>
        <w:t xml:space="preserve">For the </w:t>
      </w:r>
      <w:r w:rsidR="002210FB">
        <w:t xml:space="preserve">T cell clone coculture </w:t>
      </w:r>
      <w:r>
        <w:t xml:space="preserve">activity assay, </w:t>
      </w:r>
      <w:r w:rsidRPr="00F714AA">
        <w:t>BC4-49</w:t>
      </w:r>
      <w:r>
        <w:t xml:space="preserve"> T cells were harvested on day 7 after antigen re-stimulation, washed twice with PBS, 2 mM EDTA and resuspended as</w:t>
      </w:r>
      <w:r>
        <w:rPr>
          <w:color w:val="1F497D" w:themeColor="dark2"/>
        </w:rPr>
        <w:t xml:space="preserve"> </w:t>
      </w:r>
      <w:r>
        <w:t xml:space="preserve">a single cell suspension in Yssel’s medium (Gemini Bioproducts, Sacramento, CA). Test antibodies were 5-fold serially titrated in Yssel’s medium starting from 40 µg/mL. The </w:t>
      </w:r>
      <w:r w:rsidRPr="00F714AA">
        <w:t>BC4-49</w:t>
      </w:r>
      <w:r>
        <w:t xml:space="preserve"> </w:t>
      </w:r>
      <w:r w:rsidRPr="009A52E4">
        <w:t xml:space="preserve">T cell suspension </w:t>
      </w:r>
      <w:r>
        <w:t xml:space="preserve">was added </w:t>
      </w:r>
      <w:r w:rsidRPr="009A52E4">
        <w:t>at a density of 2 × 10</w:t>
      </w:r>
      <w:r w:rsidRPr="009A52E4">
        <w:rPr>
          <w:vertAlign w:val="superscript"/>
        </w:rPr>
        <w:t>4</w:t>
      </w:r>
      <w:r w:rsidRPr="009A52E4">
        <w:t xml:space="preserve"> cells in 50</w:t>
      </w:r>
      <w:r w:rsidR="00AE6D7C">
        <w:t> </w:t>
      </w:r>
      <w:r w:rsidRPr="009A52E4">
        <w:t>µL per well into wells containing</w:t>
      </w:r>
      <w:r>
        <w:t xml:space="preserve"> </w:t>
      </w:r>
      <w:r w:rsidRPr="009A52E4">
        <w:lastRenderedPageBreak/>
        <w:t>100 µL of titrated antibod</w:t>
      </w:r>
      <w:r>
        <w:t>y</w:t>
      </w:r>
      <w:r w:rsidRPr="009A52E4">
        <w:t xml:space="preserve"> in 96</w:t>
      </w:r>
      <w:r>
        <w:t xml:space="preserve"> well U bottom tissue culture plates. </w:t>
      </w:r>
      <w:r w:rsidRPr="009A52E4">
        <w:t xml:space="preserve">The antibody/T cell mixture was pre-incubated for 1 hour in an </w:t>
      </w:r>
      <w:r>
        <w:t>incubator at 37°C with 5% CO2. JY and JY-PD</w:t>
      </w:r>
      <w:r w:rsidR="00AE6D7C">
        <w:t>-</w:t>
      </w:r>
      <w:r>
        <w:t>L1 cells were irradiated in a gamma irradiator at a dose of 50</w:t>
      </w:r>
      <w:r w:rsidR="00EA5E52">
        <w:t>0</w:t>
      </w:r>
      <w:r>
        <w:t>0 Gy, washed twice with PBS</w:t>
      </w:r>
      <w:r w:rsidR="002210FB">
        <w:t xml:space="preserve">, </w:t>
      </w:r>
      <w:r>
        <w:t xml:space="preserve">2 mM EDTA, and then resuspended with Yssel’s medium and filtered through a 40 µm cell strainer (Becton-Dickinson, San Jose, CA) before plating. </w:t>
      </w:r>
      <w:r w:rsidR="002210FB">
        <w:t>The</w:t>
      </w:r>
      <w:r>
        <w:t xml:space="preserve"> JY cell suspension </w:t>
      </w:r>
      <w:r w:rsidR="002210FB">
        <w:t>(1</w:t>
      </w:r>
      <w:r w:rsidR="002210FB" w:rsidRPr="009A52E4">
        <w:t xml:space="preserve"> × 10</w:t>
      </w:r>
      <w:r w:rsidR="002210FB" w:rsidRPr="009A52E4">
        <w:rPr>
          <w:vertAlign w:val="superscript"/>
        </w:rPr>
        <w:t>4</w:t>
      </w:r>
      <w:r w:rsidR="002210FB" w:rsidRPr="009A52E4">
        <w:t xml:space="preserve"> </w:t>
      </w:r>
      <w:r w:rsidR="002210FB">
        <w:t xml:space="preserve">cells per well) </w:t>
      </w:r>
      <w:r>
        <w:t xml:space="preserve">was dispensed into the pre-incubated antibody T cell mixture, </w:t>
      </w:r>
      <w:r w:rsidR="00C75A72">
        <w:t>at</w:t>
      </w:r>
      <w:r>
        <w:t xml:space="preserve"> a BC4-49 T cell to JY cell ratio of 2:1. All conditions were performed in duplicate. After a 3-day culture, 100 µL of supernatant per well was harvested for human IFNγ quantification using the Human IFN-gamma Quantikine ELISA kit (R&amp;D Systems, Minneapolis, MN).</w:t>
      </w:r>
      <w:r w:rsidR="00DD0126">
        <w:t xml:space="preserve"> </w:t>
      </w:r>
      <w:r w:rsidR="00DD0126" w:rsidRPr="00DD0126">
        <w:t>Statistical analyses were performed using Prism software (GraphPad)</w:t>
      </w:r>
      <w:r w:rsidR="00DD0126">
        <w:t>.</w:t>
      </w:r>
    </w:p>
    <w:p w14:paraId="4317AA31" w14:textId="303A6C7F" w:rsidR="00E11841" w:rsidRDefault="00E11841" w:rsidP="00E11841">
      <w:pPr>
        <w:pStyle w:val="Heading2Unnumbered"/>
        <w:spacing w:line="480" w:lineRule="auto"/>
      </w:pPr>
      <w:r>
        <w:t>Assessment of cytokine release</w:t>
      </w:r>
      <w:r w:rsidR="009C45E4">
        <w:t xml:space="preserve"> induced by pembrolizumab</w:t>
      </w:r>
    </w:p>
    <w:p w14:paraId="180E34FA" w14:textId="5D456D43" w:rsidR="009C45E4" w:rsidRDefault="009C45E4" w:rsidP="00E11841">
      <w:pPr>
        <w:pStyle w:val="Paragraph"/>
        <w:spacing w:line="480" w:lineRule="auto"/>
      </w:pPr>
      <w:r>
        <w:t>T</w:t>
      </w:r>
      <w:r w:rsidRPr="009C45E4">
        <w:t xml:space="preserve">he cytokine levels induced by pembrolizumab </w:t>
      </w:r>
      <w:r>
        <w:t>were assessed using PBMCs and mobilized antibodies and using whole blood in solution.</w:t>
      </w:r>
    </w:p>
    <w:p w14:paraId="7DE8E061" w14:textId="3D35B753" w:rsidR="00E11841" w:rsidRDefault="00E11841" w:rsidP="00E11841">
      <w:pPr>
        <w:pStyle w:val="Paragraph"/>
        <w:spacing w:line="480" w:lineRule="auto"/>
      </w:pPr>
      <w:r>
        <w:t>PBMCs</w:t>
      </w:r>
      <w:r w:rsidRPr="007C52A9">
        <w:t xml:space="preserve"> were isolated from </w:t>
      </w:r>
      <w:r w:rsidR="00212E32">
        <w:t xml:space="preserve">heparinized whole blood obtained from </w:t>
      </w:r>
      <w:r>
        <w:t>8</w:t>
      </w:r>
      <w:r w:rsidRPr="007C52A9">
        <w:t xml:space="preserve"> healthy </w:t>
      </w:r>
      <w:r>
        <w:t>human donors</w:t>
      </w:r>
      <w:r w:rsidRPr="007C52A9">
        <w:t xml:space="preserve"> </w:t>
      </w:r>
      <w:r>
        <w:t xml:space="preserve">through the </w:t>
      </w:r>
      <w:r w:rsidR="00FF5CDE">
        <w:t>MVD (</w:t>
      </w:r>
      <w:r w:rsidR="00FF5CDE" w:rsidRPr="006E2548">
        <w:t>Western Institutional Review Board</w:t>
      </w:r>
      <w:r w:rsidR="00FF5CDE" w:rsidRPr="000B29B2">
        <w:rPr>
          <w:vertAlign w:val="superscript"/>
        </w:rPr>
        <w:t>®</w:t>
      </w:r>
      <w:r w:rsidR="00FF5CDE">
        <w:t xml:space="preserve"> Protocol 20121234)</w:t>
      </w:r>
      <w:r w:rsidR="00A01090">
        <w:t xml:space="preserve"> under written informed consent</w:t>
      </w:r>
      <w:r w:rsidR="00212E32">
        <w:t xml:space="preserve">. </w:t>
      </w:r>
      <w:r w:rsidR="00D04134">
        <w:t>Pembrolizumab</w:t>
      </w:r>
      <w:r w:rsidR="00212E32">
        <w:t xml:space="preserve"> and</w:t>
      </w:r>
      <w:r w:rsidR="00212E32" w:rsidRPr="00212E32">
        <w:t xml:space="preserve"> control </w:t>
      </w:r>
      <w:r w:rsidR="00212E32">
        <w:t>antibodies</w:t>
      </w:r>
      <w:r w:rsidR="00212E32" w:rsidRPr="00212E32">
        <w:t xml:space="preserve"> were immobilized by coating 50 µL </w:t>
      </w:r>
      <w:r w:rsidR="009C45E4">
        <w:t xml:space="preserve">at </w:t>
      </w:r>
      <w:r w:rsidR="009C45E4" w:rsidRPr="007C52A9">
        <w:t>0.1 to 1,000 µg/mL</w:t>
      </w:r>
      <w:r w:rsidR="009C45E4" w:rsidRPr="00212E32">
        <w:t xml:space="preserve"> </w:t>
      </w:r>
      <w:r w:rsidR="00212E32" w:rsidRPr="00212E32">
        <w:t>onto the walls of wells of 96-well polypropylene plates</w:t>
      </w:r>
      <w:r w:rsidR="009C45E4">
        <w:t>,</w:t>
      </w:r>
      <w:r w:rsidR="009C45E4" w:rsidRPr="00212E32">
        <w:t xml:space="preserve"> </w:t>
      </w:r>
      <w:r w:rsidR="00212E32" w:rsidRPr="00212E32">
        <w:t xml:space="preserve">and then air-drying overnight. </w:t>
      </w:r>
      <w:r w:rsidR="00D04134">
        <w:t>C</w:t>
      </w:r>
      <w:r w:rsidR="00D04134" w:rsidRPr="00D04134">
        <w:t xml:space="preserve">oated plates were washed 5 times with 200 µL sterile DPBS to remove the salt crystals and unbound </w:t>
      </w:r>
      <w:r w:rsidR="00D04134">
        <w:t>antibody</w:t>
      </w:r>
      <w:r w:rsidR="00D04134" w:rsidRPr="00D04134">
        <w:t xml:space="preserve">. </w:t>
      </w:r>
      <w:r w:rsidR="00D04134">
        <w:t>Antibody concentrations</w:t>
      </w:r>
      <w:r w:rsidR="00D04134" w:rsidRPr="00D04134">
        <w:t xml:space="preserve"> cited </w:t>
      </w:r>
      <w:r w:rsidR="009C45E4">
        <w:t xml:space="preserve">in data tables </w:t>
      </w:r>
      <w:r w:rsidR="00CE1525">
        <w:t>assume</w:t>
      </w:r>
      <w:r w:rsidR="00D04134" w:rsidRPr="00D04134">
        <w:t xml:space="preserve"> 100% binding and, therefore, should be considered estimates of concentration. </w:t>
      </w:r>
      <w:r w:rsidR="00D04134">
        <w:t>PBMCs</w:t>
      </w:r>
      <w:r w:rsidR="00D04134" w:rsidRPr="00D04134">
        <w:t xml:space="preserve"> (200,000 cells/well) were incubated for 24 hours at 37°C with 5% CO</w:t>
      </w:r>
      <w:r w:rsidR="00D04134" w:rsidRPr="00D04134">
        <w:rPr>
          <w:vertAlign w:val="subscript"/>
        </w:rPr>
        <w:t>2</w:t>
      </w:r>
      <w:r w:rsidR="00D04134" w:rsidRPr="00D04134">
        <w:t xml:space="preserve"> in the coated wells containing 200 µL of culture medium and 2% subject-specific plasma. After incubation </w:t>
      </w:r>
      <w:r w:rsidR="00D04134" w:rsidRPr="00D04134">
        <w:lastRenderedPageBreak/>
        <w:t xml:space="preserve">for 24 hours, cell-conditioned medium was </w:t>
      </w:r>
      <w:r w:rsidR="00D04134">
        <w:t xml:space="preserve">collected, and analyzed for </w:t>
      </w:r>
      <w:r w:rsidR="00286B05" w:rsidRPr="00A6197D">
        <w:t>IFNγ</w:t>
      </w:r>
      <w:r w:rsidR="00D04134" w:rsidRPr="007C52A9">
        <w:t>, IL-10, IL-12</w:t>
      </w:r>
      <w:r w:rsidR="00D04134">
        <w:t xml:space="preserve"> </w:t>
      </w:r>
      <w:r w:rsidR="00D04134" w:rsidRPr="007C52A9">
        <w:t xml:space="preserve">p70, IL-1β, </w:t>
      </w:r>
      <w:r w:rsidR="00D04134">
        <w:t>IL</w:t>
      </w:r>
      <w:r w:rsidR="00D04134">
        <w:noBreakHyphen/>
        <w:t xml:space="preserve">2, </w:t>
      </w:r>
      <w:r w:rsidR="00D04134" w:rsidRPr="007C52A9">
        <w:t xml:space="preserve">IL-6, IL-8, </w:t>
      </w:r>
      <w:r w:rsidR="00D04134">
        <w:t xml:space="preserve">and </w:t>
      </w:r>
      <w:r w:rsidR="00D04134" w:rsidRPr="007C52A9">
        <w:t>TNF</w:t>
      </w:r>
      <w:r w:rsidR="00D04134">
        <w:t>-</w:t>
      </w:r>
      <w:r w:rsidR="00D04134" w:rsidRPr="007C52A9">
        <w:t>α</w:t>
      </w:r>
      <w:r>
        <w:t xml:space="preserve"> </w:t>
      </w:r>
      <w:r w:rsidRPr="00F355FB">
        <w:t xml:space="preserve">using the </w:t>
      </w:r>
      <w:r>
        <w:t>Meso Scale Discovery</w:t>
      </w:r>
      <w:r w:rsidRPr="00F355FB">
        <w:t xml:space="preserve"> Human Proinflammatory Panel 1 V-PLEX kit</w:t>
      </w:r>
      <w:r w:rsidR="00D04134">
        <w:t xml:space="preserve"> </w:t>
      </w:r>
      <w:r w:rsidR="009C45E4">
        <w:t xml:space="preserve">after diluting 4-fold using Diluent 2, </w:t>
      </w:r>
      <w:r w:rsidR="00D04134">
        <w:t>per the manufacturer’s instructions</w:t>
      </w:r>
      <w:r w:rsidRPr="007C52A9">
        <w:t>.</w:t>
      </w:r>
    </w:p>
    <w:p w14:paraId="69F4ED7C" w14:textId="50C6B2DC" w:rsidR="00E11841" w:rsidRDefault="00E11841" w:rsidP="00E11841">
      <w:pPr>
        <w:pStyle w:val="Paragraph"/>
        <w:spacing w:line="480" w:lineRule="auto"/>
      </w:pPr>
      <w:r w:rsidRPr="00C75A72">
        <w:t xml:space="preserve">The whole blood in vitro cytokine release assay was conducted using blood from 8 human donors </w:t>
      </w:r>
      <w:r>
        <w:t xml:space="preserve">through the </w:t>
      </w:r>
      <w:r w:rsidR="00FF5CDE">
        <w:t>MVD (</w:t>
      </w:r>
      <w:r w:rsidR="00FF5CDE" w:rsidRPr="006E2548">
        <w:t>Western Institutional Review Board</w:t>
      </w:r>
      <w:r w:rsidR="00FF5CDE" w:rsidRPr="000B29B2">
        <w:rPr>
          <w:vertAlign w:val="superscript"/>
        </w:rPr>
        <w:t>®</w:t>
      </w:r>
      <w:r w:rsidR="00FF5CDE">
        <w:t xml:space="preserve"> Protocol 20121234)</w:t>
      </w:r>
      <w:r w:rsidR="00A01090">
        <w:t xml:space="preserve"> under written informed consent</w:t>
      </w:r>
      <w:r w:rsidR="00FF5CDE">
        <w:t xml:space="preserve"> </w:t>
      </w:r>
      <w:r w:rsidRPr="00C75A72">
        <w:t xml:space="preserve">with similar incubation period and </w:t>
      </w:r>
      <w:r>
        <w:t>antibody</w:t>
      </w:r>
      <w:r w:rsidRPr="00C75A72">
        <w:t xml:space="preserve"> concentrations as in the PBMC assay</w:t>
      </w:r>
      <w:r>
        <w:t>, but with</w:t>
      </w:r>
      <w:r w:rsidRPr="00C75A72">
        <w:t xml:space="preserve"> </w:t>
      </w:r>
      <w:r>
        <w:t>antibodies</w:t>
      </w:r>
      <w:r w:rsidRPr="00C75A72">
        <w:t xml:space="preserve"> in solution phas</w:t>
      </w:r>
      <w:r>
        <w:t>e. Heparinized w</w:t>
      </w:r>
      <w:r w:rsidRPr="007C52A9">
        <w:t>hole blood was gently mixed and aliquoted into a 96-wel</w:t>
      </w:r>
      <w:r>
        <w:t>l V</w:t>
      </w:r>
      <w:r>
        <w:noBreakHyphen/>
        <w:t xml:space="preserve">bottom 2 mL deep-well plates </w:t>
      </w:r>
      <w:r w:rsidRPr="007C52A9">
        <w:t xml:space="preserve">at 450 µL per well. </w:t>
      </w:r>
      <w:r>
        <w:t>Dilutions of t</w:t>
      </w:r>
      <w:r w:rsidRPr="007C52A9">
        <w:t xml:space="preserve">est </w:t>
      </w:r>
      <w:r>
        <w:t>and control antibodies</w:t>
      </w:r>
      <w:r w:rsidRPr="007C52A9">
        <w:t xml:space="preserve"> were adjusted with Dulbecco's phosphate</w:t>
      </w:r>
      <w:r>
        <w:t>-</w:t>
      </w:r>
      <w:r w:rsidRPr="007C52A9">
        <w:t>buffered saline (DPBS) such that a</w:t>
      </w:r>
      <w:r>
        <w:t xml:space="preserve"> 50 µL volume added to the 450 µ</w:t>
      </w:r>
      <w:r w:rsidRPr="007C52A9">
        <w:t>L aliquot of whole blood yield</w:t>
      </w:r>
      <w:r>
        <w:t>ed</w:t>
      </w:r>
      <w:r w:rsidRPr="007C52A9">
        <w:t xml:space="preserve"> final </w:t>
      </w:r>
      <w:r>
        <w:t xml:space="preserve">antibody </w:t>
      </w:r>
      <w:r w:rsidRPr="007C52A9">
        <w:t xml:space="preserve">concentrations ranging from 0.1 to 1,000 µg/mL. </w:t>
      </w:r>
      <w:r>
        <w:t>A</w:t>
      </w:r>
      <w:r w:rsidRPr="007C52A9">
        <w:t xml:space="preserve">fter addition of </w:t>
      </w:r>
      <w:r>
        <w:t>antibodies, w</w:t>
      </w:r>
      <w:r w:rsidRPr="007C52A9">
        <w:t>hole blood was gently mixed with a pipette</w:t>
      </w:r>
      <w:r>
        <w:t xml:space="preserve"> and </w:t>
      </w:r>
      <w:r w:rsidRPr="007C52A9">
        <w:t>incubated for 24 hours at 37</w:t>
      </w:r>
      <w:r>
        <w:t>°</w:t>
      </w:r>
      <w:r w:rsidRPr="007C52A9">
        <w:t>C with 5% CO</w:t>
      </w:r>
      <w:r w:rsidRPr="00487FE8">
        <w:rPr>
          <w:vertAlign w:val="subscript"/>
        </w:rPr>
        <w:t>2</w:t>
      </w:r>
      <w:r>
        <w:t>.</w:t>
      </w:r>
      <w:r w:rsidRPr="007C52A9">
        <w:t xml:space="preserve"> </w:t>
      </w:r>
      <w:r>
        <w:t>Following incubation, p</w:t>
      </w:r>
      <w:r w:rsidRPr="007C52A9">
        <w:t xml:space="preserve">lasma was harvested after centrifugation for 15 minutes at 2,000 </w:t>
      </w:r>
      <w:r>
        <w:t xml:space="preserve">× </w:t>
      </w:r>
      <w:r w:rsidRPr="007C52A9">
        <w:t>g at 4</w:t>
      </w:r>
      <w:r>
        <w:t>°</w:t>
      </w:r>
      <w:r w:rsidRPr="007C52A9">
        <w:t>C</w:t>
      </w:r>
      <w:r>
        <w:t>,</w:t>
      </w:r>
      <w:r w:rsidRPr="007C52A9">
        <w:t xml:space="preserve"> transferred </w:t>
      </w:r>
      <w:r>
        <w:t>in</w:t>
      </w:r>
      <w:r w:rsidRPr="007C52A9">
        <w:t>to a non</w:t>
      </w:r>
      <w:r>
        <w:t>-</w:t>
      </w:r>
      <w:r w:rsidRPr="007C52A9">
        <w:t>binding 96-well plate</w:t>
      </w:r>
      <w:r>
        <w:t xml:space="preserve">. </w:t>
      </w:r>
      <w:r w:rsidRPr="00F355FB">
        <w:t xml:space="preserve">Cytokine levels in plasma recovered from whole blood incubated with test and control </w:t>
      </w:r>
      <w:r w:rsidR="00CE1525">
        <w:t>antibodies</w:t>
      </w:r>
      <w:r w:rsidRPr="00F355FB">
        <w:t xml:space="preserve"> were measured using </w:t>
      </w:r>
      <w:r>
        <w:t>Meso Scale Discovery</w:t>
      </w:r>
      <w:r w:rsidRPr="00976FA4">
        <w:t xml:space="preserve"> Human Proinflammatory Panel 1 V-PLEX kit</w:t>
      </w:r>
      <w:r>
        <w:t xml:space="preserve"> with samples </w:t>
      </w:r>
      <w:r w:rsidRPr="00976FA4">
        <w:t>processed following the manufacturer's protocol. Briefly, 25 µL of Diluent 2 was added to the wells just prior to the addition of an equal volume of plasma sample (25 µL). The plate was incubated for 2 hours w</w:t>
      </w:r>
      <w:r w:rsidR="00212E32">
        <w:t>ith gentle agitation</w:t>
      </w:r>
      <w:r w:rsidRPr="00976FA4">
        <w:t xml:space="preserve">. Wells were washed 6 times with Wash Buffer, after which 25 µL of Detection Antibody was added into each well. The plate was incubated for 2 </w:t>
      </w:r>
      <w:r w:rsidR="00212E32">
        <w:t xml:space="preserve">with gentle agitation prior to washing plates </w:t>
      </w:r>
      <w:r w:rsidRPr="00976FA4">
        <w:t>6 times with Wash Buffer</w:t>
      </w:r>
      <w:r w:rsidR="00212E32">
        <w:t xml:space="preserve">. This was followed by </w:t>
      </w:r>
      <w:r w:rsidR="00212E32">
        <w:lastRenderedPageBreak/>
        <w:t>addition of</w:t>
      </w:r>
      <w:r w:rsidRPr="00976FA4">
        <w:t xml:space="preserve"> 150 µL of 2× Reading Buffer into each well</w:t>
      </w:r>
      <w:r w:rsidR="00212E32">
        <w:t>.</w:t>
      </w:r>
      <w:r w:rsidRPr="00976FA4">
        <w:t xml:space="preserve"> </w:t>
      </w:r>
      <w:r w:rsidR="00212E32">
        <w:t>Plates were</w:t>
      </w:r>
      <w:r w:rsidRPr="00976FA4">
        <w:t xml:space="preserve"> read </w:t>
      </w:r>
      <w:r w:rsidR="00212E32">
        <w:t>using</w:t>
      </w:r>
      <w:r w:rsidRPr="00976FA4">
        <w:t xml:space="preserve"> a </w:t>
      </w:r>
      <w:r w:rsidR="00212E32">
        <w:t>Meso Scale Discovery</w:t>
      </w:r>
      <w:r w:rsidRPr="00976FA4">
        <w:t xml:space="preserve"> plate reader (SECTOR imager SI6000).</w:t>
      </w:r>
    </w:p>
    <w:p w14:paraId="74479ED0" w14:textId="57CDF962" w:rsidR="00E11841" w:rsidRPr="007C52A9" w:rsidRDefault="00E11841" w:rsidP="00E11841">
      <w:pPr>
        <w:pStyle w:val="Paragraph"/>
        <w:spacing w:line="480" w:lineRule="auto"/>
      </w:pPr>
      <w:r>
        <w:t>In both versions of the cytokine release assay, the effects of pembrolizumab</w:t>
      </w:r>
      <w:r w:rsidRPr="007C52A9">
        <w:t xml:space="preserve"> w</w:t>
      </w:r>
      <w:r>
        <w:t>ere</w:t>
      </w:r>
      <w:r w:rsidRPr="007C52A9">
        <w:t xml:space="preserve"> compared</w:t>
      </w:r>
      <w:r>
        <w:t xml:space="preserve"> to those from the</w:t>
      </w:r>
      <w:r w:rsidRPr="007C52A9">
        <w:t xml:space="preserve"> positive control</w:t>
      </w:r>
      <w:r>
        <w:t xml:space="preserve"> antibodies, an OKT3 analog m</w:t>
      </w:r>
      <w:r w:rsidRPr="00976FA4">
        <w:t xml:space="preserve">uromonab </w:t>
      </w:r>
      <w:r>
        <w:t xml:space="preserve">mouse IgG2a (eBioscience), an analog of </w:t>
      </w:r>
      <w:r w:rsidRPr="00976FA4">
        <w:t>TGN1412</w:t>
      </w:r>
      <w:r>
        <w:t xml:space="preserve"> generated from patent sequences</w:t>
      </w:r>
      <w:r w:rsidRPr="00976FA4">
        <w:t xml:space="preserve"> </w:t>
      </w:r>
      <w:r>
        <w:t>(M</w:t>
      </w:r>
      <w:r w:rsidR="00191B29">
        <w:t>SD</w:t>
      </w:r>
      <w:r>
        <w:t xml:space="preserve">), </w:t>
      </w:r>
      <w:r w:rsidRPr="007C52A9">
        <w:t xml:space="preserve">and </w:t>
      </w:r>
      <w:r>
        <w:t xml:space="preserve">a </w:t>
      </w:r>
      <w:r w:rsidRPr="007C52A9">
        <w:t xml:space="preserve">therapeutic </w:t>
      </w:r>
      <w:r>
        <w:t>antibody</w:t>
      </w:r>
      <w:r w:rsidRPr="007C52A9">
        <w:t xml:space="preserve"> with a known safe clinical</w:t>
      </w:r>
      <w:r>
        <w:t xml:space="preserve"> profile, Herceptin</w:t>
      </w:r>
      <w:r>
        <w:rPr>
          <w:vertAlign w:val="superscript"/>
        </w:rPr>
        <w:t>®</w:t>
      </w:r>
      <w:r>
        <w:t xml:space="preserve"> trastuzumab (Roche)</w:t>
      </w:r>
      <w:r w:rsidRPr="007C52A9">
        <w:t xml:space="preserve">. </w:t>
      </w:r>
      <w:r w:rsidR="009C45E4">
        <w:t>Six of the 8 donors were tested in both the PBMC and whole blood assays.</w:t>
      </w:r>
    </w:p>
    <w:p w14:paraId="2386374A" w14:textId="55184F7E" w:rsidR="00E11841" w:rsidRDefault="00AA1DE7" w:rsidP="008B0BCD">
      <w:pPr>
        <w:pStyle w:val="Paragraph"/>
        <w:spacing w:line="480" w:lineRule="auto"/>
      </w:pPr>
      <w:r>
        <w:t xml:space="preserve">Supplementary </w:t>
      </w:r>
      <w:r w:rsidR="00A01090">
        <w:t xml:space="preserve">Data </w:t>
      </w:r>
      <w:r>
        <w:t xml:space="preserve">Table S1 and Supplementary </w:t>
      </w:r>
      <w:r w:rsidR="00A01090">
        <w:t xml:space="preserve">Data </w:t>
      </w:r>
      <w:r>
        <w:t xml:space="preserve">Table S2 show that </w:t>
      </w:r>
      <w:r w:rsidR="009C45E4" w:rsidRPr="00A6197D">
        <w:t xml:space="preserve">the cytokine levels induced by pembrolizumab were low and comparable to those induced by </w:t>
      </w:r>
      <w:r w:rsidR="009C45E4">
        <w:t>Herceptin</w:t>
      </w:r>
      <w:r w:rsidR="009C45E4">
        <w:rPr>
          <w:vertAlign w:val="superscript"/>
        </w:rPr>
        <w:t>®</w:t>
      </w:r>
      <w:r w:rsidR="009C45E4">
        <w:t xml:space="preserve"> trastuzumab.</w:t>
      </w:r>
      <w:r>
        <w:t xml:space="preserve"> Supplementary </w:t>
      </w:r>
      <w:r w:rsidR="00A01090">
        <w:t xml:space="preserve">Data </w:t>
      </w:r>
      <w:r>
        <w:t xml:space="preserve">Table S1 shows the data from the PBMC/plate-bound antibody assay, while Supplementary </w:t>
      </w:r>
      <w:r w:rsidR="00A01090">
        <w:t xml:space="preserve">Data </w:t>
      </w:r>
      <w:r>
        <w:t>Table S2 shows the data from the whole blood/antibodies in solution assay.</w:t>
      </w:r>
    </w:p>
    <w:p w14:paraId="78B6D8DF" w14:textId="04AE92CC" w:rsidR="006847C4" w:rsidRPr="00A6197D" w:rsidRDefault="006847C4" w:rsidP="006847C4">
      <w:pPr>
        <w:pStyle w:val="Heading2Unnumbered"/>
        <w:spacing w:line="480" w:lineRule="auto"/>
        <w:rPr>
          <w:rFonts w:cs="Times New Roman"/>
          <w:szCs w:val="24"/>
        </w:rPr>
      </w:pPr>
      <w:r w:rsidRPr="00A6197D">
        <w:rPr>
          <w:rFonts w:cs="Times New Roman"/>
          <w:szCs w:val="24"/>
        </w:rPr>
        <w:t xml:space="preserve">Evaluation of </w:t>
      </w:r>
      <w:r w:rsidR="005D5B06" w:rsidRPr="008A30E3">
        <w:t>Antibody-dependent cell-mediated cytotoxicity</w:t>
      </w:r>
      <w:r w:rsidRPr="00A6197D">
        <w:rPr>
          <w:rFonts w:cs="Times New Roman"/>
          <w:szCs w:val="24"/>
        </w:rPr>
        <w:t xml:space="preserve"> and </w:t>
      </w:r>
      <w:r w:rsidR="005D5B06">
        <w:rPr>
          <w:rFonts w:cs="Times New Roman"/>
          <w:szCs w:val="24"/>
        </w:rPr>
        <w:t>Complement-dependent cytotoxicity</w:t>
      </w:r>
    </w:p>
    <w:p w14:paraId="19AAE504" w14:textId="34734AF6" w:rsidR="006847C4" w:rsidRDefault="006847C4" w:rsidP="006847C4">
      <w:pPr>
        <w:pStyle w:val="Paragraph"/>
        <w:spacing w:line="480" w:lineRule="auto"/>
      </w:pPr>
      <w:r w:rsidRPr="008A30E3">
        <w:t>Antibody-dependent cell-mediated cytotoxicity (ADCC) assays were conducted using activated human PBMC</w:t>
      </w:r>
      <w:r>
        <w:t>s</w:t>
      </w:r>
      <w:r w:rsidRPr="008A30E3">
        <w:t xml:space="preserve"> as effector cells and activated human CD4+ T cells as target cells. </w:t>
      </w:r>
      <w:r w:rsidR="00644B96">
        <w:t xml:space="preserve">PBMCs were collected through </w:t>
      </w:r>
      <w:r w:rsidR="00FF5CDE">
        <w:t xml:space="preserve">the </w:t>
      </w:r>
      <w:r w:rsidR="00644B96">
        <w:t>MVD (</w:t>
      </w:r>
      <w:r w:rsidR="00644B96" w:rsidRPr="006E2548">
        <w:t>Western Institutional Review Board</w:t>
      </w:r>
      <w:r w:rsidR="00644B96" w:rsidRPr="000B29B2">
        <w:rPr>
          <w:vertAlign w:val="superscript"/>
        </w:rPr>
        <w:t>®</w:t>
      </w:r>
      <w:r w:rsidR="00644B96">
        <w:t xml:space="preserve"> Protocol 20121234)</w:t>
      </w:r>
      <w:r w:rsidR="00A01090">
        <w:t xml:space="preserve"> and under written informed consent</w:t>
      </w:r>
      <w:r w:rsidR="00644B96">
        <w:t xml:space="preserve">. </w:t>
      </w:r>
      <w:r w:rsidRPr="008A30E3">
        <w:t>Activated target human CD4+ T cells were incubated with pembrolizumab or control antibodies for 30 minutes</w:t>
      </w:r>
      <w:r>
        <w:t xml:space="preserve"> </w:t>
      </w:r>
      <w:r w:rsidRPr="008A30E3">
        <w:t>at concentrations from 0 to 10 µg/mL. Following incubation, a cell suspension of autologous activated human PBMC</w:t>
      </w:r>
      <w:r>
        <w:t>s</w:t>
      </w:r>
      <w:r w:rsidRPr="008A30E3">
        <w:t xml:space="preserve"> was layered on the activated target human CD4+ T cells at an effector-to-target ratio of 50:1. Cells were incubated for 3 hours, and % specific lysis was determined. </w:t>
      </w:r>
    </w:p>
    <w:p w14:paraId="4C20839F" w14:textId="77777777" w:rsidR="006847C4" w:rsidRDefault="006847C4" w:rsidP="006847C4">
      <w:pPr>
        <w:pStyle w:val="Paragraph"/>
        <w:spacing w:line="480" w:lineRule="auto"/>
      </w:pPr>
      <w:r w:rsidRPr="00ED59EA">
        <w:lastRenderedPageBreak/>
        <w:t xml:space="preserve">Complement-dependent cytotoxicity (CDC) assays were conducted using activated human CD4+ T cells as target cells and human serum complement as effector molecules. Pembrolizumab and control antibodies were used at concentrations from 0.01 to 10 µg/mL. Activated target human CD4+ T cells were incubated with pembrolizumab or control antibodies for 15 minutes. Human serum complement was added to cells at a 1/6 dilution. Cells were incubated for 4 hours, and % specific lysis was determined. </w:t>
      </w:r>
    </w:p>
    <w:p w14:paraId="16665B4F" w14:textId="56B06544" w:rsidR="006847C4" w:rsidRDefault="006847C4" w:rsidP="006847C4">
      <w:pPr>
        <w:pStyle w:val="Paragraph"/>
        <w:spacing w:line="480" w:lineRule="auto"/>
      </w:pPr>
      <w:r>
        <w:t>For both the ADCC and CDC assays, a</w:t>
      </w:r>
      <w:r w:rsidRPr="008A30E3">
        <w:t xml:space="preserve"> positive control, anti-human MHC class I antibody (</w:t>
      </w:r>
      <w:r>
        <w:t>a</w:t>
      </w:r>
      <w:r w:rsidRPr="0005055C">
        <w:t>nti-</w:t>
      </w:r>
      <w:r>
        <w:t>h</w:t>
      </w:r>
      <w:r w:rsidRPr="0005055C">
        <w:t>uman HLA-ABC clone W6/32</w:t>
      </w:r>
      <w:r>
        <w:t>, a mouse IgG2a, eBioscience</w:t>
      </w:r>
      <w:r w:rsidRPr="008A30E3">
        <w:t>)</w:t>
      </w:r>
      <w:r>
        <w:t>, was included</w:t>
      </w:r>
      <w:r w:rsidRPr="008A30E3">
        <w:t xml:space="preserve">. </w:t>
      </w:r>
      <w:r>
        <w:t>The n</w:t>
      </w:r>
      <w:r w:rsidRPr="008A30E3">
        <w:t>egative control antibodies were anti-PCSK9</w:t>
      </w:r>
      <w:r>
        <w:t xml:space="preserve"> (human IgG4)</w:t>
      </w:r>
      <w:r w:rsidRPr="008A30E3">
        <w:t xml:space="preserve"> (</w:t>
      </w:r>
      <w:r>
        <w:t>Merck &amp; Co., Inc.</w:t>
      </w:r>
      <w:r w:rsidR="007E4FBC">
        <w:t>, Kenilworth, NJ USA</w:t>
      </w:r>
      <w:r w:rsidRPr="008A30E3">
        <w:t xml:space="preserve">) </w:t>
      </w:r>
      <w:r w:rsidRPr="0005055C">
        <w:t xml:space="preserve">and </w:t>
      </w:r>
      <w:r>
        <w:t>m</w:t>
      </w:r>
      <w:r w:rsidRPr="0005055C">
        <w:t xml:space="preserve">ouse IgG2a K </w:t>
      </w:r>
      <w:r>
        <w:t>i</w:t>
      </w:r>
      <w:r w:rsidRPr="0005055C">
        <w:t xml:space="preserve">sotype </w:t>
      </w:r>
      <w:r>
        <w:t>c</w:t>
      </w:r>
      <w:r w:rsidRPr="0005055C">
        <w:t>ontrol clone eBM2a (eBioscience).</w:t>
      </w:r>
      <w:r w:rsidR="00DD0126">
        <w:t xml:space="preserve"> </w:t>
      </w:r>
      <w:r w:rsidR="00DD0126" w:rsidRPr="00DD0126">
        <w:t>Statistical analyses were performed using Prism software (GraphPad)</w:t>
      </w:r>
      <w:r w:rsidR="00DD0126">
        <w:t>.</w:t>
      </w:r>
    </w:p>
    <w:p w14:paraId="767897E2" w14:textId="78BB3874" w:rsidR="008B015E" w:rsidRDefault="00AA1DE7" w:rsidP="008B015E">
      <w:pPr>
        <w:pStyle w:val="Paragraph"/>
        <w:spacing w:line="480" w:lineRule="auto"/>
      </w:pPr>
      <w:r>
        <w:t xml:space="preserve">Supplementary </w:t>
      </w:r>
      <w:r w:rsidR="00A01090">
        <w:t xml:space="preserve">Data </w:t>
      </w:r>
      <w:r>
        <w:t>Figure S2 (ADCC) and Supp</w:t>
      </w:r>
      <w:r w:rsidR="00B16FAE">
        <w:t>le</w:t>
      </w:r>
      <w:r>
        <w:t xml:space="preserve">mentary </w:t>
      </w:r>
      <w:r w:rsidR="00A01090">
        <w:t xml:space="preserve">Data </w:t>
      </w:r>
      <w:r>
        <w:t xml:space="preserve">Figure S3 (CDC) </w:t>
      </w:r>
      <w:r w:rsidR="008B015E" w:rsidRPr="00A6197D">
        <w:t>show that pembrolizumab does not exhibit ADCC nor CDC activity.</w:t>
      </w:r>
    </w:p>
    <w:p w14:paraId="7F7484F4" w14:textId="77777777" w:rsidR="00D3649D" w:rsidRPr="00A6197D" w:rsidRDefault="00D3649D" w:rsidP="00D3649D">
      <w:pPr>
        <w:pStyle w:val="Heading2Unnumbered"/>
        <w:spacing w:line="480" w:lineRule="auto"/>
        <w:rPr>
          <w:rFonts w:cs="Times New Roman"/>
          <w:szCs w:val="24"/>
        </w:rPr>
      </w:pPr>
      <w:r w:rsidRPr="00A6197D">
        <w:rPr>
          <w:rFonts w:cs="Times New Roman"/>
          <w:szCs w:val="24"/>
        </w:rPr>
        <w:t xml:space="preserve">Ex vivo analysis of </w:t>
      </w:r>
      <w:r w:rsidRPr="00447B63">
        <w:rPr>
          <w:rFonts w:cs="Times New Roman"/>
          <w:szCs w:val="24"/>
        </w:rPr>
        <w:t>antigen-specific T cell recall response to viral antigens</w:t>
      </w:r>
    </w:p>
    <w:p w14:paraId="567D3CD4" w14:textId="3246A4C4" w:rsidR="00D3649D" w:rsidRPr="00A6197D" w:rsidRDefault="00D3649D" w:rsidP="008B015E">
      <w:pPr>
        <w:pStyle w:val="Paragraph"/>
        <w:spacing w:line="480" w:lineRule="auto"/>
      </w:pPr>
      <w:r w:rsidRPr="00D3649D">
        <w:t xml:space="preserve">The IFN-γ ELISPOT assay was performed to assess the effect of pembrolizumab treatment on overall T-cell response to viral infection. </w:t>
      </w:r>
      <w:r>
        <w:t>PBMC</w:t>
      </w:r>
      <w:r w:rsidR="00C4527C">
        <w:t>s</w:t>
      </w:r>
      <w:r w:rsidRPr="00D3649D">
        <w:t xml:space="preserve"> were collected at pretreatment; days 3, 8, 15, and 22; and cycle 2, day 1 pre-infusion time points </w:t>
      </w:r>
      <w:r>
        <w:t xml:space="preserve">from 17 patients in </w:t>
      </w:r>
      <w:r w:rsidR="00A01090">
        <w:t xml:space="preserve">clinical trial </w:t>
      </w:r>
      <w:r>
        <w:t>KEYNOTE-001</w:t>
      </w:r>
      <w:r w:rsidR="00644B96">
        <w:t xml:space="preserve"> </w:t>
      </w:r>
      <w:r w:rsidR="005426B1">
        <w:t xml:space="preserve">cohort A </w:t>
      </w:r>
      <w:r w:rsidR="00644B96">
        <w:t xml:space="preserve">under </w:t>
      </w:r>
      <w:r w:rsidR="00A01090">
        <w:t xml:space="preserve">written </w:t>
      </w:r>
      <w:r w:rsidR="00644B96">
        <w:t>informed consent</w:t>
      </w:r>
      <w:r w:rsidR="00A01090">
        <w:t>. KEYNOTE-001 was conducted in accordance with recognized ethical guidelines and approved by an instititutional review board.</w:t>
      </w:r>
      <w:r w:rsidRPr="00D3649D">
        <w:t xml:space="preserve"> </w:t>
      </w:r>
      <w:r w:rsidR="00A01090">
        <w:t xml:space="preserve">Collected blood samples </w:t>
      </w:r>
      <w:r w:rsidRPr="00D3649D">
        <w:t>were shipped in sodium heparin vacutainers (BD) at ambient temperature for PBMC isolation and cryo-preservation. Frozen PBMC samples were thawed and analyzed in batches for IFN-γ ELISpot assay.</w:t>
      </w:r>
      <w:r w:rsidR="00C4527C">
        <w:t xml:space="preserve"> </w:t>
      </w:r>
      <w:r w:rsidRPr="00D3649D">
        <w:t>Briefly, 400,000 cells were placed in 96-</w:t>
      </w:r>
      <w:r w:rsidRPr="00D3649D">
        <w:lastRenderedPageBreak/>
        <w:t xml:space="preserve">well ELISPOT plates (Millipore) pre-coated with anti-IFN-γ </w:t>
      </w:r>
      <w:r w:rsidR="00C4527C">
        <w:t>antibody</w:t>
      </w:r>
      <w:r w:rsidRPr="00D3649D">
        <w:t xml:space="preserve"> (Thermo Scientific, clone M700A), incubated in triplicate with CTL-CEF-Class I Peptide Pool “plus” (PanaTecs), a pool of 32 peptides corresponding to major histocompatibility (MHC) Class I-restricted epitopes from </w:t>
      </w:r>
      <w:r w:rsidR="00C4527C">
        <w:t>Epstein Barr virus</w:t>
      </w:r>
      <w:r w:rsidRPr="00D3649D">
        <w:t xml:space="preserve">, </w:t>
      </w:r>
      <w:r w:rsidR="00C4527C">
        <w:t>cytomegalovirus</w:t>
      </w:r>
      <w:r w:rsidRPr="00D3649D">
        <w:t xml:space="preserve">, and </w:t>
      </w:r>
      <w:r w:rsidR="00C4527C">
        <w:t>i</w:t>
      </w:r>
      <w:r w:rsidRPr="00D3649D">
        <w:t xml:space="preserve">nfluenza virus (CEF-32). Cells incubated with </w:t>
      </w:r>
      <w:r w:rsidR="00C4527C">
        <w:t>phytohemagglutinin A</w:t>
      </w:r>
      <w:r w:rsidRPr="00D3649D">
        <w:t xml:space="preserve"> and culture medium were used as positive and negative controls, respectively. After incubation overnight, plates were washed and incubated with biotinylated anti-IFN</w:t>
      </w:r>
      <w:r w:rsidR="00C4527C">
        <w:t>γ</w:t>
      </w:r>
      <w:r w:rsidRPr="00D3649D">
        <w:t xml:space="preserve"> </w:t>
      </w:r>
      <w:r w:rsidR="00C4527C">
        <w:t>antibody</w:t>
      </w:r>
      <w:r w:rsidRPr="00D3649D">
        <w:t xml:space="preserve"> (Thermo Scientific, clone M700A) followed by streptavidin-HRP (BD), visualized by developing spots with 3-amino-9-ethyl-carbazole (Sigma) and hydrogen peroxide. The plates were scanned using a CTL ImmunoSpot</w:t>
      </w:r>
      <w:r w:rsidR="00C15D21">
        <w:rPr>
          <w:vertAlign w:val="superscript"/>
        </w:rPr>
        <w:t>®</w:t>
      </w:r>
      <w:r w:rsidRPr="00D3649D">
        <w:t xml:space="preserve"> Analyzer and data were processed using SpotMap</w:t>
      </w:r>
      <w:r w:rsidR="00C15D21">
        <w:rPr>
          <w:vertAlign w:val="superscript"/>
        </w:rPr>
        <w:t>®</w:t>
      </w:r>
      <w:r w:rsidRPr="00D3649D">
        <w:t xml:space="preserve"> software</w:t>
      </w:r>
      <w:r w:rsidR="00C4527C">
        <w:t>.</w:t>
      </w:r>
      <w:r w:rsidR="00171C41">
        <w:t xml:space="preserve"> </w:t>
      </w:r>
      <w:r w:rsidR="00171C41" w:rsidRPr="00DD0126">
        <w:t>Statistical analyses were performed using Prism software (GraphPad)</w:t>
      </w:r>
      <w:r w:rsidR="00171C41">
        <w:t>.</w:t>
      </w:r>
    </w:p>
    <w:p w14:paraId="49EB1B82" w14:textId="1EDA9510" w:rsidR="003344C1" w:rsidRPr="00A6197D" w:rsidRDefault="003344C1" w:rsidP="008B0BCD">
      <w:pPr>
        <w:pStyle w:val="Heading2Unnumbered"/>
        <w:spacing w:line="480" w:lineRule="auto"/>
      </w:pPr>
      <w:r w:rsidRPr="00A6197D">
        <w:t xml:space="preserve">Details of </w:t>
      </w:r>
      <w:r w:rsidR="009C45E4">
        <w:t>p</w:t>
      </w:r>
      <w:r w:rsidRPr="00A6197D">
        <w:t>harmacokinetics of pembrolizumab in cynomolgus monkeys</w:t>
      </w:r>
    </w:p>
    <w:p w14:paraId="28C447F1" w14:textId="1AB212D0" w:rsidR="00C62B72" w:rsidRPr="00A6197D" w:rsidRDefault="00C62B72" w:rsidP="008B0BCD">
      <w:pPr>
        <w:pStyle w:val="Paragraph"/>
        <w:spacing w:line="480" w:lineRule="auto"/>
      </w:pPr>
      <w:r w:rsidRPr="00A6197D">
        <w:t>After a single IV dose of pembrolizumab at 0.3, 3 or 30 mg/kg</w:t>
      </w:r>
      <w:r w:rsidR="002C3372">
        <w:t xml:space="preserve"> to cynomolgus monkeys</w:t>
      </w:r>
      <w:r w:rsidRPr="00A6197D">
        <w:t xml:space="preserve">, the decline of serum concentrations </w:t>
      </w:r>
      <w:r w:rsidR="002C3372">
        <w:t xml:space="preserve">of pembrolizumab </w:t>
      </w:r>
      <w:r w:rsidRPr="00A6197D">
        <w:t xml:space="preserve">followed multiphasic kinetics. </w:t>
      </w:r>
      <w:r w:rsidR="00171C41">
        <w:t xml:space="preserve">Data were analyzed using WinNonLin. </w:t>
      </w:r>
      <w:r w:rsidRPr="00A6197D">
        <w:t>Slightly greater than dose proportional exposure as judged by AUC</w:t>
      </w:r>
      <w:r w:rsidRPr="00A6197D">
        <w:rPr>
          <w:vertAlign w:val="subscript"/>
        </w:rPr>
        <w:t>0-last</w:t>
      </w:r>
      <w:r w:rsidRPr="00A6197D">
        <w:t xml:space="preserve"> was observed between 0.3 and 3.0 mg/kg and approximately dose proportional exposure was observed between 3.0 and 30 mg/kg. </w:t>
      </w:r>
      <w:r w:rsidR="002C3372">
        <w:t>Anti-drug antibodies (</w:t>
      </w:r>
      <w:r w:rsidRPr="00A6197D">
        <w:t>ADA</w:t>
      </w:r>
      <w:r w:rsidR="002C3372">
        <w:t>)</w:t>
      </w:r>
      <w:r w:rsidRPr="00A6197D">
        <w:t xml:space="preserve"> were detected in treated animals (all 6 animals in the 0.3 and 3 mg/kg dose groups, and 2 out of 3 animals in the 30 mg/kg dose group). The ADA were detected mostly in the 10-day and 21-day samples after the dosing for the 0.3 mg/kg group and in the 21-day samples for the 3 mg/kg and 30 mg/kg groups. </w:t>
      </w:r>
      <w:r w:rsidR="002C3372">
        <w:t>Clearance</w:t>
      </w:r>
      <w:r w:rsidRPr="00A6197D">
        <w:t xml:space="preserve"> </w:t>
      </w:r>
      <w:r w:rsidR="002C3372">
        <w:t xml:space="preserve">(CL) </w:t>
      </w:r>
      <w:r w:rsidRPr="00A6197D">
        <w:t>appeared to be dose-dependent in the dose range tested with CL of 5.7 ± 0.2, 4.2 ± 0.4 and 3.7 ± 0.1 mL/day</w:t>
      </w:r>
      <w:r w:rsidR="002C3372">
        <w:t xml:space="preserve"> per </w:t>
      </w:r>
      <w:r w:rsidRPr="00A6197D">
        <w:t>kg for the 0.3, 3, and 30 mg/kg groups, respectively. The terminal half-life (</w:t>
      </w:r>
      <w:r w:rsidR="007B6E38">
        <w:t>t</w:t>
      </w:r>
      <w:r w:rsidR="007B6E38">
        <w:rPr>
          <w:vertAlign w:val="subscript"/>
        </w:rPr>
        <w:t>1/2</w:t>
      </w:r>
      <w:r w:rsidRPr="00A6197D">
        <w:t xml:space="preserve">) was also dose-dependent with </w:t>
      </w:r>
      <w:r w:rsidRPr="00A6197D">
        <w:lastRenderedPageBreak/>
        <w:t>longer t</w:t>
      </w:r>
      <w:r w:rsidRPr="00A6197D">
        <w:rPr>
          <w:vertAlign w:val="subscript"/>
        </w:rPr>
        <w:t>1/2</w:t>
      </w:r>
      <w:r w:rsidRPr="00A6197D">
        <w:t xml:space="preserve"> for the 30 mg/kg group (~10 days) than for the 3 and 0.3 mg/kg groups (~4 to 6 days), regardless of the ADA status. The apparent non-linear PK suggests possible target</w:t>
      </w:r>
      <w:r w:rsidR="002C3372">
        <w:t>-</w:t>
      </w:r>
      <w:r w:rsidRPr="00A6197D">
        <w:t xml:space="preserve">mediated drug disposition. However, the contribution from ADA cannot be excluded since most of the animals had detectable ADA which may have higher impact at lower dose. </w:t>
      </w:r>
    </w:p>
    <w:p w14:paraId="0D08B535" w14:textId="794BB6D7" w:rsidR="00C62B72" w:rsidRPr="00A6197D" w:rsidRDefault="00C62B72" w:rsidP="008B0BCD">
      <w:pPr>
        <w:pStyle w:val="Paragraph"/>
        <w:spacing w:line="480" w:lineRule="auto"/>
      </w:pPr>
      <w:r w:rsidRPr="00A6197D">
        <w:t xml:space="preserve">In a GLP one month repeat dose </w:t>
      </w:r>
      <w:r w:rsidR="002C3372">
        <w:t>toxicokinetic (</w:t>
      </w:r>
      <w:r w:rsidRPr="00A6197D">
        <w:t>TK</w:t>
      </w:r>
      <w:r w:rsidR="002C3372">
        <w:t>)</w:t>
      </w:r>
      <w:r w:rsidRPr="00A6197D">
        <w:t xml:space="preserve"> study, TK parameters</w:t>
      </w:r>
      <w:r w:rsidR="00DF4872">
        <w:t xml:space="preserve"> </w:t>
      </w:r>
      <w:r w:rsidRPr="00A6197D">
        <w:t xml:space="preserve">were determined </w:t>
      </w:r>
      <w:r w:rsidR="00171C41">
        <w:t xml:space="preserve">using WinNonLin </w:t>
      </w:r>
      <w:r w:rsidRPr="00A6197D">
        <w:t>for the 7-day dosing intervals after the first and the fifth dose</w:t>
      </w:r>
      <w:r w:rsidR="00056E27">
        <w:t>.</w:t>
      </w:r>
      <w:r w:rsidRPr="00A6197D">
        <w:t xml:space="preserve"> ADA were detected in 7 out of 12 animals in the 6 mg/kg dose group and 1 out of 12 animals in the 40 mg/kg dose group. The ADA positive samples were mostly at 21 days after the first dose for the 6 mg/kg group and at 98 days (recovery period) for the 40 mg/kg dose group. Most ADA positive samples had neutralizing activity, which correlated with significantly lower </w:t>
      </w:r>
      <w:r w:rsidR="00056E27">
        <w:t xml:space="preserve">pembrolizumab </w:t>
      </w:r>
      <w:r w:rsidRPr="00A6197D">
        <w:t xml:space="preserve">concentrations in these animals. The mean </w:t>
      </w:r>
      <w:r w:rsidR="007B6E38">
        <w:t>t</w:t>
      </w:r>
      <w:r w:rsidR="007B6E38">
        <w:rPr>
          <w:vertAlign w:val="subscript"/>
        </w:rPr>
        <w:t>1/2</w:t>
      </w:r>
      <w:r w:rsidR="00F83BC8">
        <w:rPr>
          <w:vertAlign w:val="subscript"/>
        </w:rPr>
        <w:t xml:space="preserve"> </w:t>
      </w:r>
      <w:r w:rsidRPr="00A6197D">
        <w:t>values in individual ADA-negative animals ranged from 15.7 to 22.3 days across doses. Systemic exposure for the 7-day dosing interval was sex-independent and increased with increasing dose. The C</w:t>
      </w:r>
      <w:r w:rsidRPr="006B1559">
        <w:rPr>
          <w:vertAlign w:val="subscript"/>
        </w:rPr>
        <w:t>max</w:t>
      </w:r>
      <w:r w:rsidRPr="00A6197D">
        <w:t xml:space="preserve"> and AUC</w:t>
      </w:r>
      <w:r w:rsidRPr="006B1559">
        <w:rPr>
          <w:vertAlign w:val="subscript"/>
        </w:rPr>
        <w:t>0-7d</w:t>
      </w:r>
      <w:r w:rsidRPr="00A6197D">
        <w:t xml:space="preserve"> were approximately dose proportional after the first dose over the dose range tested. In addition, the systemic exposure over the 7-day dosing interval after the fifth dose was greater than that after the first dose (up to 5.58 fold higher).</w:t>
      </w:r>
    </w:p>
    <w:p w14:paraId="221C5EC3" w14:textId="43B001AB" w:rsidR="00C62B72" w:rsidRPr="00A6197D" w:rsidRDefault="00C62B72" w:rsidP="008B0BCD">
      <w:pPr>
        <w:pStyle w:val="Paragraph"/>
        <w:spacing w:line="480" w:lineRule="auto"/>
      </w:pPr>
      <w:r w:rsidRPr="00A6197D">
        <w:t xml:space="preserve">In the six month repeat dose study, </w:t>
      </w:r>
      <w:r w:rsidR="007B6E38">
        <w:t>c</w:t>
      </w:r>
      <w:r w:rsidRPr="00A6197D">
        <w:t xml:space="preserve">ynomolgus monkeys (5 males and 5 females) were dosed once every other week via IV administration for a total of 12 doses at 6, 40 or 200 mg/kg of </w:t>
      </w:r>
      <w:r w:rsidR="00056E27">
        <w:t>pembrolizumab</w:t>
      </w:r>
      <w:r w:rsidRPr="00A6197D">
        <w:t xml:space="preserve"> with a 4 month recovery period. TK parameters were determined </w:t>
      </w:r>
      <w:r w:rsidR="00171C41">
        <w:t xml:space="preserve">using WinNonLin </w:t>
      </w:r>
      <w:r w:rsidRPr="00A6197D">
        <w:t>for the 14-day dosing intervals after the first (Day 1), the sixth (Day 71), and the eleventh (Day 141) dose</w:t>
      </w:r>
      <w:r w:rsidR="00F33BF6">
        <w:t xml:space="preserve"> and are shown in Supplementary</w:t>
      </w:r>
      <w:r w:rsidR="00DF4872">
        <w:t xml:space="preserve"> </w:t>
      </w:r>
      <w:r w:rsidR="00A01090">
        <w:t xml:space="preserve">Data </w:t>
      </w:r>
      <w:r w:rsidR="00DA1038">
        <w:t>Table S3</w:t>
      </w:r>
      <w:r w:rsidRPr="00A6197D">
        <w:t xml:space="preserve">. ADA were detected in 5 out of 10 animals in the 6 mg/kg dose group during the dosing period at Study Day 43, 71, or 99, which correlated with significantly reduced </w:t>
      </w:r>
      <w:r w:rsidR="00056E27">
        <w:t>pembrolizumab</w:t>
      </w:r>
      <w:r w:rsidRPr="00A6197D">
        <w:t xml:space="preserve"> concentrations </w:t>
      </w:r>
      <w:r w:rsidRPr="00A6197D">
        <w:lastRenderedPageBreak/>
        <w:t>in these animals. No anti-</w:t>
      </w:r>
      <w:r w:rsidR="00056E27" w:rsidRPr="00056E27">
        <w:t xml:space="preserve"> </w:t>
      </w:r>
      <w:r w:rsidR="00056E27">
        <w:t>pembrolizumab</w:t>
      </w:r>
      <w:r w:rsidRPr="00A6197D">
        <w:t xml:space="preserve"> antibodies were detected in the 40 or 200 mg/kg groups during the dosing phase. T</w:t>
      </w:r>
      <w:r w:rsidRPr="006B1559">
        <w:rPr>
          <w:vertAlign w:val="subscript"/>
        </w:rPr>
        <w:t>1/2</w:t>
      </w:r>
      <w:r w:rsidRPr="00A6197D">
        <w:t xml:space="preserve"> was evaluated after the last dose (dose 12 at Day 155) from animals that were negative in ADA. The mean </w:t>
      </w:r>
      <w:r w:rsidR="007B6E38">
        <w:t>t</w:t>
      </w:r>
      <w:r w:rsidR="007B6E38">
        <w:rPr>
          <w:vertAlign w:val="subscript"/>
        </w:rPr>
        <w:t>1/2</w:t>
      </w:r>
      <w:r w:rsidR="00171C41">
        <w:rPr>
          <w:vertAlign w:val="subscript"/>
        </w:rPr>
        <w:t xml:space="preserve"> </w:t>
      </w:r>
      <w:r w:rsidRPr="00A6197D">
        <w:t xml:space="preserve">values ranged from 21 to 22 days across doses after exclusion of ADA positive samples. As with the one month repeat toxicity study, systemic exposure to </w:t>
      </w:r>
      <w:r w:rsidR="00056E27">
        <w:t>pembrolizumab</w:t>
      </w:r>
      <w:r w:rsidRPr="00A6197D">
        <w:t xml:space="preserve"> was independent of sex. The systemic exposure at Day 71 was similar to Day 141, suggesting that steady state had been achieved by Day 71, which is consistent with approximately 3.5 terminal half-lives of </w:t>
      </w:r>
      <w:r w:rsidR="00056E27">
        <w:t>pembrolizumab</w:t>
      </w:r>
      <w:r w:rsidRPr="00A6197D">
        <w:t>. Mean AUC</w:t>
      </w:r>
      <w:r w:rsidRPr="006B1559">
        <w:rPr>
          <w:vertAlign w:val="subscript"/>
        </w:rPr>
        <w:t>0-14d</w:t>
      </w:r>
      <w:r w:rsidRPr="00A6197D">
        <w:t xml:space="preserve"> and C</w:t>
      </w:r>
      <w:r w:rsidRPr="006B1559">
        <w:rPr>
          <w:vertAlign w:val="subscript"/>
        </w:rPr>
        <w:t>max</w:t>
      </w:r>
      <w:r w:rsidRPr="00A6197D">
        <w:t xml:space="preserve"> values after exclusion of ADA positive animals were approximately dose proportional across all doses on Study Days 1, 71, and 141, with the exception of Study Day 1 for which they were slightly greater than dose proportional in the dose range from 6 to 40 mg/kg. At Day 71, after 6 repeat doses, the systemic exposure over the 14-day dosing interval increased slightly (up to 1.8 fold) as compared to the corresponding values following the first dose.</w:t>
      </w:r>
    </w:p>
    <w:p w14:paraId="356C34A2" w14:textId="43C3689A" w:rsidR="00C62B72" w:rsidRDefault="00C62B72" w:rsidP="008B0BCD">
      <w:pPr>
        <w:pStyle w:val="Paragraph"/>
        <w:spacing w:line="480" w:lineRule="auto"/>
      </w:pPr>
      <w:r w:rsidRPr="00A6197D">
        <w:t>Following once weekly dosing (one-month study) or once every other week dosing (six-month study) at 6, 40 or 200 mg/kg, systemic exposure was sex-independent and increased with increasing dose. The C</w:t>
      </w:r>
      <w:r w:rsidRPr="00A6197D">
        <w:rPr>
          <w:vertAlign w:val="subscript"/>
        </w:rPr>
        <w:t>max</w:t>
      </w:r>
      <w:r w:rsidRPr="00A6197D">
        <w:t xml:space="preserve"> and systemic exposure were approximately dose-proportional over the dose range tested after exclusion of ADA positive samples. Repeat dosing resulted in a substantially increased exposure in the one month study and slightly increased exposure in the six month study.</w:t>
      </w:r>
    </w:p>
    <w:p w14:paraId="017A50FD" w14:textId="65016A36" w:rsidR="003C02BB" w:rsidRDefault="00644B96" w:rsidP="008B0BCD">
      <w:pPr>
        <w:pStyle w:val="Paragraph"/>
        <w:spacing w:line="480" w:lineRule="auto"/>
        <w:rPr>
          <w:b/>
          <w:color w:val="000000" w:themeColor="text1"/>
        </w:rPr>
      </w:pPr>
      <w:r w:rsidRPr="00600467">
        <w:t xml:space="preserve">Procedures involving the care and use of animals were reviewed and approved by the Institutional Animal Care and Use Committee at Research Laboratories of Merck &amp; Co., Inc. All toxicology studies were conducted in compliance with Good Laboratory Practice at the Safety Evaluation Center, Schering Plough Research Institute (part of Merck &amp; Co., Inc., </w:t>
      </w:r>
      <w:r w:rsidRPr="00600467">
        <w:lastRenderedPageBreak/>
        <w:t>Lafayette, New Jersey, USA), Merck &amp; Co., Inc., West Point, Pennsylvania, USA, and Charles River Laboratories, Pathology Associates, Frederick, Maryland, USA</w:t>
      </w:r>
      <w:r>
        <w:t>.</w:t>
      </w:r>
    </w:p>
    <w:p w14:paraId="1557141A" w14:textId="01EC0D6D" w:rsidR="003C02BB" w:rsidRPr="00941D73" w:rsidRDefault="00580A6A" w:rsidP="00DE42E1">
      <w:pPr>
        <w:pStyle w:val="Heading2Unnumbered"/>
        <w:spacing w:line="480" w:lineRule="auto"/>
      </w:pPr>
      <w:r>
        <w:t>SUPPLEMENT</w:t>
      </w:r>
      <w:r w:rsidR="002E115F">
        <w:t>A</w:t>
      </w:r>
      <w:r w:rsidR="00BA53E9">
        <w:t>RY</w:t>
      </w:r>
      <w:r w:rsidR="003C02BB" w:rsidRPr="00941D73">
        <w:t xml:space="preserve"> </w:t>
      </w:r>
      <w:r w:rsidR="00730C55">
        <w:t xml:space="preserve">DATA </w:t>
      </w:r>
      <w:r w:rsidR="003C02BB" w:rsidRPr="00941D73">
        <w:t>REFERENCES</w:t>
      </w:r>
    </w:p>
    <w:p w14:paraId="48AAE9BC" w14:textId="582A1B8A" w:rsidR="003C02BB" w:rsidRDefault="008B0BCD" w:rsidP="003E733D">
      <w:pPr>
        <w:pStyle w:val="References"/>
        <w:spacing w:line="480" w:lineRule="auto"/>
      </w:pPr>
      <w:bookmarkStart w:id="5" w:name="_Ref12282393"/>
      <w:bookmarkStart w:id="6" w:name="_ITBT_50_MANN_KP_STAUNTON_D_THORLEY_"/>
      <w:r>
        <w:t xml:space="preserve">Mann KP, Staunton D, </w:t>
      </w:r>
      <w:r w:rsidR="003C02BB" w:rsidRPr="00941D73">
        <w:t xml:space="preserve">Thorley-Lawson DA. Epstein-Barr Virus-Encoded Protein Found in Plasma Membranes of Transformed Cells. J Virology 1985; </w:t>
      </w:r>
      <w:r w:rsidR="003C02BB" w:rsidRPr="00237F56">
        <w:rPr>
          <w:b/>
        </w:rPr>
        <w:t>55</w:t>
      </w:r>
      <w:r w:rsidR="003C02BB" w:rsidRPr="00941D73">
        <w:t>:710-</w:t>
      </w:r>
      <w:r w:rsidR="00237F56">
        <w:t>20</w:t>
      </w:r>
      <w:r w:rsidR="003C02BB" w:rsidRPr="00941D73">
        <w:t>.</w:t>
      </w:r>
      <w:bookmarkEnd w:id="5"/>
    </w:p>
    <w:p w14:paraId="5FD5A54A" w14:textId="1204410A" w:rsidR="003C02BB" w:rsidRPr="00BE5914" w:rsidRDefault="008B0BCD" w:rsidP="00237F56">
      <w:pPr>
        <w:pStyle w:val="References"/>
        <w:spacing w:line="480" w:lineRule="auto"/>
      </w:pPr>
      <w:bookmarkStart w:id="7" w:name="_Ref12282407"/>
      <w:bookmarkStart w:id="8" w:name="_ITBT_51_YSSEL_H_SPITS_H_GENERATION_"/>
      <w:bookmarkEnd w:id="6"/>
      <w:r>
        <w:t xml:space="preserve">Yssel H, </w:t>
      </w:r>
      <w:r w:rsidR="003C02BB">
        <w:t xml:space="preserve">Spits H. Generation and Maintenance of Cloned Human T Cell Lines. Curr Protoc in Immunol 2005; </w:t>
      </w:r>
      <w:r w:rsidR="003C02BB" w:rsidRPr="00237F56">
        <w:rPr>
          <w:b/>
        </w:rPr>
        <w:t>6</w:t>
      </w:r>
      <w:r w:rsidR="003C02BB">
        <w:t>:</w:t>
      </w:r>
      <w:r w:rsidR="00237F56" w:rsidRPr="00237F56">
        <w:t xml:space="preserve"> </w:t>
      </w:r>
      <w:r w:rsidR="003C02BB">
        <w:t>7.19.1-7.19.12.</w:t>
      </w:r>
      <w:bookmarkEnd w:id="7"/>
    </w:p>
    <w:bookmarkEnd w:id="8"/>
    <w:p w14:paraId="6A219C47" w14:textId="77777777" w:rsidR="00485F27" w:rsidRDefault="00485F27" w:rsidP="00BE5914">
      <w:pPr>
        <w:pStyle w:val="Paragraph"/>
      </w:pPr>
    </w:p>
    <w:p w14:paraId="3ED4AD11" w14:textId="77777777" w:rsidR="003C02BB" w:rsidRDefault="003C02BB">
      <w:pPr>
        <w:rPr>
          <w:b/>
        </w:rPr>
      </w:pPr>
      <w:r>
        <w:rPr>
          <w:b/>
        </w:rPr>
        <w:br w:type="page"/>
      </w:r>
    </w:p>
    <w:p w14:paraId="0062EB3D" w14:textId="3267559C" w:rsidR="00730C55" w:rsidRPr="00941D73" w:rsidRDefault="00730C55" w:rsidP="00477684">
      <w:pPr>
        <w:pStyle w:val="Heading2Unnumbered"/>
      </w:pPr>
      <w:r>
        <w:lastRenderedPageBreak/>
        <w:t>SUPPLEMENTARY</w:t>
      </w:r>
      <w:r w:rsidRPr="00941D73">
        <w:t xml:space="preserve"> </w:t>
      </w:r>
      <w:r>
        <w:t xml:space="preserve">DATA </w:t>
      </w:r>
      <w:r w:rsidR="00323456">
        <w:t>TABLES</w:t>
      </w:r>
    </w:p>
    <w:p w14:paraId="22E74075" w14:textId="77777777" w:rsidR="00E466CD" w:rsidRDefault="00E466CD" w:rsidP="00FF5CDE">
      <w:pPr>
        <w:pStyle w:val="Paragraph"/>
      </w:pPr>
    </w:p>
    <w:p w14:paraId="1CA07D68" w14:textId="6FD1215C" w:rsidR="00E466CD" w:rsidRDefault="00F33BF6" w:rsidP="00B16FAE">
      <w:pPr>
        <w:pStyle w:val="TableEndofTextTitle"/>
        <w:tabs>
          <w:tab w:val="clear" w:pos="1440"/>
        </w:tabs>
        <w:ind w:left="2880" w:hanging="2880"/>
      </w:pPr>
      <w:r>
        <w:t xml:space="preserve">Supplementary </w:t>
      </w:r>
      <w:r w:rsidR="00A01090">
        <w:t xml:space="preserve">Data </w:t>
      </w:r>
      <w:r w:rsidR="00E466CD">
        <w:t xml:space="preserve">Table S1 </w:t>
      </w:r>
      <w:r w:rsidR="00E466CD">
        <w:tab/>
        <w:t>Human PBMC Cytokine Release Assay for Pembrolizumab with Plate-bound Monoclonal Antibodies (median of 8 donors)</w:t>
      </w:r>
    </w:p>
    <w:p w14:paraId="53F7BB66" w14:textId="77777777" w:rsidR="00E466CD" w:rsidRPr="00CB2E92" w:rsidRDefault="00E466CD" w:rsidP="00E466CD">
      <w:pPr>
        <w:pStyle w:val="ListE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036"/>
        <w:gridCol w:w="901"/>
        <w:gridCol w:w="846"/>
        <w:gridCol w:w="846"/>
        <w:gridCol w:w="846"/>
        <w:gridCol w:w="846"/>
        <w:gridCol w:w="846"/>
        <w:gridCol w:w="846"/>
        <w:gridCol w:w="846"/>
      </w:tblGrid>
      <w:tr w:rsidR="00E466CD" w:rsidRPr="00541B00" w14:paraId="2599CED0" w14:textId="77777777" w:rsidTr="005D5B06">
        <w:trPr>
          <w:trHeight w:val="202"/>
        </w:trPr>
        <w:tc>
          <w:tcPr>
            <w:tcW w:w="736" w:type="pct"/>
            <w:tcBorders>
              <w:top w:val="single" w:sz="2" w:space="0" w:color="auto"/>
            </w:tcBorders>
            <w:shd w:val="clear" w:color="000000" w:fill="FFFFFF"/>
            <w:hideMark/>
          </w:tcPr>
          <w:p w14:paraId="61DD0FDE" w14:textId="77777777" w:rsidR="00E466CD" w:rsidRPr="00541B00" w:rsidRDefault="00E466CD" w:rsidP="005D5B06">
            <w:pPr>
              <w:pStyle w:val="TableHead"/>
              <w:jc w:val="left"/>
              <w:rPr>
                <w:sz w:val="18"/>
                <w:szCs w:val="18"/>
              </w:rPr>
            </w:pPr>
            <w:r w:rsidRPr="00541B00">
              <w:rPr>
                <w:sz w:val="18"/>
                <w:szCs w:val="18"/>
              </w:rPr>
              <w:t>Treatment</w:t>
            </w:r>
          </w:p>
        </w:tc>
        <w:tc>
          <w:tcPr>
            <w:tcW w:w="562" w:type="pct"/>
            <w:tcBorders>
              <w:top w:val="single" w:sz="2" w:space="0" w:color="auto"/>
            </w:tcBorders>
            <w:shd w:val="clear" w:color="000000" w:fill="FFFFFF"/>
            <w:hideMark/>
          </w:tcPr>
          <w:p w14:paraId="78B6B35A" w14:textId="77777777" w:rsidR="00E466CD" w:rsidRPr="00541B00" w:rsidRDefault="00E466CD" w:rsidP="005D5B06">
            <w:pPr>
              <w:pStyle w:val="TableHead"/>
              <w:rPr>
                <w:sz w:val="18"/>
                <w:szCs w:val="18"/>
              </w:rPr>
            </w:pPr>
            <w:r>
              <w:rPr>
                <w:sz w:val="18"/>
                <w:szCs w:val="18"/>
              </w:rPr>
              <w:t>Treatment conc.</w:t>
            </w:r>
            <w:r>
              <w:rPr>
                <w:sz w:val="18"/>
                <w:szCs w:val="18"/>
              </w:rPr>
              <w:br/>
            </w:r>
            <w:r w:rsidRPr="00541B00">
              <w:rPr>
                <w:sz w:val="18"/>
                <w:szCs w:val="18"/>
              </w:rPr>
              <w:t>(µg/mL)</w:t>
            </w:r>
          </w:p>
        </w:tc>
        <w:tc>
          <w:tcPr>
            <w:tcW w:w="489" w:type="pct"/>
            <w:tcBorders>
              <w:top w:val="single" w:sz="2" w:space="0" w:color="auto"/>
            </w:tcBorders>
            <w:shd w:val="clear" w:color="000000" w:fill="FFFFFF"/>
            <w:hideMark/>
          </w:tcPr>
          <w:p w14:paraId="140B7FA1" w14:textId="77777777" w:rsidR="00E466CD" w:rsidRPr="00541B00" w:rsidRDefault="00E466CD" w:rsidP="005D5B06">
            <w:pPr>
              <w:pStyle w:val="TableHead"/>
              <w:rPr>
                <w:sz w:val="18"/>
                <w:szCs w:val="18"/>
              </w:rPr>
            </w:pPr>
            <w:r>
              <w:rPr>
                <w:sz w:val="18"/>
                <w:szCs w:val="18"/>
              </w:rPr>
              <w:t>IFNγ</w:t>
            </w:r>
            <w:r>
              <w:rPr>
                <w:sz w:val="18"/>
                <w:szCs w:val="18"/>
              </w:rPr>
              <w:br/>
            </w:r>
            <w:r w:rsidRPr="00541B00">
              <w:rPr>
                <w:sz w:val="18"/>
                <w:szCs w:val="18"/>
              </w:rPr>
              <w:t>(pg/mL)</w:t>
            </w:r>
          </w:p>
        </w:tc>
        <w:tc>
          <w:tcPr>
            <w:tcW w:w="459" w:type="pct"/>
            <w:tcBorders>
              <w:top w:val="single" w:sz="2" w:space="0" w:color="auto"/>
            </w:tcBorders>
            <w:shd w:val="clear" w:color="000000" w:fill="FFFFFF"/>
            <w:hideMark/>
          </w:tcPr>
          <w:p w14:paraId="182C07C0" w14:textId="77777777" w:rsidR="00E466CD" w:rsidRPr="00541B00" w:rsidRDefault="00E466CD" w:rsidP="005D5B06">
            <w:pPr>
              <w:pStyle w:val="TableHead"/>
              <w:rPr>
                <w:sz w:val="18"/>
                <w:szCs w:val="18"/>
              </w:rPr>
            </w:pPr>
            <w:r>
              <w:rPr>
                <w:sz w:val="18"/>
                <w:szCs w:val="18"/>
              </w:rPr>
              <w:t>IL-10</w:t>
            </w:r>
            <w:r>
              <w:rPr>
                <w:sz w:val="18"/>
                <w:szCs w:val="18"/>
              </w:rPr>
              <w:br/>
            </w:r>
            <w:r w:rsidRPr="00541B00">
              <w:rPr>
                <w:sz w:val="18"/>
                <w:szCs w:val="18"/>
              </w:rPr>
              <w:t>(pg/mL)</w:t>
            </w:r>
          </w:p>
        </w:tc>
        <w:tc>
          <w:tcPr>
            <w:tcW w:w="459" w:type="pct"/>
            <w:tcBorders>
              <w:top w:val="single" w:sz="2" w:space="0" w:color="auto"/>
            </w:tcBorders>
            <w:shd w:val="clear" w:color="000000" w:fill="FFFFFF"/>
            <w:hideMark/>
          </w:tcPr>
          <w:p w14:paraId="6C32166E" w14:textId="77777777" w:rsidR="00E466CD" w:rsidRPr="00541B00" w:rsidRDefault="00E466CD" w:rsidP="005D5B06">
            <w:pPr>
              <w:pStyle w:val="TableHead"/>
              <w:rPr>
                <w:sz w:val="18"/>
                <w:szCs w:val="18"/>
              </w:rPr>
            </w:pPr>
            <w:r>
              <w:rPr>
                <w:sz w:val="18"/>
                <w:szCs w:val="18"/>
              </w:rPr>
              <w:t>IL-12 p70</w:t>
            </w:r>
            <w:r>
              <w:rPr>
                <w:sz w:val="18"/>
                <w:szCs w:val="18"/>
              </w:rPr>
              <w:br/>
            </w:r>
            <w:r w:rsidRPr="00541B00">
              <w:rPr>
                <w:sz w:val="18"/>
                <w:szCs w:val="18"/>
              </w:rPr>
              <w:t>(pg/mL)</w:t>
            </w:r>
          </w:p>
        </w:tc>
        <w:tc>
          <w:tcPr>
            <w:tcW w:w="459" w:type="pct"/>
            <w:tcBorders>
              <w:top w:val="single" w:sz="2" w:space="0" w:color="auto"/>
            </w:tcBorders>
            <w:shd w:val="clear" w:color="000000" w:fill="FFFFFF"/>
            <w:hideMark/>
          </w:tcPr>
          <w:p w14:paraId="58937751" w14:textId="77777777" w:rsidR="00E466CD" w:rsidRPr="00541B00" w:rsidRDefault="00E466CD" w:rsidP="005D5B06">
            <w:pPr>
              <w:pStyle w:val="TableHead"/>
              <w:rPr>
                <w:sz w:val="18"/>
                <w:szCs w:val="18"/>
              </w:rPr>
            </w:pPr>
            <w:r>
              <w:rPr>
                <w:sz w:val="18"/>
                <w:szCs w:val="18"/>
              </w:rPr>
              <w:t>IL-1β</w:t>
            </w:r>
            <w:r>
              <w:rPr>
                <w:sz w:val="18"/>
                <w:szCs w:val="18"/>
              </w:rPr>
              <w:br/>
            </w:r>
            <w:r w:rsidRPr="00541B00">
              <w:rPr>
                <w:sz w:val="18"/>
                <w:szCs w:val="18"/>
              </w:rPr>
              <w:t>(pg/mL)</w:t>
            </w:r>
          </w:p>
        </w:tc>
        <w:tc>
          <w:tcPr>
            <w:tcW w:w="459" w:type="pct"/>
            <w:tcBorders>
              <w:top w:val="single" w:sz="2" w:space="0" w:color="auto"/>
            </w:tcBorders>
            <w:shd w:val="clear" w:color="000000" w:fill="FFFFFF"/>
          </w:tcPr>
          <w:p w14:paraId="2C5533EC" w14:textId="77777777" w:rsidR="00E466CD" w:rsidRDefault="00E466CD" w:rsidP="005D5B06">
            <w:pPr>
              <w:pStyle w:val="TableHead"/>
              <w:rPr>
                <w:sz w:val="18"/>
                <w:szCs w:val="18"/>
              </w:rPr>
            </w:pPr>
            <w:r>
              <w:rPr>
                <w:sz w:val="18"/>
                <w:szCs w:val="18"/>
              </w:rPr>
              <w:t>IL-2</w:t>
            </w:r>
            <w:r>
              <w:rPr>
                <w:sz w:val="18"/>
                <w:szCs w:val="18"/>
              </w:rPr>
              <w:br/>
            </w:r>
            <w:r w:rsidRPr="00541B00">
              <w:rPr>
                <w:sz w:val="18"/>
                <w:szCs w:val="18"/>
              </w:rPr>
              <w:t>(pg/mL)</w:t>
            </w:r>
          </w:p>
        </w:tc>
        <w:tc>
          <w:tcPr>
            <w:tcW w:w="459" w:type="pct"/>
            <w:tcBorders>
              <w:top w:val="single" w:sz="2" w:space="0" w:color="auto"/>
            </w:tcBorders>
            <w:shd w:val="clear" w:color="000000" w:fill="FFFFFF"/>
            <w:hideMark/>
          </w:tcPr>
          <w:p w14:paraId="5BB5A1E0" w14:textId="77777777" w:rsidR="00E466CD" w:rsidRPr="00541B00" w:rsidRDefault="00E466CD" w:rsidP="005D5B06">
            <w:pPr>
              <w:pStyle w:val="TableHead"/>
              <w:rPr>
                <w:sz w:val="18"/>
                <w:szCs w:val="18"/>
              </w:rPr>
            </w:pPr>
            <w:r>
              <w:rPr>
                <w:sz w:val="18"/>
                <w:szCs w:val="18"/>
              </w:rPr>
              <w:t>IL-6</w:t>
            </w:r>
            <w:r>
              <w:rPr>
                <w:sz w:val="18"/>
                <w:szCs w:val="18"/>
              </w:rPr>
              <w:br/>
            </w:r>
            <w:r w:rsidRPr="00541B00">
              <w:rPr>
                <w:sz w:val="18"/>
                <w:szCs w:val="18"/>
              </w:rPr>
              <w:t>(pg/mL)</w:t>
            </w:r>
          </w:p>
        </w:tc>
        <w:tc>
          <w:tcPr>
            <w:tcW w:w="459" w:type="pct"/>
            <w:tcBorders>
              <w:top w:val="single" w:sz="2" w:space="0" w:color="auto"/>
            </w:tcBorders>
            <w:shd w:val="clear" w:color="000000" w:fill="FFFFFF"/>
            <w:hideMark/>
          </w:tcPr>
          <w:p w14:paraId="620FF09B" w14:textId="77777777" w:rsidR="00E466CD" w:rsidRPr="00541B00" w:rsidRDefault="00E466CD" w:rsidP="005D5B06">
            <w:pPr>
              <w:pStyle w:val="TableHead"/>
              <w:rPr>
                <w:sz w:val="18"/>
                <w:szCs w:val="18"/>
              </w:rPr>
            </w:pPr>
            <w:r>
              <w:rPr>
                <w:sz w:val="18"/>
                <w:szCs w:val="18"/>
              </w:rPr>
              <w:t>IL-8</w:t>
            </w:r>
            <w:r>
              <w:rPr>
                <w:sz w:val="18"/>
                <w:szCs w:val="18"/>
              </w:rPr>
              <w:br/>
            </w:r>
            <w:r w:rsidRPr="00541B00">
              <w:rPr>
                <w:sz w:val="18"/>
                <w:szCs w:val="18"/>
              </w:rPr>
              <w:t>(pg/mL)</w:t>
            </w:r>
          </w:p>
        </w:tc>
        <w:tc>
          <w:tcPr>
            <w:tcW w:w="459" w:type="pct"/>
            <w:tcBorders>
              <w:top w:val="single" w:sz="2" w:space="0" w:color="auto"/>
            </w:tcBorders>
            <w:shd w:val="clear" w:color="000000" w:fill="FFFFFF"/>
            <w:hideMark/>
          </w:tcPr>
          <w:p w14:paraId="188E492C" w14:textId="77777777" w:rsidR="00E466CD" w:rsidRPr="00541B00" w:rsidRDefault="00E466CD" w:rsidP="005D5B06">
            <w:pPr>
              <w:pStyle w:val="TableHead"/>
              <w:rPr>
                <w:sz w:val="18"/>
                <w:szCs w:val="18"/>
              </w:rPr>
            </w:pPr>
            <w:r>
              <w:rPr>
                <w:sz w:val="18"/>
                <w:szCs w:val="18"/>
              </w:rPr>
              <w:t>TNF-α</w:t>
            </w:r>
            <w:r>
              <w:rPr>
                <w:sz w:val="18"/>
                <w:szCs w:val="18"/>
              </w:rPr>
              <w:br/>
            </w:r>
            <w:r w:rsidRPr="00541B00">
              <w:rPr>
                <w:sz w:val="18"/>
                <w:szCs w:val="18"/>
              </w:rPr>
              <w:t>(pg/mL)</w:t>
            </w:r>
          </w:p>
        </w:tc>
      </w:tr>
      <w:tr w:rsidR="00E466CD" w14:paraId="3728D96D" w14:textId="77777777" w:rsidTr="005D5B06">
        <w:trPr>
          <w:trHeight w:val="202"/>
        </w:trPr>
        <w:tc>
          <w:tcPr>
            <w:tcW w:w="736" w:type="pct"/>
            <w:shd w:val="clear" w:color="000000" w:fill="FFFFFF"/>
            <w:hideMark/>
          </w:tcPr>
          <w:p w14:paraId="189FD363" w14:textId="77777777" w:rsidR="00E466CD" w:rsidRPr="00CB2E92" w:rsidRDefault="00E466CD" w:rsidP="005D5B06">
            <w:pPr>
              <w:pStyle w:val="TableLeft"/>
              <w:rPr>
                <w:rFonts w:cs="Times New Roman"/>
                <w:sz w:val="18"/>
                <w:szCs w:val="18"/>
              </w:rPr>
            </w:pPr>
            <w:r w:rsidRPr="00CB2E92">
              <w:rPr>
                <w:rFonts w:cs="Times New Roman"/>
                <w:sz w:val="18"/>
                <w:szCs w:val="18"/>
              </w:rPr>
              <w:t>DPBS</w:t>
            </w:r>
          </w:p>
        </w:tc>
        <w:tc>
          <w:tcPr>
            <w:tcW w:w="562" w:type="pct"/>
            <w:shd w:val="clear" w:color="000000" w:fill="FFFFFF"/>
            <w:noWrap/>
            <w:hideMark/>
          </w:tcPr>
          <w:p w14:paraId="467D3DED" w14:textId="77777777" w:rsidR="00E466CD" w:rsidRPr="00CB2E92" w:rsidRDefault="00E466CD" w:rsidP="005D5B06">
            <w:pPr>
              <w:pStyle w:val="TableLeft"/>
              <w:jc w:val="center"/>
              <w:rPr>
                <w:rFonts w:cs="Times New Roman"/>
                <w:sz w:val="18"/>
                <w:szCs w:val="18"/>
              </w:rPr>
            </w:pPr>
            <w:r w:rsidRPr="00CB2E92">
              <w:rPr>
                <w:rFonts w:cs="Times New Roman"/>
                <w:sz w:val="18"/>
                <w:szCs w:val="18"/>
              </w:rPr>
              <w:t>0</w:t>
            </w:r>
          </w:p>
        </w:tc>
        <w:tc>
          <w:tcPr>
            <w:tcW w:w="489" w:type="pct"/>
            <w:shd w:val="clear" w:color="auto" w:fill="FFFFFF" w:themeFill="background1"/>
            <w:noWrap/>
            <w:vAlign w:val="center"/>
          </w:tcPr>
          <w:p w14:paraId="4DBD9972" w14:textId="77777777" w:rsidR="00E466CD" w:rsidRPr="00CB2E92" w:rsidRDefault="00E466CD" w:rsidP="005D5B06">
            <w:pPr>
              <w:pStyle w:val="TableCenter"/>
              <w:rPr>
                <w:sz w:val="18"/>
                <w:szCs w:val="18"/>
              </w:rPr>
            </w:pPr>
            <w:r w:rsidRPr="00CB2E92">
              <w:rPr>
                <w:sz w:val="18"/>
                <w:szCs w:val="18"/>
              </w:rPr>
              <w:t>272.8</w:t>
            </w:r>
          </w:p>
        </w:tc>
        <w:tc>
          <w:tcPr>
            <w:tcW w:w="459" w:type="pct"/>
            <w:shd w:val="clear" w:color="auto" w:fill="FFFFFF" w:themeFill="background1"/>
            <w:noWrap/>
            <w:vAlign w:val="center"/>
          </w:tcPr>
          <w:p w14:paraId="7DB476EA" w14:textId="77777777" w:rsidR="00E466CD" w:rsidRPr="00CB2E92" w:rsidRDefault="00E466CD" w:rsidP="005D5B06">
            <w:pPr>
              <w:pStyle w:val="TableCenter"/>
              <w:rPr>
                <w:sz w:val="18"/>
                <w:szCs w:val="18"/>
              </w:rPr>
            </w:pPr>
            <w:r w:rsidRPr="00CB2E92">
              <w:rPr>
                <w:sz w:val="18"/>
                <w:szCs w:val="18"/>
              </w:rPr>
              <w:t>4.8</w:t>
            </w:r>
          </w:p>
        </w:tc>
        <w:tc>
          <w:tcPr>
            <w:tcW w:w="459" w:type="pct"/>
            <w:shd w:val="clear" w:color="auto" w:fill="FFFFFF" w:themeFill="background1"/>
            <w:noWrap/>
            <w:vAlign w:val="center"/>
          </w:tcPr>
          <w:p w14:paraId="0F42DA4F" w14:textId="77777777" w:rsidR="00E466CD" w:rsidRPr="00CB2E92" w:rsidRDefault="00E466CD" w:rsidP="005D5B06">
            <w:pPr>
              <w:pStyle w:val="TableCenter"/>
              <w:rPr>
                <w:sz w:val="18"/>
                <w:szCs w:val="18"/>
              </w:rPr>
            </w:pPr>
            <w:r w:rsidRPr="00CB2E92">
              <w:rPr>
                <w:sz w:val="18"/>
                <w:szCs w:val="18"/>
              </w:rPr>
              <w:t>7.4</w:t>
            </w:r>
          </w:p>
        </w:tc>
        <w:tc>
          <w:tcPr>
            <w:tcW w:w="459" w:type="pct"/>
            <w:shd w:val="clear" w:color="auto" w:fill="FFFFFF" w:themeFill="background1"/>
            <w:noWrap/>
            <w:vAlign w:val="center"/>
          </w:tcPr>
          <w:p w14:paraId="12BDC060" w14:textId="77777777" w:rsidR="00E466CD" w:rsidRPr="00CB2E92" w:rsidRDefault="00E466CD" w:rsidP="005D5B06">
            <w:pPr>
              <w:pStyle w:val="TableCenter"/>
              <w:rPr>
                <w:sz w:val="18"/>
                <w:szCs w:val="18"/>
              </w:rPr>
            </w:pPr>
            <w:r w:rsidRPr="00CB2E92">
              <w:rPr>
                <w:sz w:val="18"/>
                <w:szCs w:val="18"/>
              </w:rPr>
              <w:t>12.6</w:t>
            </w:r>
          </w:p>
        </w:tc>
        <w:tc>
          <w:tcPr>
            <w:tcW w:w="459" w:type="pct"/>
            <w:shd w:val="clear" w:color="auto" w:fill="FFFFFF" w:themeFill="background1"/>
            <w:vAlign w:val="center"/>
          </w:tcPr>
          <w:p w14:paraId="1489D4C8" w14:textId="77777777" w:rsidR="00E466CD" w:rsidRPr="00CB2E92" w:rsidRDefault="00E466CD" w:rsidP="005D5B06">
            <w:pPr>
              <w:pStyle w:val="TableCenter"/>
              <w:rPr>
                <w:sz w:val="18"/>
                <w:szCs w:val="18"/>
              </w:rPr>
            </w:pPr>
            <w:r w:rsidRPr="00CB2E92">
              <w:rPr>
                <w:sz w:val="18"/>
                <w:szCs w:val="18"/>
              </w:rPr>
              <w:t>13.9</w:t>
            </w:r>
          </w:p>
        </w:tc>
        <w:tc>
          <w:tcPr>
            <w:tcW w:w="459" w:type="pct"/>
            <w:shd w:val="clear" w:color="auto" w:fill="FFFFFF" w:themeFill="background1"/>
            <w:noWrap/>
            <w:vAlign w:val="center"/>
          </w:tcPr>
          <w:p w14:paraId="06B4AF16" w14:textId="77777777" w:rsidR="00E466CD" w:rsidRPr="00CB2E92" w:rsidRDefault="00E466CD" w:rsidP="005D5B06">
            <w:pPr>
              <w:pStyle w:val="TableCenter"/>
              <w:rPr>
                <w:sz w:val="18"/>
                <w:szCs w:val="18"/>
              </w:rPr>
            </w:pPr>
            <w:r w:rsidRPr="00CB2E92">
              <w:rPr>
                <w:sz w:val="18"/>
                <w:szCs w:val="18"/>
              </w:rPr>
              <w:t>22.2</w:t>
            </w:r>
          </w:p>
        </w:tc>
        <w:tc>
          <w:tcPr>
            <w:tcW w:w="459" w:type="pct"/>
            <w:shd w:val="clear" w:color="auto" w:fill="FFFFFF" w:themeFill="background1"/>
            <w:noWrap/>
            <w:vAlign w:val="center"/>
          </w:tcPr>
          <w:p w14:paraId="5CAD9BD5"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FFFFFF" w:themeFill="background1"/>
            <w:noWrap/>
            <w:vAlign w:val="center"/>
          </w:tcPr>
          <w:p w14:paraId="0B40271A" w14:textId="77777777" w:rsidR="00E466CD" w:rsidRPr="00CB2E92" w:rsidRDefault="00E466CD" w:rsidP="005D5B06">
            <w:pPr>
              <w:pStyle w:val="TableCenter"/>
              <w:rPr>
                <w:sz w:val="18"/>
                <w:szCs w:val="18"/>
              </w:rPr>
            </w:pPr>
            <w:r w:rsidRPr="00CB2E92">
              <w:rPr>
                <w:sz w:val="18"/>
                <w:szCs w:val="18"/>
              </w:rPr>
              <w:t>250.3</w:t>
            </w:r>
          </w:p>
        </w:tc>
      </w:tr>
      <w:tr w:rsidR="00E466CD" w14:paraId="0356BBB7" w14:textId="77777777" w:rsidTr="005D5B06">
        <w:trPr>
          <w:trHeight w:val="202"/>
        </w:trPr>
        <w:tc>
          <w:tcPr>
            <w:tcW w:w="736" w:type="pct"/>
            <w:vMerge w:val="restart"/>
            <w:shd w:val="clear" w:color="000000" w:fill="FFFFFF"/>
            <w:hideMark/>
          </w:tcPr>
          <w:p w14:paraId="352A014A" w14:textId="77777777" w:rsidR="00E466CD" w:rsidRPr="00CB2E92" w:rsidRDefault="00E466CD" w:rsidP="005D5B06">
            <w:pPr>
              <w:pStyle w:val="TableLeft"/>
              <w:rPr>
                <w:rFonts w:cs="Times New Roman"/>
                <w:sz w:val="18"/>
                <w:szCs w:val="18"/>
              </w:rPr>
            </w:pPr>
            <w:r w:rsidRPr="00CB2E92">
              <w:rPr>
                <w:rFonts w:cs="Times New Roman"/>
                <w:sz w:val="18"/>
                <w:szCs w:val="18"/>
              </w:rPr>
              <w:t>Pembrolizumab</w:t>
            </w:r>
          </w:p>
        </w:tc>
        <w:tc>
          <w:tcPr>
            <w:tcW w:w="562" w:type="pct"/>
            <w:shd w:val="clear" w:color="000000" w:fill="FFFFFF"/>
            <w:noWrap/>
            <w:hideMark/>
          </w:tcPr>
          <w:p w14:paraId="278053CB" w14:textId="77777777" w:rsidR="00E466CD" w:rsidRPr="00CB2E92" w:rsidRDefault="00E466CD" w:rsidP="005D5B06">
            <w:pPr>
              <w:pStyle w:val="TableLeft"/>
              <w:jc w:val="center"/>
              <w:rPr>
                <w:rFonts w:cs="Times New Roman"/>
                <w:sz w:val="18"/>
                <w:szCs w:val="18"/>
              </w:rPr>
            </w:pPr>
            <w:r w:rsidRPr="00CB2E92">
              <w:rPr>
                <w:rFonts w:cs="Times New Roman"/>
                <w:sz w:val="18"/>
                <w:szCs w:val="18"/>
              </w:rPr>
              <w:t>0.1</w:t>
            </w:r>
          </w:p>
        </w:tc>
        <w:tc>
          <w:tcPr>
            <w:tcW w:w="489" w:type="pct"/>
            <w:shd w:val="clear" w:color="auto" w:fill="FFFFFF" w:themeFill="background1"/>
            <w:noWrap/>
            <w:vAlign w:val="center"/>
          </w:tcPr>
          <w:p w14:paraId="011B5968" w14:textId="77777777" w:rsidR="00E466CD" w:rsidRPr="00CB2E92" w:rsidRDefault="00E466CD" w:rsidP="005D5B06">
            <w:pPr>
              <w:pStyle w:val="TableCenter"/>
              <w:rPr>
                <w:sz w:val="18"/>
                <w:szCs w:val="18"/>
              </w:rPr>
            </w:pPr>
            <w:r w:rsidRPr="00CB2E92">
              <w:rPr>
                <w:sz w:val="18"/>
                <w:szCs w:val="18"/>
              </w:rPr>
              <w:t>269.7</w:t>
            </w:r>
          </w:p>
        </w:tc>
        <w:tc>
          <w:tcPr>
            <w:tcW w:w="459" w:type="pct"/>
            <w:shd w:val="clear" w:color="auto" w:fill="FFFFFF" w:themeFill="background1"/>
            <w:noWrap/>
            <w:vAlign w:val="center"/>
          </w:tcPr>
          <w:p w14:paraId="1141A946" w14:textId="77777777" w:rsidR="00E466CD" w:rsidRPr="00CB2E92" w:rsidRDefault="00E466CD" w:rsidP="005D5B06">
            <w:pPr>
              <w:pStyle w:val="TableCenter"/>
              <w:rPr>
                <w:sz w:val="18"/>
                <w:szCs w:val="18"/>
              </w:rPr>
            </w:pPr>
            <w:r w:rsidRPr="00CB2E92">
              <w:rPr>
                <w:sz w:val="18"/>
                <w:szCs w:val="18"/>
              </w:rPr>
              <w:t>5.4</w:t>
            </w:r>
          </w:p>
        </w:tc>
        <w:tc>
          <w:tcPr>
            <w:tcW w:w="459" w:type="pct"/>
            <w:shd w:val="clear" w:color="auto" w:fill="FFFFFF" w:themeFill="background1"/>
            <w:noWrap/>
            <w:vAlign w:val="center"/>
          </w:tcPr>
          <w:p w14:paraId="1F07A8A4" w14:textId="77777777" w:rsidR="00E466CD" w:rsidRPr="00CB2E92" w:rsidRDefault="00E466CD" w:rsidP="005D5B06">
            <w:pPr>
              <w:pStyle w:val="TableCenter"/>
              <w:rPr>
                <w:sz w:val="18"/>
                <w:szCs w:val="18"/>
              </w:rPr>
            </w:pPr>
            <w:r w:rsidRPr="00CB2E92">
              <w:rPr>
                <w:sz w:val="18"/>
                <w:szCs w:val="18"/>
              </w:rPr>
              <w:t>6.7</w:t>
            </w:r>
          </w:p>
        </w:tc>
        <w:tc>
          <w:tcPr>
            <w:tcW w:w="459" w:type="pct"/>
            <w:shd w:val="clear" w:color="auto" w:fill="FFFFFF" w:themeFill="background1"/>
            <w:noWrap/>
            <w:vAlign w:val="center"/>
          </w:tcPr>
          <w:p w14:paraId="03DD6221" w14:textId="77777777" w:rsidR="00E466CD" w:rsidRPr="00CB2E92" w:rsidRDefault="00E466CD" w:rsidP="005D5B06">
            <w:pPr>
              <w:pStyle w:val="TableCenter"/>
              <w:rPr>
                <w:sz w:val="18"/>
                <w:szCs w:val="18"/>
              </w:rPr>
            </w:pPr>
            <w:r w:rsidRPr="00CB2E92">
              <w:rPr>
                <w:sz w:val="18"/>
                <w:szCs w:val="18"/>
              </w:rPr>
              <w:t>15.8</w:t>
            </w:r>
          </w:p>
        </w:tc>
        <w:tc>
          <w:tcPr>
            <w:tcW w:w="459" w:type="pct"/>
            <w:shd w:val="clear" w:color="auto" w:fill="FFFFFF" w:themeFill="background1"/>
            <w:vAlign w:val="center"/>
          </w:tcPr>
          <w:p w14:paraId="5F0A2CD8" w14:textId="77777777" w:rsidR="00E466CD" w:rsidRPr="00CB2E92" w:rsidRDefault="00E466CD" w:rsidP="005D5B06">
            <w:pPr>
              <w:pStyle w:val="TableCenter"/>
              <w:rPr>
                <w:sz w:val="18"/>
                <w:szCs w:val="18"/>
              </w:rPr>
            </w:pPr>
            <w:r w:rsidRPr="00CB2E92">
              <w:rPr>
                <w:sz w:val="18"/>
                <w:szCs w:val="18"/>
              </w:rPr>
              <w:t>14.4</w:t>
            </w:r>
          </w:p>
        </w:tc>
        <w:tc>
          <w:tcPr>
            <w:tcW w:w="459" w:type="pct"/>
            <w:shd w:val="clear" w:color="auto" w:fill="FFFFFF" w:themeFill="background1"/>
            <w:noWrap/>
            <w:vAlign w:val="center"/>
          </w:tcPr>
          <w:p w14:paraId="24673A0B" w14:textId="77777777" w:rsidR="00E466CD" w:rsidRPr="00CB2E92" w:rsidRDefault="00E466CD" w:rsidP="005D5B06">
            <w:pPr>
              <w:pStyle w:val="TableCenter"/>
              <w:rPr>
                <w:sz w:val="18"/>
                <w:szCs w:val="18"/>
              </w:rPr>
            </w:pPr>
            <w:r w:rsidRPr="00CB2E92">
              <w:rPr>
                <w:sz w:val="18"/>
                <w:szCs w:val="18"/>
              </w:rPr>
              <w:t>32.5</w:t>
            </w:r>
          </w:p>
        </w:tc>
        <w:tc>
          <w:tcPr>
            <w:tcW w:w="459" w:type="pct"/>
            <w:shd w:val="clear" w:color="auto" w:fill="FFFFFF" w:themeFill="background1"/>
            <w:noWrap/>
            <w:vAlign w:val="center"/>
          </w:tcPr>
          <w:p w14:paraId="272A7271"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FFFFFF" w:themeFill="background1"/>
            <w:noWrap/>
            <w:vAlign w:val="center"/>
          </w:tcPr>
          <w:p w14:paraId="2275269B" w14:textId="77777777" w:rsidR="00E466CD" w:rsidRPr="00CB2E92" w:rsidRDefault="00E466CD" w:rsidP="005D5B06">
            <w:pPr>
              <w:pStyle w:val="TableCenter"/>
              <w:rPr>
                <w:sz w:val="18"/>
                <w:szCs w:val="18"/>
              </w:rPr>
            </w:pPr>
            <w:r w:rsidRPr="00CB2E92">
              <w:rPr>
                <w:sz w:val="18"/>
                <w:szCs w:val="18"/>
              </w:rPr>
              <w:t>229.4</w:t>
            </w:r>
          </w:p>
        </w:tc>
      </w:tr>
      <w:tr w:rsidR="00E466CD" w14:paraId="128203FE" w14:textId="77777777" w:rsidTr="005D5B06">
        <w:trPr>
          <w:trHeight w:val="202"/>
        </w:trPr>
        <w:tc>
          <w:tcPr>
            <w:tcW w:w="736" w:type="pct"/>
            <w:vMerge/>
            <w:hideMark/>
          </w:tcPr>
          <w:p w14:paraId="316BFFD2" w14:textId="77777777" w:rsidR="00E466CD" w:rsidRPr="00CB2E92" w:rsidRDefault="00E466CD" w:rsidP="005D5B06">
            <w:pPr>
              <w:pStyle w:val="TableCenter"/>
              <w:rPr>
                <w:sz w:val="18"/>
                <w:szCs w:val="18"/>
              </w:rPr>
            </w:pPr>
          </w:p>
        </w:tc>
        <w:tc>
          <w:tcPr>
            <w:tcW w:w="562" w:type="pct"/>
            <w:shd w:val="clear" w:color="000000" w:fill="FFFFFF"/>
            <w:noWrap/>
            <w:hideMark/>
          </w:tcPr>
          <w:p w14:paraId="1741F8CD"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w:t>
            </w:r>
          </w:p>
        </w:tc>
        <w:tc>
          <w:tcPr>
            <w:tcW w:w="489" w:type="pct"/>
            <w:shd w:val="clear" w:color="auto" w:fill="FFFFFF" w:themeFill="background1"/>
            <w:noWrap/>
            <w:vAlign w:val="center"/>
          </w:tcPr>
          <w:p w14:paraId="58F29E52" w14:textId="77777777" w:rsidR="00E466CD" w:rsidRPr="00CB2E92" w:rsidRDefault="00E466CD" w:rsidP="005D5B06">
            <w:pPr>
              <w:pStyle w:val="TableCenter"/>
              <w:rPr>
                <w:sz w:val="18"/>
                <w:szCs w:val="18"/>
              </w:rPr>
            </w:pPr>
            <w:r w:rsidRPr="00CB2E92">
              <w:rPr>
                <w:sz w:val="18"/>
                <w:szCs w:val="18"/>
              </w:rPr>
              <w:t>120.9</w:t>
            </w:r>
          </w:p>
        </w:tc>
        <w:tc>
          <w:tcPr>
            <w:tcW w:w="459" w:type="pct"/>
            <w:shd w:val="clear" w:color="auto" w:fill="FFFFFF" w:themeFill="background1"/>
            <w:noWrap/>
            <w:vAlign w:val="center"/>
          </w:tcPr>
          <w:p w14:paraId="6EB0A56D" w14:textId="77777777" w:rsidR="00E466CD" w:rsidRPr="00CB2E92" w:rsidRDefault="00E466CD" w:rsidP="005D5B06">
            <w:pPr>
              <w:pStyle w:val="TableCenter"/>
              <w:rPr>
                <w:sz w:val="18"/>
                <w:szCs w:val="18"/>
              </w:rPr>
            </w:pPr>
            <w:r w:rsidRPr="00CB2E92">
              <w:rPr>
                <w:sz w:val="18"/>
                <w:szCs w:val="18"/>
              </w:rPr>
              <w:t>1.6</w:t>
            </w:r>
          </w:p>
        </w:tc>
        <w:tc>
          <w:tcPr>
            <w:tcW w:w="459" w:type="pct"/>
            <w:shd w:val="clear" w:color="auto" w:fill="FFFFFF" w:themeFill="background1"/>
            <w:noWrap/>
            <w:vAlign w:val="center"/>
          </w:tcPr>
          <w:p w14:paraId="09C7272F" w14:textId="77777777" w:rsidR="00E466CD" w:rsidRPr="00CB2E92" w:rsidRDefault="00E466CD" w:rsidP="005D5B06">
            <w:pPr>
              <w:pStyle w:val="TableCenter"/>
              <w:rPr>
                <w:sz w:val="18"/>
                <w:szCs w:val="18"/>
              </w:rPr>
            </w:pPr>
            <w:r w:rsidRPr="00CB2E92">
              <w:rPr>
                <w:sz w:val="18"/>
                <w:szCs w:val="18"/>
              </w:rPr>
              <w:t>1.2</w:t>
            </w:r>
          </w:p>
        </w:tc>
        <w:tc>
          <w:tcPr>
            <w:tcW w:w="459" w:type="pct"/>
            <w:shd w:val="clear" w:color="auto" w:fill="FFFFFF" w:themeFill="background1"/>
            <w:noWrap/>
            <w:vAlign w:val="center"/>
          </w:tcPr>
          <w:p w14:paraId="3836EECC" w14:textId="77777777" w:rsidR="00E466CD" w:rsidRPr="00CB2E92" w:rsidRDefault="00E466CD" w:rsidP="005D5B06">
            <w:pPr>
              <w:pStyle w:val="TableCenter"/>
              <w:rPr>
                <w:sz w:val="18"/>
                <w:szCs w:val="18"/>
              </w:rPr>
            </w:pPr>
            <w:r w:rsidRPr="00CB2E92">
              <w:rPr>
                <w:sz w:val="18"/>
                <w:szCs w:val="18"/>
              </w:rPr>
              <w:t>6.5</w:t>
            </w:r>
          </w:p>
        </w:tc>
        <w:tc>
          <w:tcPr>
            <w:tcW w:w="459" w:type="pct"/>
            <w:shd w:val="clear" w:color="auto" w:fill="FFFFFF" w:themeFill="background1"/>
            <w:vAlign w:val="center"/>
          </w:tcPr>
          <w:p w14:paraId="2E73CED8" w14:textId="77777777" w:rsidR="00E466CD" w:rsidRPr="00CB2E92" w:rsidRDefault="00E466CD" w:rsidP="005D5B06">
            <w:pPr>
              <w:pStyle w:val="TableCenter"/>
              <w:rPr>
                <w:sz w:val="18"/>
                <w:szCs w:val="18"/>
              </w:rPr>
            </w:pPr>
            <w:r w:rsidRPr="00CB2E92">
              <w:rPr>
                <w:sz w:val="18"/>
                <w:szCs w:val="18"/>
              </w:rPr>
              <w:t>4.0</w:t>
            </w:r>
          </w:p>
        </w:tc>
        <w:tc>
          <w:tcPr>
            <w:tcW w:w="459" w:type="pct"/>
            <w:shd w:val="clear" w:color="auto" w:fill="FFFFFF" w:themeFill="background1"/>
            <w:noWrap/>
            <w:vAlign w:val="center"/>
          </w:tcPr>
          <w:p w14:paraId="2BD2F9EE" w14:textId="77777777" w:rsidR="00E466CD" w:rsidRPr="00CB2E92" w:rsidRDefault="00E466CD" w:rsidP="005D5B06">
            <w:pPr>
              <w:pStyle w:val="TableCenter"/>
              <w:rPr>
                <w:sz w:val="18"/>
                <w:szCs w:val="18"/>
              </w:rPr>
            </w:pPr>
            <w:r w:rsidRPr="00CB2E92">
              <w:rPr>
                <w:sz w:val="18"/>
                <w:szCs w:val="18"/>
              </w:rPr>
              <w:t>10.7</w:t>
            </w:r>
          </w:p>
        </w:tc>
        <w:tc>
          <w:tcPr>
            <w:tcW w:w="459" w:type="pct"/>
            <w:shd w:val="clear" w:color="auto" w:fill="FFFFFF" w:themeFill="background1"/>
            <w:noWrap/>
            <w:vAlign w:val="center"/>
          </w:tcPr>
          <w:p w14:paraId="57CAE18C"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FFFFFF" w:themeFill="background1"/>
            <w:noWrap/>
            <w:vAlign w:val="center"/>
          </w:tcPr>
          <w:p w14:paraId="1D3B99A5" w14:textId="77777777" w:rsidR="00E466CD" w:rsidRPr="00CB2E92" w:rsidRDefault="00E466CD" w:rsidP="005D5B06">
            <w:pPr>
              <w:pStyle w:val="TableCenter"/>
              <w:rPr>
                <w:sz w:val="18"/>
                <w:szCs w:val="18"/>
              </w:rPr>
            </w:pPr>
            <w:r w:rsidRPr="00CB2E92">
              <w:rPr>
                <w:sz w:val="18"/>
                <w:szCs w:val="18"/>
              </w:rPr>
              <w:t>61.2</w:t>
            </w:r>
          </w:p>
        </w:tc>
      </w:tr>
      <w:tr w:rsidR="00E466CD" w14:paraId="20DF597B" w14:textId="77777777" w:rsidTr="005D5B06">
        <w:trPr>
          <w:trHeight w:val="202"/>
        </w:trPr>
        <w:tc>
          <w:tcPr>
            <w:tcW w:w="736" w:type="pct"/>
            <w:vMerge/>
            <w:hideMark/>
          </w:tcPr>
          <w:p w14:paraId="20DFF1D4" w14:textId="77777777" w:rsidR="00E466CD" w:rsidRPr="00CB2E92" w:rsidRDefault="00E466CD" w:rsidP="005D5B06">
            <w:pPr>
              <w:pStyle w:val="TableCenter"/>
              <w:rPr>
                <w:sz w:val="18"/>
                <w:szCs w:val="18"/>
              </w:rPr>
            </w:pPr>
          </w:p>
        </w:tc>
        <w:tc>
          <w:tcPr>
            <w:tcW w:w="562" w:type="pct"/>
            <w:shd w:val="clear" w:color="000000" w:fill="FFFFFF"/>
            <w:noWrap/>
            <w:hideMark/>
          </w:tcPr>
          <w:p w14:paraId="4A4D2197"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w:t>
            </w:r>
          </w:p>
        </w:tc>
        <w:tc>
          <w:tcPr>
            <w:tcW w:w="489" w:type="pct"/>
            <w:shd w:val="clear" w:color="auto" w:fill="FFFFFF" w:themeFill="background1"/>
            <w:noWrap/>
            <w:vAlign w:val="center"/>
          </w:tcPr>
          <w:p w14:paraId="0C0E73F4" w14:textId="77777777" w:rsidR="00E466CD" w:rsidRPr="00CB2E92" w:rsidRDefault="00E466CD" w:rsidP="005D5B06">
            <w:pPr>
              <w:pStyle w:val="TableCenter"/>
              <w:rPr>
                <w:sz w:val="18"/>
                <w:szCs w:val="18"/>
              </w:rPr>
            </w:pPr>
            <w:r w:rsidRPr="00CB2E92">
              <w:rPr>
                <w:sz w:val="18"/>
                <w:szCs w:val="18"/>
              </w:rPr>
              <w:t>29.0</w:t>
            </w:r>
          </w:p>
        </w:tc>
        <w:tc>
          <w:tcPr>
            <w:tcW w:w="459" w:type="pct"/>
            <w:shd w:val="clear" w:color="auto" w:fill="FFFFFF" w:themeFill="background1"/>
            <w:noWrap/>
            <w:vAlign w:val="center"/>
          </w:tcPr>
          <w:p w14:paraId="2182FFCE" w14:textId="77777777" w:rsidR="00E466CD" w:rsidRPr="00CB2E92" w:rsidRDefault="00E466CD" w:rsidP="005D5B06">
            <w:pPr>
              <w:pStyle w:val="TableCenter"/>
              <w:rPr>
                <w:sz w:val="18"/>
                <w:szCs w:val="18"/>
              </w:rPr>
            </w:pPr>
            <w:r w:rsidRPr="00CB2E92">
              <w:rPr>
                <w:sz w:val="18"/>
                <w:szCs w:val="18"/>
              </w:rPr>
              <w:t>1.1</w:t>
            </w:r>
          </w:p>
        </w:tc>
        <w:tc>
          <w:tcPr>
            <w:tcW w:w="459" w:type="pct"/>
            <w:shd w:val="clear" w:color="auto" w:fill="FFFFFF" w:themeFill="background1"/>
            <w:noWrap/>
            <w:vAlign w:val="center"/>
          </w:tcPr>
          <w:p w14:paraId="399C4319" w14:textId="77777777" w:rsidR="00E466CD" w:rsidRPr="00CB2E92" w:rsidRDefault="00E466CD" w:rsidP="005D5B06">
            <w:pPr>
              <w:pStyle w:val="TableCenter"/>
              <w:rPr>
                <w:sz w:val="18"/>
                <w:szCs w:val="18"/>
              </w:rPr>
            </w:pPr>
            <w:r w:rsidRPr="00CB2E92">
              <w:rPr>
                <w:sz w:val="18"/>
                <w:szCs w:val="18"/>
              </w:rPr>
              <w:t>1.6</w:t>
            </w:r>
          </w:p>
        </w:tc>
        <w:tc>
          <w:tcPr>
            <w:tcW w:w="459" w:type="pct"/>
            <w:shd w:val="clear" w:color="auto" w:fill="FFFFFF" w:themeFill="background1"/>
            <w:noWrap/>
            <w:vAlign w:val="center"/>
          </w:tcPr>
          <w:p w14:paraId="3AC6F7F0" w14:textId="77777777" w:rsidR="00E466CD" w:rsidRPr="00CB2E92" w:rsidRDefault="00E466CD" w:rsidP="005D5B06">
            <w:pPr>
              <w:pStyle w:val="TableCenter"/>
              <w:rPr>
                <w:sz w:val="18"/>
                <w:szCs w:val="18"/>
              </w:rPr>
            </w:pPr>
            <w:r w:rsidRPr="00CB2E92">
              <w:rPr>
                <w:sz w:val="18"/>
                <w:szCs w:val="18"/>
              </w:rPr>
              <w:t>1.9</w:t>
            </w:r>
          </w:p>
        </w:tc>
        <w:tc>
          <w:tcPr>
            <w:tcW w:w="459" w:type="pct"/>
            <w:shd w:val="clear" w:color="auto" w:fill="FFFFFF" w:themeFill="background1"/>
            <w:vAlign w:val="center"/>
          </w:tcPr>
          <w:p w14:paraId="7E229491" w14:textId="77777777" w:rsidR="00E466CD" w:rsidRPr="00CB2E92" w:rsidRDefault="00E466CD" w:rsidP="005D5B06">
            <w:pPr>
              <w:pStyle w:val="TableCenter"/>
              <w:rPr>
                <w:sz w:val="18"/>
                <w:szCs w:val="18"/>
              </w:rPr>
            </w:pPr>
            <w:r w:rsidRPr="00CB2E92">
              <w:rPr>
                <w:sz w:val="18"/>
                <w:szCs w:val="18"/>
              </w:rPr>
              <w:t>2.6</w:t>
            </w:r>
          </w:p>
        </w:tc>
        <w:tc>
          <w:tcPr>
            <w:tcW w:w="459" w:type="pct"/>
            <w:shd w:val="clear" w:color="auto" w:fill="FFFFFF" w:themeFill="background1"/>
            <w:noWrap/>
            <w:vAlign w:val="center"/>
          </w:tcPr>
          <w:p w14:paraId="0FAA6B7A" w14:textId="77777777" w:rsidR="00E466CD" w:rsidRPr="00CB2E92" w:rsidRDefault="00E466CD" w:rsidP="005D5B06">
            <w:pPr>
              <w:pStyle w:val="TableCenter"/>
              <w:rPr>
                <w:sz w:val="18"/>
                <w:szCs w:val="18"/>
              </w:rPr>
            </w:pPr>
            <w:r w:rsidRPr="00CB2E92">
              <w:rPr>
                <w:sz w:val="18"/>
                <w:szCs w:val="18"/>
              </w:rPr>
              <w:t>5.2</w:t>
            </w:r>
          </w:p>
        </w:tc>
        <w:tc>
          <w:tcPr>
            <w:tcW w:w="459" w:type="pct"/>
            <w:shd w:val="clear" w:color="auto" w:fill="FFFFFF" w:themeFill="background1"/>
            <w:noWrap/>
            <w:vAlign w:val="center"/>
          </w:tcPr>
          <w:p w14:paraId="17E9D0E9" w14:textId="77777777" w:rsidR="00E466CD" w:rsidRPr="00CB2E92" w:rsidRDefault="00E466CD" w:rsidP="005D5B06">
            <w:pPr>
              <w:pStyle w:val="TableCenter"/>
              <w:rPr>
                <w:sz w:val="18"/>
                <w:szCs w:val="18"/>
              </w:rPr>
            </w:pPr>
            <w:r w:rsidRPr="00CB2E92">
              <w:rPr>
                <w:sz w:val="18"/>
                <w:szCs w:val="18"/>
              </w:rPr>
              <w:t>1613.1</w:t>
            </w:r>
          </w:p>
        </w:tc>
        <w:tc>
          <w:tcPr>
            <w:tcW w:w="459" w:type="pct"/>
            <w:shd w:val="clear" w:color="auto" w:fill="FFFFFF" w:themeFill="background1"/>
            <w:noWrap/>
            <w:vAlign w:val="center"/>
          </w:tcPr>
          <w:p w14:paraId="000026DB" w14:textId="77777777" w:rsidR="00E466CD" w:rsidRPr="00CB2E92" w:rsidRDefault="00E466CD" w:rsidP="005D5B06">
            <w:pPr>
              <w:pStyle w:val="TableCenter"/>
              <w:rPr>
                <w:sz w:val="18"/>
                <w:szCs w:val="18"/>
              </w:rPr>
            </w:pPr>
            <w:r w:rsidRPr="00CB2E92">
              <w:rPr>
                <w:sz w:val="18"/>
                <w:szCs w:val="18"/>
              </w:rPr>
              <w:t>26.0</w:t>
            </w:r>
          </w:p>
        </w:tc>
      </w:tr>
      <w:tr w:rsidR="00E466CD" w14:paraId="237B7792" w14:textId="77777777" w:rsidTr="005D5B06">
        <w:trPr>
          <w:trHeight w:val="202"/>
        </w:trPr>
        <w:tc>
          <w:tcPr>
            <w:tcW w:w="736" w:type="pct"/>
            <w:vMerge/>
            <w:hideMark/>
          </w:tcPr>
          <w:p w14:paraId="337886D2" w14:textId="77777777" w:rsidR="00E466CD" w:rsidRPr="00CB2E92" w:rsidRDefault="00E466CD" w:rsidP="005D5B06">
            <w:pPr>
              <w:pStyle w:val="TableCenter"/>
              <w:rPr>
                <w:sz w:val="18"/>
                <w:szCs w:val="18"/>
              </w:rPr>
            </w:pPr>
          </w:p>
        </w:tc>
        <w:tc>
          <w:tcPr>
            <w:tcW w:w="562" w:type="pct"/>
            <w:shd w:val="clear" w:color="auto" w:fill="auto"/>
            <w:noWrap/>
            <w:hideMark/>
          </w:tcPr>
          <w:p w14:paraId="31D90453"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w:t>
            </w:r>
          </w:p>
        </w:tc>
        <w:tc>
          <w:tcPr>
            <w:tcW w:w="489" w:type="pct"/>
            <w:shd w:val="clear" w:color="auto" w:fill="auto"/>
            <w:noWrap/>
            <w:vAlign w:val="center"/>
          </w:tcPr>
          <w:p w14:paraId="6D87BC6A" w14:textId="77777777" w:rsidR="00E466CD" w:rsidRPr="00CB2E92" w:rsidRDefault="00E466CD" w:rsidP="005D5B06">
            <w:pPr>
              <w:pStyle w:val="TableCenter"/>
              <w:rPr>
                <w:sz w:val="18"/>
                <w:szCs w:val="18"/>
              </w:rPr>
            </w:pPr>
            <w:r w:rsidRPr="00CB2E92">
              <w:rPr>
                <w:sz w:val="18"/>
                <w:szCs w:val="18"/>
              </w:rPr>
              <w:t>35.5</w:t>
            </w:r>
          </w:p>
        </w:tc>
        <w:tc>
          <w:tcPr>
            <w:tcW w:w="459" w:type="pct"/>
            <w:shd w:val="clear" w:color="auto" w:fill="auto"/>
            <w:noWrap/>
            <w:vAlign w:val="center"/>
          </w:tcPr>
          <w:p w14:paraId="0B542DAA" w14:textId="77777777" w:rsidR="00E466CD" w:rsidRPr="00CB2E92" w:rsidRDefault="00E466CD" w:rsidP="005D5B06">
            <w:pPr>
              <w:pStyle w:val="TableCenter"/>
              <w:rPr>
                <w:sz w:val="18"/>
                <w:szCs w:val="18"/>
              </w:rPr>
            </w:pPr>
            <w:r w:rsidRPr="00CB2E92">
              <w:rPr>
                <w:sz w:val="18"/>
                <w:szCs w:val="18"/>
              </w:rPr>
              <w:t>2.6</w:t>
            </w:r>
          </w:p>
        </w:tc>
        <w:tc>
          <w:tcPr>
            <w:tcW w:w="459" w:type="pct"/>
            <w:shd w:val="clear" w:color="auto" w:fill="auto"/>
            <w:noWrap/>
            <w:vAlign w:val="center"/>
          </w:tcPr>
          <w:p w14:paraId="37688FAD" w14:textId="77777777" w:rsidR="00E466CD" w:rsidRPr="00CB2E92" w:rsidRDefault="00E466CD" w:rsidP="005D5B06">
            <w:pPr>
              <w:pStyle w:val="TableCenter"/>
              <w:rPr>
                <w:sz w:val="18"/>
                <w:szCs w:val="18"/>
              </w:rPr>
            </w:pPr>
            <w:r w:rsidRPr="00CB2E92">
              <w:rPr>
                <w:sz w:val="18"/>
                <w:szCs w:val="18"/>
              </w:rPr>
              <w:t>3.3</w:t>
            </w:r>
          </w:p>
        </w:tc>
        <w:tc>
          <w:tcPr>
            <w:tcW w:w="459" w:type="pct"/>
            <w:shd w:val="clear" w:color="auto" w:fill="auto"/>
            <w:noWrap/>
            <w:vAlign w:val="center"/>
          </w:tcPr>
          <w:p w14:paraId="415CAD2D" w14:textId="77777777" w:rsidR="00E466CD" w:rsidRPr="00CB2E92" w:rsidRDefault="00E466CD" w:rsidP="005D5B06">
            <w:pPr>
              <w:pStyle w:val="TableCenter"/>
              <w:rPr>
                <w:sz w:val="18"/>
                <w:szCs w:val="18"/>
              </w:rPr>
            </w:pPr>
            <w:r w:rsidRPr="00CB2E92">
              <w:rPr>
                <w:sz w:val="18"/>
                <w:szCs w:val="18"/>
              </w:rPr>
              <w:t>8.7</w:t>
            </w:r>
          </w:p>
        </w:tc>
        <w:tc>
          <w:tcPr>
            <w:tcW w:w="459" w:type="pct"/>
            <w:shd w:val="clear" w:color="auto" w:fill="auto"/>
            <w:vAlign w:val="center"/>
          </w:tcPr>
          <w:p w14:paraId="1B6C5C36" w14:textId="77777777" w:rsidR="00E466CD" w:rsidRPr="00CB2E92" w:rsidRDefault="00E466CD" w:rsidP="005D5B06">
            <w:pPr>
              <w:pStyle w:val="TableCenter"/>
              <w:rPr>
                <w:sz w:val="18"/>
                <w:szCs w:val="18"/>
              </w:rPr>
            </w:pPr>
            <w:r w:rsidRPr="00CB2E92">
              <w:rPr>
                <w:sz w:val="18"/>
                <w:szCs w:val="18"/>
              </w:rPr>
              <w:t>6.7</w:t>
            </w:r>
          </w:p>
        </w:tc>
        <w:tc>
          <w:tcPr>
            <w:tcW w:w="459" w:type="pct"/>
            <w:shd w:val="clear" w:color="auto" w:fill="auto"/>
            <w:noWrap/>
            <w:vAlign w:val="center"/>
          </w:tcPr>
          <w:p w14:paraId="271A3453" w14:textId="77777777" w:rsidR="00E466CD" w:rsidRPr="00CB2E92" w:rsidRDefault="00E466CD" w:rsidP="005D5B06">
            <w:pPr>
              <w:pStyle w:val="TableCenter"/>
              <w:rPr>
                <w:sz w:val="18"/>
                <w:szCs w:val="18"/>
              </w:rPr>
            </w:pPr>
            <w:r w:rsidRPr="00CB2E92">
              <w:rPr>
                <w:sz w:val="18"/>
                <w:szCs w:val="18"/>
              </w:rPr>
              <w:t>19.2</w:t>
            </w:r>
          </w:p>
        </w:tc>
        <w:tc>
          <w:tcPr>
            <w:tcW w:w="459" w:type="pct"/>
            <w:shd w:val="clear" w:color="auto" w:fill="auto"/>
            <w:noWrap/>
            <w:vAlign w:val="center"/>
          </w:tcPr>
          <w:p w14:paraId="33560A2D"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06D138C4" w14:textId="77777777" w:rsidR="00E466CD" w:rsidRPr="00CB2E92" w:rsidRDefault="00E466CD" w:rsidP="005D5B06">
            <w:pPr>
              <w:pStyle w:val="TableCenter"/>
              <w:rPr>
                <w:sz w:val="18"/>
                <w:szCs w:val="18"/>
              </w:rPr>
            </w:pPr>
            <w:r w:rsidRPr="00CB2E92">
              <w:rPr>
                <w:sz w:val="18"/>
                <w:szCs w:val="18"/>
              </w:rPr>
              <w:t>138.4</w:t>
            </w:r>
          </w:p>
        </w:tc>
      </w:tr>
      <w:tr w:rsidR="00E466CD" w14:paraId="66B154F5" w14:textId="77777777" w:rsidTr="005D5B06">
        <w:trPr>
          <w:trHeight w:val="202"/>
        </w:trPr>
        <w:tc>
          <w:tcPr>
            <w:tcW w:w="736" w:type="pct"/>
            <w:vMerge/>
            <w:hideMark/>
          </w:tcPr>
          <w:p w14:paraId="52A6D0A3" w14:textId="77777777" w:rsidR="00E466CD" w:rsidRPr="00CB2E92" w:rsidRDefault="00E466CD" w:rsidP="005D5B06">
            <w:pPr>
              <w:pStyle w:val="TableCenter"/>
              <w:rPr>
                <w:sz w:val="18"/>
                <w:szCs w:val="18"/>
              </w:rPr>
            </w:pPr>
          </w:p>
        </w:tc>
        <w:tc>
          <w:tcPr>
            <w:tcW w:w="562" w:type="pct"/>
            <w:shd w:val="clear" w:color="auto" w:fill="auto"/>
            <w:noWrap/>
            <w:hideMark/>
          </w:tcPr>
          <w:p w14:paraId="649EEAAF"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1000</w:t>
            </w:r>
          </w:p>
        </w:tc>
        <w:tc>
          <w:tcPr>
            <w:tcW w:w="489" w:type="pct"/>
            <w:shd w:val="clear" w:color="auto" w:fill="auto"/>
            <w:noWrap/>
            <w:vAlign w:val="center"/>
          </w:tcPr>
          <w:p w14:paraId="3F9E23E0" w14:textId="77777777" w:rsidR="00E466CD" w:rsidRPr="00CB2E92" w:rsidRDefault="00E466CD" w:rsidP="005D5B06">
            <w:pPr>
              <w:pStyle w:val="TableCenter"/>
              <w:rPr>
                <w:sz w:val="18"/>
                <w:szCs w:val="18"/>
              </w:rPr>
            </w:pPr>
            <w:r w:rsidRPr="00CB2E92">
              <w:rPr>
                <w:sz w:val="18"/>
                <w:szCs w:val="18"/>
              </w:rPr>
              <w:t>40.7</w:t>
            </w:r>
          </w:p>
        </w:tc>
        <w:tc>
          <w:tcPr>
            <w:tcW w:w="459" w:type="pct"/>
            <w:shd w:val="clear" w:color="auto" w:fill="auto"/>
            <w:noWrap/>
            <w:vAlign w:val="center"/>
          </w:tcPr>
          <w:p w14:paraId="30D31C39" w14:textId="77777777" w:rsidR="00E466CD" w:rsidRPr="00CB2E92" w:rsidRDefault="00E466CD" w:rsidP="005D5B06">
            <w:pPr>
              <w:pStyle w:val="TableCenter"/>
              <w:rPr>
                <w:sz w:val="18"/>
                <w:szCs w:val="18"/>
              </w:rPr>
            </w:pPr>
            <w:r w:rsidRPr="00CB2E92">
              <w:rPr>
                <w:sz w:val="18"/>
                <w:szCs w:val="18"/>
              </w:rPr>
              <w:t>4.7</w:t>
            </w:r>
          </w:p>
        </w:tc>
        <w:tc>
          <w:tcPr>
            <w:tcW w:w="459" w:type="pct"/>
            <w:shd w:val="clear" w:color="auto" w:fill="auto"/>
            <w:noWrap/>
            <w:vAlign w:val="center"/>
          </w:tcPr>
          <w:p w14:paraId="2DEE7400" w14:textId="77777777" w:rsidR="00E466CD" w:rsidRPr="00CB2E92" w:rsidRDefault="00E466CD" w:rsidP="005D5B06">
            <w:pPr>
              <w:pStyle w:val="TableCenter"/>
              <w:rPr>
                <w:sz w:val="18"/>
                <w:szCs w:val="18"/>
              </w:rPr>
            </w:pPr>
            <w:r w:rsidRPr="00CB2E92">
              <w:rPr>
                <w:sz w:val="18"/>
                <w:szCs w:val="18"/>
              </w:rPr>
              <w:t>5.6</w:t>
            </w:r>
          </w:p>
        </w:tc>
        <w:tc>
          <w:tcPr>
            <w:tcW w:w="459" w:type="pct"/>
            <w:shd w:val="clear" w:color="auto" w:fill="auto"/>
            <w:noWrap/>
            <w:vAlign w:val="center"/>
          </w:tcPr>
          <w:p w14:paraId="2FE4EDCE" w14:textId="77777777" w:rsidR="00E466CD" w:rsidRPr="00CB2E92" w:rsidRDefault="00E466CD" w:rsidP="005D5B06">
            <w:pPr>
              <w:pStyle w:val="TableCenter"/>
              <w:rPr>
                <w:sz w:val="18"/>
                <w:szCs w:val="18"/>
              </w:rPr>
            </w:pPr>
            <w:r w:rsidRPr="00CB2E92">
              <w:rPr>
                <w:sz w:val="18"/>
                <w:szCs w:val="18"/>
              </w:rPr>
              <w:t>38.8</w:t>
            </w:r>
          </w:p>
        </w:tc>
        <w:tc>
          <w:tcPr>
            <w:tcW w:w="459" w:type="pct"/>
            <w:shd w:val="clear" w:color="auto" w:fill="auto"/>
            <w:vAlign w:val="center"/>
          </w:tcPr>
          <w:p w14:paraId="7C83CE73" w14:textId="77777777" w:rsidR="00E466CD" w:rsidRPr="00CB2E92" w:rsidRDefault="00E466CD" w:rsidP="005D5B06">
            <w:pPr>
              <w:pStyle w:val="TableCenter"/>
              <w:rPr>
                <w:sz w:val="18"/>
                <w:szCs w:val="18"/>
              </w:rPr>
            </w:pPr>
            <w:r w:rsidRPr="00CB2E92">
              <w:rPr>
                <w:sz w:val="18"/>
                <w:szCs w:val="18"/>
              </w:rPr>
              <w:t>11.9</w:t>
            </w:r>
          </w:p>
        </w:tc>
        <w:tc>
          <w:tcPr>
            <w:tcW w:w="459" w:type="pct"/>
            <w:shd w:val="clear" w:color="auto" w:fill="auto"/>
            <w:noWrap/>
            <w:vAlign w:val="center"/>
          </w:tcPr>
          <w:p w14:paraId="67941114" w14:textId="77777777" w:rsidR="00E466CD" w:rsidRPr="00CB2E92" w:rsidRDefault="00E466CD" w:rsidP="005D5B06">
            <w:pPr>
              <w:pStyle w:val="TableCenter"/>
              <w:rPr>
                <w:sz w:val="18"/>
                <w:szCs w:val="18"/>
              </w:rPr>
            </w:pPr>
            <w:r w:rsidRPr="00CB2E92">
              <w:rPr>
                <w:sz w:val="18"/>
                <w:szCs w:val="18"/>
              </w:rPr>
              <w:t>109.0</w:t>
            </w:r>
          </w:p>
        </w:tc>
        <w:tc>
          <w:tcPr>
            <w:tcW w:w="459" w:type="pct"/>
            <w:shd w:val="clear" w:color="auto" w:fill="auto"/>
            <w:noWrap/>
            <w:vAlign w:val="center"/>
          </w:tcPr>
          <w:p w14:paraId="36601D7C"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2057E322" w14:textId="77777777" w:rsidR="00E466CD" w:rsidRPr="00CB2E92" w:rsidRDefault="00E466CD" w:rsidP="005D5B06">
            <w:pPr>
              <w:pStyle w:val="TableCenter"/>
              <w:rPr>
                <w:sz w:val="18"/>
                <w:szCs w:val="18"/>
              </w:rPr>
            </w:pPr>
            <w:r w:rsidRPr="00CB2E92">
              <w:rPr>
                <w:sz w:val="18"/>
                <w:szCs w:val="18"/>
              </w:rPr>
              <w:t>512.5</w:t>
            </w:r>
          </w:p>
        </w:tc>
      </w:tr>
      <w:tr w:rsidR="00E466CD" w14:paraId="1ED216ED" w14:textId="77777777" w:rsidTr="005D5B06">
        <w:trPr>
          <w:trHeight w:val="202"/>
        </w:trPr>
        <w:tc>
          <w:tcPr>
            <w:tcW w:w="736" w:type="pct"/>
            <w:vMerge w:val="restart"/>
            <w:shd w:val="clear" w:color="000000" w:fill="FFFFFF"/>
            <w:hideMark/>
          </w:tcPr>
          <w:p w14:paraId="3C153164" w14:textId="77777777" w:rsidR="00E466CD" w:rsidRPr="00CB2E92" w:rsidRDefault="00E466CD" w:rsidP="005D5B06">
            <w:pPr>
              <w:pStyle w:val="TableLeft"/>
              <w:rPr>
                <w:rFonts w:cs="Times New Roman"/>
                <w:sz w:val="18"/>
                <w:szCs w:val="18"/>
              </w:rPr>
            </w:pPr>
            <w:r w:rsidRPr="00CB2E92">
              <w:rPr>
                <w:rFonts w:cs="Times New Roman"/>
                <w:sz w:val="18"/>
                <w:szCs w:val="18"/>
              </w:rPr>
              <w:t>OKT3</w:t>
            </w:r>
            <w:r w:rsidRPr="00CB2E92">
              <w:rPr>
                <w:rFonts w:eastAsia="Times New Roman" w:cs="Times New Roman"/>
                <w:bCs w:val="0"/>
                <w:color w:val="000000"/>
                <w:sz w:val="18"/>
                <w:szCs w:val="18"/>
              </w:rPr>
              <w:t xml:space="preserve"> </w:t>
            </w:r>
            <w:r w:rsidRPr="00CB2E92">
              <w:rPr>
                <w:rFonts w:cs="Times New Roman"/>
                <w:sz w:val="18"/>
                <w:szCs w:val="18"/>
              </w:rPr>
              <w:t>analog</w:t>
            </w:r>
          </w:p>
        </w:tc>
        <w:tc>
          <w:tcPr>
            <w:tcW w:w="562" w:type="pct"/>
            <w:shd w:val="clear" w:color="auto" w:fill="auto"/>
            <w:noWrap/>
            <w:hideMark/>
          </w:tcPr>
          <w:p w14:paraId="1414A2DF"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w:t>
            </w:r>
          </w:p>
        </w:tc>
        <w:tc>
          <w:tcPr>
            <w:tcW w:w="489" w:type="pct"/>
            <w:shd w:val="clear" w:color="auto" w:fill="auto"/>
            <w:noWrap/>
            <w:vAlign w:val="center"/>
          </w:tcPr>
          <w:p w14:paraId="76B8FACF" w14:textId="77777777" w:rsidR="00E466CD" w:rsidRPr="00CB2E92" w:rsidRDefault="00E466CD" w:rsidP="005D5B06">
            <w:pPr>
              <w:pStyle w:val="TableCenter"/>
              <w:rPr>
                <w:sz w:val="18"/>
                <w:szCs w:val="18"/>
              </w:rPr>
            </w:pPr>
            <w:r w:rsidRPr="00CB2E92">
              <w:rPr>
                <w:sz w:val="18"/>
                <w:szCs w:val="18"/>
              </w:rPr>
              <w:t>220.4</w:t>
            </w:r>
          </w:p>
        </w:tc>
        <w:tc>
          <w:tcPr>
            <w:tcW w:w="459" w:type="pct"/>
            <w:shd w:val="clear" w:color="auto" w:fill="auto"/>
            <w:noWrap/>
            <w:vAlign w:val="center"/>
          </w:tcPr>
          <w:p w14:paraId="317AC113" w14:textId="77777777" w:rsidR="00E466CD" w:rsidRPr="00CB2E92" w:rsidRDefault="00E466CD" w:rsidP="005D5B06">
            <w:pPr>
              <w:pStyle w:val="TableCenter"/>
              <w:rPr>
                <w:sz w:val="18"/>
                <w:szCs w:val="18"/>
              </w:rPr>
            </w:pPr>
            <w:r w:rsidRPr="00CB2E92">
              <w:rPr>
                <w:sz w:val="18"/>
                <w:szCs w:val="18"/>
              </w:rPr>
              <w:t>3.7</w:t>
            </w:r>
          </w:p>
        </w:tc>
        <w:tc>
          <w:tcPr>
            <w:tcW w:w="459" w:type="pct"/>
            <w:shd w:val="clear" w:color="auto" w:fill="auto"/>
            <w:noWrap/>
            <w:vAlign w:val="center"/>
          </w:tcPr>
          <w:p w14:paraId="4D4DC2B4" w14:textId="77777777" w:rsidR="00E466CD" w:rsidRPr="00CB2E92" w:rsidRDefault="00E466CD" w:rsidP="005D5B06">
            <w:pPr>
              <w:pStyle w:val="TableCenter"/>
              <w:rPr>
                <w:sz w:val="18"/>
                <w:szCs w:val="18"/>
              </w:rPr>
            </w:pPr>
            <w:r w:rsidRPr="00CB2E92">
              <w:rPr>
                <w:sz w:val="18"/>
                <w:szCs w:val="18"/>
              </w:rPr>
              <w:t>7.3</w:t>
            </w:r>
          </w:p>
        </w:tc>
        <w:tc>
          <w:tcPr>
            <w:tcW w:w="459" w:type="pct"/>
            <w:shd w:val="clear" w:color="auto" w:fill="auto"/>
            <w:noWrap/>
            <w:vAlign w:val="center"/>
          </w:tcPr>
          <w:p w14:paraId="3B335433" w14:textId="77777777" w:rsidR="00E466CD" w:rsidRPr="00CB2E92" w:rsidRDefault="00E466CD" w:rsidP="005D5B06">
            <w:pPr>
              <w:pStyle w:val="TableCenter"/>
              <w:rPr>
                <w:sz w:val="18"/>
                <w:szCs w:val="18"/>
              </w:rPr>
            </w:pPr>
            <w:r w:rsidRPr="00CB2E92">
              <w:rPr>
                <w:sz w:val="18"/>
                <w:szCs w:val="18"/>
              </w:rPr>
              <w:t>9.7</w:t>
            </w:r>
          </w:p>
        </w:tc>
        <w:tc>
          <w:tcPr>
            <w:tcW w:w="459" w:type="pct"/>
            <w:shd w:val="clear" w:color="auto" w:fill="auto"/>
            <w:vAlign w:val="center"/>
          </w:tcPr>
          <w:p w14:paraId="3B31F614" w14:textId="77777777" w:rsidR="00E466CD" w:rsidRPr="00CB2E92" w:rsidRDefault="00E466CD" w:rsidP="005D5B06">
            <w:pPr>
              <w:pStyle w:val="TableCenter"/>
              <w:rPr>
                <w:sz w:val="18"/>
                <w:szCs w:val="18"/>
              </w:rPr>
            </w:pPr>
            <w:r w:rsidRPr="00CB2E92">
              <w:rPr>
                <w:sz w:val="18"/>
                <w:szCs w:val="18"/>
              </w:rPr>
              <w:t>17.4</w:t>
            </w:r>
          </w:p>
        </w:tc>
        <w:tc>
          <w:tcPr>
            <w:tcW w:w="459" w:type="pct"/>
            <w:shd w:val="clear" w:color="auto" w:fill="auto"/>
            <w:noWrap/>
            <w:vAlign w:val="center"/>
          </w:tcPr>
          <w:p w14:paraId="06BA3709" w14:textId="77777777" w:rsidR="00E466CD" w:rsidRPr="00CB2E92" w:rsidRDefault="00E466CD" w:rsidP="005D5B06">
            <w:pPr>
              <w:pStyle w:val="TableCenter"/>
              <w:rPr>
                <w:sz w:val="18"/>
                <w:szCs w:val="18"/>
              </w:rPr>
            </w:pPr>
            <w:r w:rsidRPr="00CB2E92">
              <w:rPr>
                <w:sz w:val="18"/>
                <w:szCs w:val="18"/>
              </w:rPr>
              <w:t>16.7</w:t>
            </w:r>
          </w:p>
        </w:tc>
        <w:tc>
          <w:tcPr>
            <w:tcW w:w="459" w:type="pct"/>
            <w:shd w:val="clear" w:color="auto" w:fill="auto"/>
            <w:noWrap/>
            <w:vAlign w:val="center"/>
          </w:tcPr>
          <w:p w14:paraId="30DDF89C"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4E97562F" w14:textId="77777777" w:rsidR="00E466CD" w:rsidRPr="00CB2E92" w:rsidRDefault="00E466CD" w:rsidP="005D5B06">
            <w:pPr>
              <w:pStyle w:val="TableCenter"/>
              <w:rPr>
                <w:sz w:val="18"/>
                <w:szCs w:val="18"/>
              </w:rPr>
            </w:pPr>
            <w:r w:rsidRPr="00CB2E92">
              <w:rPr>
                <w:sz w:val="18"/>
                <w:szCs w:val="18"/>
              </w:rPr>
              <w:t>146.1</w:t>
            </w:r>
          </w:p>
        </w:tc>
      </w:tr>
      <w:tr w:rsidR="00E466CD" w14:paraId="433EF31D" w14:textId="77777777" w:rsidTr="005D5B06">
        <w:trPr>
          <w:trHeight w:val="202"/>
        </w:trPr>
        <w:tc>
          <w:tcPr>
            <w:tcW w:w="736" w:type="pct"/>
            <w:vMerge/>
            <w:hideMark/>
          </w:tcPr>
          <w:p w14:paraId="7CC6515E" w14:textId="77777777" w:rsidR="00E466CD" w:rsidRPr="00CB2E92" w:rsidRDefault="00E466CD" w:rsidP="005D5B06">
            <w:pPr>
              <w:pStyle w:val="TableCenter"/>
              <w:rPr>
                <w:sz w:val="18"/>
                <w:szCs w:val="18"/>
              </w:rPr>
            </w:pPr>
          </w:p>
        </w:tc>
        <w:tc>
          <w:tcPr>
            <w:tcW w:w="562" w:type="pct"/>
            <w:shd w:val="clear" w:color="auto" w:fill="auto"/>
            <w:noWrap/>
            <w:hideMark/>
          </w:tcPr>
          <w:p w14:paraId="5F2C8A18"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w:t>
            </w:r>
          </w:p>
        </w:tc>
        <w:tc>
          <w:tcPr>
            <w:tcW w:w="489" w:type="pct"/>
            <w:shd w:val="clear" w:color="auto" w:fill="auto"/>
            <w:noWrap/>
            <w:vAlign w:val="center"/>
          </w:tcPr>
          <w:p w14:paraId="4ABA99CD" w14:textId="77777777" w:rsidR="00E466CD" w:rsidRPr="00CB2E92" w:rsidRDefault="00E466CD" w:rsidP="005D5B06">
            <w:pPr>
              <w:pStyle w:val="TableCenter"/>
              <w:rPr>
                <w:sz w:val="18"/>
                <w:szCs w:val="18"/>
              </w:rPr>
            </w:pPr>
            <w:r w:rsidRPr="00CB2E92">
              <w:rPr>
                <w:sz w:val="18"/>
                <w:szCs w:val="18"/>
              </w:rPr>
              <w:t>4607.8</w:t>
            </w:r>
          </w:p>
        </w:tc>
        <w:tc>
          <w:tcPr>
            <w:tcW w:w="459" w:type="pct"/>
            <w:shd w:val="clear" w:color="auto" w:fill="auto"/>
            <w:noWrap/>
            <w:vAlign w:val="center"/>
          </w:tcPr>
          <w:p w14:paraId="73AB3A91" w14:textId="77777777" w:rsidR="00E466CD" w:rsidRPr="00CB2E92" w:rsidRDefault="00E466CD" w:rsidP="005D5B06">
            <w:pPr>
              <w:pStyle w:val="TableCenter"/>
              <w:rPr>
                <w:sz w:val="18"/>
                <w:szCs w:val="18"/>
              </w:rPr>
            </w:pPr>
            <w:r w:rsidRPr="00CB2E92">
              <w:rPr>
                <w:sz w:val="18"/>
                <w:szCs w:val="18"/>
              </w:rPr>
              <w:t>52.8</w:t>
            </w:r>
          </w:p>
        </w:tc>
        <w:tc>
          <w:tcPr>
            <w:tcW w:w="459" w:type="pct"/>
            <w:shd w:val="clear" w:color="auto" w:fill="auto"/>
            <w:noWrap/>
            <w:vAlign w:val="center"/>
          </w:tcPr>
          <w:p w14:paraId="0AF2B880" w14:textId="77777777" w:rsidR="00E466CD" w:rsidRPr="00CB2E92" w:rsidRDefault="00E466CD" w:rsidP="005D5B06">
            <w:pPr>
              <w:pStyle w:val="TableCenter"/>
              <w:rPr>
                <w:sz w:val="18"/>
                <w:szCs w:val="18"/>
              </w:rPr>
            </w:pPr>
            <w:r w:rsidRPr="00CB2E92">
              <w:rPr>
                <w:sz w:val="18"/>
                <w:szCs w:val="18"/>
              </w:rPr>
              <w:t>14.3</w:t>
            </w:r>
          </w:p>
        </w:tc>
        <w:tc>
          <w:tcPr>
            <w:tcW w:w="459" w:type="pct"/>
            <w:shd w:val="clear" w:color="auto" w:fill="auto"/>
            <w:noWrap/>
            <w:vAlign w:val="center"/>
          </w:tcPr>
          <w:p w14:paraId="1C9CC8AA" w14:textId="77777777" w:rsidR="00E466CD" w:rsidRPr="00CB2E92" w:rsidRDefault="00E466CD" w:rsidP="005D5B06">
            <w:pPr>
              <w:pStyle w:val="TableCenter"/>
              <w:rPr>
                <w:sz w:val="18"/>
                <w:szCs w:val="18"/>
              </w:rPr>
            </w:pPr>
            <w:r w:rsidRPr="00CB2E92">
              <w:rPr>
                <w:sz w:val="18"/>
                <w:szCs w:val="18"/>
              </w:rPr>
              <w:t>67.5</w:t>
            </w:r>
          </w:p>
        </w:tc>
        <w:tc>
          <w:tcPr>
            <w:tcW w:w="459" w:type="pct"/>
            <w:shd w:val="clear" w:color="auto" w:fill="auto"/>
            <w:vAlign w:val="center"/>
          </w:tcPr>
          <w:p w14:paraId="45CAE425" w14:textId="77777777" w:rsidR="00E466CD" w:rsidRPr="00CB2E92" w:rsidRDefault="00E466CD" w:rsidP="005D5B06">
            <w:pPr>
              <w:pStyle w:val="TableCenter"/>
              <w:rPr>
                <w:sz w:val="18"/>
                <w:szCs w:val="18"/>
              </w:rPr>
            </w:pPr>
            <w:r w:rsidRPr="00CB2E92">
              <w:rPr>
                <w:sz w:val="18"/>
                <w:szCs w:val="18"/>
              </w:rPr>
              <w:t>174.2</w:t>
            </w:r>
          </w:p>
        </w:tc>
        <w:tc>
          <w:tcPr>
            <w:tcW w:w="459" w:type="pct"/>
            <w:shd w:val="clear" w:color="auto" w:fill="auto"/>
            <w:noWrap/>
            <w:vAlign w:val="center"/>
          </w:tcPr>
          <w:p w14:paraId="139F36BC" w14:textId="77777777" w:rsidR="00E466CD" w:rsidRPr="00CB2E92" w:rsidRDefault="00E466CD" w:rsidP="005D5B06">
            <w:pPr>
              <w:pStyle w:val="TableCenter"/>
              <w:rPr>
                <w:sz w:val="18"/>
                <w:szCs w:val="18"/>
              </w:rPr>
            </w:pPr>
            <w:r w:rsidRPr="00CB2E92">
              <w:rPr>
                <w:sz w:val="18"/>
                <w:szCs w:val="18"/>
              </w:rPr>
              <w:t>147.6</w:t>
            </w:r>
          </w:p>
        </w:tc>
        <w:tc>
          <w:tcPr>
            <w:tcW w:w="459" w:type="pct"/>
            <w:shd w:val="clear" w:color="auto" w:fill="auto"/>
            <w:noWrap/>
            <w:vAlign w:val="center"/>
          </w:tcPr>
          <w:p w14:paraId="5E039539"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4A809E1F" w14:textId="77777777" w:rsidR="00E466CD" w:rsidRPr="00CB2E92" w:rsidRDefault="00E466CD" w:rsidP="005D5B06">
            <w:pPr>
              <w:pStyle w:val="TableCenter"/>
              <w:rPr>
                <w:sz w:val="18"/>
                <w:szCs w:val="18"/>
              </w:rPr>
            </w:pPr>
            <w:r w:rsidRPr="00CB2E92">
              <w:rPr>
                <w:sz w:val="18"/>
                <w:szCs w:val="18"/>
              </w:rPr>
              <w:t>1166.2</w:t>
            </w:r>
          </w:p>
        </w:tc>
      </w:tr>
      <w:tr w:rsidR="00E466CD" w14:paraId="66B292AF" w14:textId="77777777" w:rsidTr="005D5B06">
        <w:trPr>
          <w:trHeight w:val="202"/>
        </w:trPr>
        <w:tc>
          <w:tcPr>
            <w:tcW w:w="736" w:type="pct"/>
            <w:vMerge/>
            <w:hideMark/>
          </w:tcPr>
          <w:p w14:paraId="61016FEE" w14:textId="77777777" w:rsidR="00E466CD" w:rsidRPr="00CB2E92" w:rsidRDefault="00E466CD" w:rsidP="005D5B06">
            <w:pPr>
              <w:pStyle w:val="TableCenter"/>
              <w:rPr>
                <w:sz w:val="18"/>
                <w:szCs w:val="18"/>
              </w:rPr>
            </w:pPr>
          </w:p>
        </w:tc>
        <w:tc>
          <w:tcPr>
            <w:tcW w:w="562" w:type="pct"/>
            <w:shd w:val="clear" w:color="auto" w:fill="auto"/>
            <w:noWrap/>
            <w:hideMark/>
          </w:tcPr>
          <w:p w14:paraId="0F2FF9D8"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w:t>
            </w:r>
          </w:p>
        </w:tc>
        <w:tc>
          <w:tcPr>
            <w:tcW w:w="489" w:type="pct"/>
            <w:shd w:val="clear" w:color="auto" w:fill="auto"/>
            <w:noWrap/>
            <w:vAlign w:val="center"/>
          </w:tcPr>
          <w:p w14:paraId="3E909B07" w14:textId="77777777" w:rsidR="00E466CD" w:rsidRPr="00CB2E92" w:rsidRDefault="00E466CD" w:rsidP="005D5B06">
            <w:pPr>
              <w:pStyle w:val="TableCenter"/>
              <w:rPr>
                <w:sz w:val="18"/>
                <w:szCs w:val="18"/>
              </w:rPr>
            </w:pPr>
            <w:r w:rsidRPr="00CB2E92">
              <w:rPr>
                <w:sz w:val="18"/>
                <w:szCs w:val="18"/>
              </w:rPr>
              <w:t>5640.0</w:t>
            </w:r>
          </w:p>
        </w:tc>
        <w:tc>
          <w:tcPr>
            <w:tcW w:w="459" w:type="pct"/>
            <w:shd w:val="clear" w:color="auto" w:fill="auto"/>
            <w:noWrap/>
            <w:vAlign w:val="center"/>
          </w:tcPr>
          <w:p w14:paraId="4C9820ED" w14:textId="77777777" w:rsidR="00E466CD" w:rsidRPr="00CB2E92" w:rsidRDefault="00E466CD" w:rsidP="005D5B06">
            <w:pPr>
              <w:pStyle w:val="TableCenter"/>
              <w:rPr>
                <w:sz w:val="18"/>
                <w:szCs w:val="18"/>
              </w:rPr>
            </w:pPr>
            <w:r w:rsidRPr="00CB2E92">
              <w:rPr>
                <w:sz w:val="18"/>
                <w:szCs w:val="18"/>
              </w:rPr>
              <w:t>38.1</w:t>
            </w:r>
          </w:p>
        </w:tc>
        <w:tc>
          <w:tcPr>
            <w:tcW w:w="459" w:type="pct"/>
            <w:shd w:val="clear" w:color="auto" w:fill="auto"/>
            <w:noWrap/>
            <w:vAlign w:val="center"/>
          </w:tcPr>
          <w:p w14:paraId="03340595" w14:textId="77777777" w:rsidR="00E466CD" w:rsidRPr="00CB2E92" w:rsidRDefault="00E466CD" w:rsidP="005D5B06">
            <w:pPr>
              <w:pStyle w:val="TableCenter"/>
              <w:rPr>
                <w:sz w:val="18"/>
                <w:szCs w:val="18"/>
              </w:rPr>
            </w:pPr>
            <w:r w:rsidRPr="00CB2E92">
              <w:rPr>
                <w:sz w:val="18"/>
                <w:szCs w:val="18"/>
              </w:rPr>
              <w:t>14.4</w:t>
            </w:r>
          </w:p>
        </w:tc>
        <w:tc>
          <w:tcPr>
            <w:tcW w:w="459" w:type="pct"/>
            <w:shd w:val="clear" w:color="auto" w:fill="auto"/>
            <w:noWrap/>
            <w:vAlign w:val="center"/>
          </w:tcPr>
          <w:p w14:paraId="7DC6E4AA" w14:textId="77777777" w:rsidR="00E466CD" w:rsidRPr="00CB2E92" w:rsidRDefault="00E466CD" w:rsidP="005D5B06">
            <w:pPr>
              <w:pStyle w:val="TableCenter"/>
              <w:rPr>
                <w:sz w:val="18"/>
                <w:szCs w:val="18"/>
              </w:rPr>
            </w:pPr>
            <w:r w:rsidRPr="00CB2E92">
              <w:rPr>
                <w:sz w:val="18"/>
                <w:szCs w:val="18"/>
              </w:rPr>
              <w:t>60.6</w:t>
            </w:r>
          </w:p>
        </w:tc>
        <w:tc>
          <w:tcPr>
            <w:tcW w:w="459" w:type="pct"/>
            <w:shd w:val="clear" w:color="auto" w:fill="auto"/>
            <w:vAlign w:val="center"/>
          </w:tcPr>
          <w:p w14:paraId="523F4F29" w14:textId="77777777" w:rsidR="00E466CD" w:rsidRPr="00CB2E92" w:rsidRDefault="00E466CD" w:rsidP="005D5B06">
            <w:pPr>
              <w:pStyle w:val="TableCenter"/>
              <w:rPr>
                <w:sz w:val="18"/>
                <w:szCs w:val="18"/>
              </w:rPr>
            </w:pPr>
            <w:r w:rsidRPr="00CB2E92">
              <w:rPr>
                <w:sz w:val="18"/>
                <w:szCs w:val="18"/>
              </w:rPr>
              <w:t>189.1</w:t>
            </w:r>
          </w:p>
        </w:tc>
        <w:tc>
          <w:tcPr>
            <w:tcW w:w="459" w:type="pct"/>
            <w:shd w:val="clear" w:color="auto" w:fill="auto"/>
            <w:noWrap/>
            <w:vAlign w:val="center"/>
          </w:tcPr>
          <w:p w14:paraId="61CCBCF9" w14:textId="77777777" w:rsidR="00E466CD" w:rsidRPr="00CB2E92" w:rsidRDefault="00E466CD" w:rsidP="005D5B06">
            <w:pPr>
              <w:pStyle w:val="TableCenter"/>
              <w:rPr>
                <w:sz w:val="18"/>
                <w:szCs w:val="18"/>
              </w:rPr>
            </w:pPr>
            <w:r w:rsidRPr="00CB2E92">
              <w:rPr>
                <w:sz w:val="18"/>
                <w:szCs w:val="18"/>
              </w:rPr>
              <w:t>149.6</w:t>
            </w:r>
          </w:p>
        </w:tc>
        <w:tc>
          <w:tcPr>
            <w:tcW w:w="459" w:type="pct"/>
            <w:shd w:val="clear" w:color="auto" w:fill="auto"/>
            <w:noWrap/>
            <w:vAlign w:val="center"/>
          </w:tcPr>
          <w:p w14:paraId="067A7793"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2349F116" w14:textId="77777777" w:rsidR="00E466CD" w:rsidRPr="00CB2E92" w:rsidRDefault="00E466CD" w:rsidP="005D5B06">
            <w:pPr>
              <w:pStyle w:val="TableCenter"/>
              <w:rPr>
                <w:sz w:val="18"/>
                <w:szCs w:val="18"/>
              </w:rPr>
            </w:pPr>
            <w:r w:rsidRPr="00CB2E92">
              <w:rPr>
                <w:sz w:val="18"/>
                <w:szCs w:val="18"/>
              </w:rPr>
              <w:t>1264.0</w:t>
            </w:r>
          </w:p>
        </w:tc>
      </w:tr>
      <w:tr w:rsidR="00E466CD" w14:paraId="553BC04D" w14:textId="77777777" w:rsidTr="005D5B06">
        <w:trPr>
          <w:trHeight w:val="202"/>
        </w:trPr>
        <w:tc>
          <w:tcPr>
            <w:tcW w:w="736" w:type="pct"/>
            <w:vMerge w:val="restart"/>
            <w:shd w:val="clear" w:color="000000" w:fill="FFFFFF"/>
            <w:hideMark/>
          </w:tcPr>
          <w:p w14:paraId="6BB23E87" w14:textId="77777777" w:rsidR="00E466CD" w:rsidRPr="00CB2E92" w:rsidRDefault="00E466CD" w:rsidP="005D5B06">
            <w:pPr>
              <w:pStyle w:val="TableLeft"/>
              <w:rPr>
                <w:rFonts w:cs="Times New Roman"/>
                <w:sz w:val="18"/>
                <w:szCs w:val="18"/>
              </w:rPr>
            </w:pPr>
            <w:r w:rsidRPr="00CB2E92">
              <w:rPr>
                <w:rFonts w:cs="Times New Roman"/>
                <w:sz w:val="18"/>
                <w:szCs w:val="18"/>
              </w:rPr>
              <w:t>TGN1412</w:t>
            </w:r>
            <w:r w:rsidRPr="00CB2E92">
              <w:rPr>
                <w:rFonts w:eastAsia="Times New Roman" w:cs="Times New Roman"/>
                <w:bCs w:val="0"/>
                <w:color w:val="000000"/>
                <w:sz w:val="18"/>
                <w:szCs w:val="18"/>
              </w:rPr>
              <w:t xml:space="preserve"> </w:t>
            </w:r>
            <w:r w:rsidRPr="00CB2E92">
              <w:rPr>
                <w:rFonts w:cs="Times New Roman"/>
                <w:sz w:val="18"/>
                <w:szCs w:val="18"/>
              </w:rPr>
              <w:t>analog</w:t>
            </w:r>
          </w:p>
        </w:tc>
        <w:tc>
          <w:tcPr>
            <w:tcW w:w="562" w:type="pct"/>
            <w:shd w:val="clear" w:color="auto" w:fill="auto"/>
            <w:noWrap/>
            <w:hideMark/>
          </w:tcPr>
          <w:p w14:paraId="3015C405"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w:t>
            </w:r>
          </w:p>
        </w:tc>
        <w:tc>
          <w:tcPr>
            <w:tcW w:w="489" w:type="pct"/>
            <w:shd w:val="clear" w:color="auto" w:fill="auto"/>
            <w:noWrap/>
            <w:vAlign w:val="center"/>
          </w:tcPr>
          <w:p w14:paraId="4E0DBAC6" w14:textId="77777777" w:rsidR="00E466CD" w:rsidRPr="00CB2E92" w:rsidRDefault="00E466CD" w:rsidP="005D5B06">
            <w:pPr>
              <w:pStyle w:val="TableCenter"/>
              <w:rPr>
                <w:sz w:val="18"/>
                <w:szCs w:val="18"/>
              </w:rPr>
            </w:pPr>
            <w:r w:rsidRPr="00CB2E92">
              <w:rPr>
                <w:sz w:val="18"/>
                <w:szCs w:val="18"/>
              </w:rPr>
              <w:t>345.1</w:t>
            </w:r>
          </w:p>
        </w:tc>
        <w:tc>
          <w:tcPr>
            <w:tcW w:w="459" w:type="pct"/>
            <w:shd w:val="clear" w:color="auto" w:fill="auto"/>
            <w:noWrap/>
            <w:vAlign w:val="center"/>
          </w:tcPr>
          <w:p w14:paraId="7FC3184A" w14:textId="77777777" w:rsidR="00E466CD" w:rsidRPr="00CB2E92" w:rsidRDefault="00E466CD" w:rsidP="005D5B06">
            <w:pPr>
              <w:pStyle w:val="TableCenter"/>
              <w:rPr>
                <w:sz w:val="18"/>
                <w:szCs w:val="18"/>
              </w:rPr>
            </w:pPr>
            <w:r w:rsidRPr="00CB2E92">
              <w:rPr>
                <w:sz w:val="18"/>
                <w:szCs w:val="18"/>
              </w:rPr>
              <w:t>12.1</w:t>
            </w:r>
          </w:p>
        </w:tc>
        <w:tc>
          <w:tcPr>
            <w:tcW w:w="459" w:type="pct"/>
            <w:shd w:val="clear" w:color="auto" w:fill="auto"/>
            <w:noWrap/>
            <w:vAlign w:val="center"/>
          </w:tcPr>
          <w:p w14:paraId="7A87D154" w14:textId="77777777" w:rsidR="00E466CD" w:rsidRPr="00CB2E92" w:rsidRDefault="00E466CD" w:rsidP="005D5B06">
            <w:pPr>
              <w:pStyle w:val="TableCenter"/>
              <w:rPr>
                <w:sz w:val="18"/>
                <w:szCs w:val="18"/>
              </w:rPr>
            </w:pPr>
            <w:r w:rsidRPr="00CB2E92">
              <w:rPr>
                <w:sz w:val="18"/>
                <w:szCs w:val="18"/>
              </w:rPr>
              <w:t>4.3</w:t>
            </w:r>
          </w:p>
        </w:tc>
        <w:tc>
          <w:tcPr>
            <w:tcW w:w="459" w:type="pct"/>
            <w:shd w:val="clear" w:color="auto" w:fill="auto"/>
            <w:noWrap/>
            <w:vAlign w:val="center"/>
          </w:tcPr>
          <w:p w14:paraId="47768CDC" w14:textId="77777777" w:rsidR="00E466CD" w:rsidRPr="00CB2E92" w:rsidRDefault="00E466CD" w:rsidP="005D5B06">
            <w:pPr>
              <w:pStyle w:val="TableCenter"/>
              <w:rPr>
                <w:sz w:val="18"/>
                <w:szCs w:val="18"/>
              </w:rPr>
            </w:pPr>
            <w:r w:rsidRPr="00CB2E92">
              <w:rPr>
                <w:sz w:val="18"/>
                <w:szCs w:val="18"/>
              </w:rPr>
              <w:t>5.0</w:t>
            </w:r>
          </w:p>
        </w:tc>
        <w:tc>
          <w:tcPr>
            <w:tcW w:w="459" w:type="pct"/>
            <w:shd w:val="clear" w:color="auto" w:fill="auto"/>
            <w:vAlign w:val="center"/>
          </w:tcPr>
          <w:p w14:paraId="2A06ABD0" w14:textId="77777777" w:rsidR="00E466CD" w:rsidRPr="00CB2E92" w:rsidRDefault="00E466CD" w:rsidP="005D5B06">
            <w:pPr>
              <w:pStyle w:val="TableCenter"/>
              <w:rPr>
                <w:sz w:val="18"/>
                <w:szCs w:val="18"/>
              </w:rPr>
            </w:pPr>
            <w:r w:rsidRPr="00CB2E92">
              <w:rPr>
                <w:sz w:val="18"/>
                <w:szCs w:val="18"/>
              </w:rPr>
              <w:t>333.4</w:t>
            </w:r>
          </w:p>
        </w:tc>
        <w:tc>
          <w:tcPr>
            <w:tcW w:w="459" w:type="pct"/>
            <w:shd w:val="clear" w:color="auto" w:fill="auto"/>
            <w:noWrap/>
            <w:vAlign w:val="center"/>
          </w:tcPr>
          <w:p w14:paraId="5CFA26DF" w14:textId="77777777" w:rsidR="00E466CD" w:rsidRPr="00CB2E92" w:rsidRDefault="00E466CD" w:rsidP="005D5B06">
            <w:pPr>
              <w:pStyle w:val="TableCenter"/>
              <w:rPr>
                <w:sz w:val="18"/>
                <w:szCs w:val="18"/>
              </w:rPr>
            </w:pPr>
            <w:r w:rsidRPr="00CB2E92">
              <w:rPr>
                <w:sz w:val="18"/>
                <w:szCs w:val="18"/>
              </w:rPr>
              <w:t>16.8</w:t>
            </w:r>
          </w:p>
        </w:tc>
        <w:tc>
          <w:tcPr>
            <w:tcW w:w="459" w:type="pct"/>
            <w:shd w:val="clear" w:color="auto" w:fill="auto"/>
            <w:noWrap/>
            <w:vAlign w:val="center"/>
          </w:tcPr>
          <w:p w14:paraId="03B230D3"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6607D323" w14:textId="77777777" w:rsidR="00E466CD" w:rsidRPr="00CB2E92" w:rsidRDefault="00E466CD" w:rsidP="005D5B06">
            <w:pPr>
              <w:pStyle w:val="TableCenter"/>
              <w:rPr>
                <w:sz w:val="18"/>
                <w:szCs w:val="18"/>
              </w:rPr>
            </w:pPr>
            <w:r w:rsidRPr="00CB2E92">
              <w:rPr>
                <w:sz w:val="18"/>
                <w:szCs w:val="18"/>
              </w:rPr>
              <w:t>276.0</w:t>
            </w:r>
          </w:p>
        </w:tc>
      </w:tr>
      <w:tr w:rsidR="00E466CD" w14:paraId="021F9FB8" w14:textId="77777777" w:rsidTr="005D5B06">
        <w:trPr>
          <w:trHeight w:val="202"/>
        </w:trPr>
        <w:tc>
          <w:tcPr>
            <w:tcW w:w="736" w:type="pct"/>
            <w:vMerge/>
            <w:hideMark/>
          </w:tcPr>
          <w:p w14:paraId="704D3AF6" w14:textId="77777777" w:rsidR="00E466CD" w:rsidRPr="00CB2E92" w:rsidRDefault="00E466CD" w:rsidP="005D5B06">
            <w:pPr>
              <w:pStyle w:val="TableCenter"/>
              <w:rPr>
                <w:sz w:val="18"/>
                <w:szCs w:val="18"/>
              </w:rPr>
            </w:pPr>
          </w:p>
        </w:tc>
        <w:tc>
          <w:tcPr>
            <w:tcW w:w="562" w:type="pct"/>
            <w:shd w:val="clear" w:color="auto" w:fill="auto"/>
            <w:noWrap/>
            <w:hideMark/>
          </w:tcPr>
          <w:p w14:paraId="5DDBEC45"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w:t>
            </w:r>
          </w:p>
        </w:tc>
        <w:tc>
          <w:tcPr>
            <w:tcW w:w="489" w:type="pct"/>
            <w:shd w:val="clear" w:color="auto" w:fill="auto"/>
            <w:noWrap/>
            <w:vAlign w:val="center"/>
          </w:tcPr>
          <w:p w14:paraId="59040B7A" w14:textId="77777777" w:rsidR="00E466CD" w:rsidRPr="00CB2E92" w:rsidRDefault="00E466CD" w:rsidP="005D5B06">
            <w:pPr>
              <w:pStyle w:val="TableCenter"/>
              <w:rPr>
                <w:sz w:val="18"/>
                <w:szCs w:val="18"/>
              </w:rPr>
            </w:pPr>
            <w:r w:rsidRPr="00CB2E92">
              <w:rPr>
                <w:sz w:val="18"/>
                <w:szCs w:val="18"/>
              </w:rPr>
              <w:t>307.4</w:t>
            </w:r>
          </w:p>
        </w:tc>
        <w:tc>
          <w:tcPr>
            <w:tcW w:w="459" w:type="pct"/>
            <w:shd w:val="clear" w:color="auto" w:fill="auto"/>
            <w:noWrap/>
            <w:vAlign w:val="center"/>
          </w:tcPr>
          <w:p w14:paraId="0B391D31" w14:textId="77777777" w:rsidR="00E466CD" w:rsidRPr="00CB2E92" w:rsidRDefault="00E466CD" w:rsidP="005D5B06">
            <w:pPr>
              <w:pStyle w:val="TableCenter"/>
              <w:rPr>
                <w:sz w:val="18"/>
                <w:szCs w:val="18"/>
              </w:rPr>
            </w:pPr>
            <w:r w:rsidRPr="00CB2E92">
              <w:rPr>
                <w:sz w:val="18"/>
                <w:szCs w:val="18"/>
              </w:rPr>
              <w:t>16.2</w:t>
            </w:r>
          </w:p>
        </w:tc>
        <w:tc>
          <w:tcPr>
            <w:tcW w:w="459" w:type="pct"/>
            <w:shd w:val="clear" w:color="auto" w:fill="auto"/>
            <w:noWrap/>
            <w:vAlign w:val="center"/>
          </w:tcPr>
          <w:p w14:paraId="29219A6C" w14:textId="77777777" w:rsidR="00E466CD" w:rsidRPr="00CB2E92" w:rsidRDefault="00E466CD" w:rsidP="005D5B06">
            <w:pPr>
              <w:pStyle w:val="TableCenter"/>
              <w:rPr>
                <w:sz w:val="18"/>
                <w:szCs w:val="18"/>
              </w:rPr>
            </w:pPr>
            <w:r w:rsidRPr="00CB2E92">
              <w:rPr>
                <w:sz w:val="18"/>
                <w:szCs w:val="18"/>
              </w:rPr>
              <w:t>9.5</w:t>
            </w:r>
          </w:p>
        </w:tc>
        <w:tc>
          <w:tcPr>
            <w:tcW w:w="459" w:type="pct"/>
            <w:shd w:val="clear" w:color="auto" w:fill="auto"/>
            <w:noWrap/>
            <w:vAlign w:val="center"/>
          </w:tcPr>
          <w:p w14:paraId="092DEEDD" w14:textId="77777777" w:rsidR="00E466CD" w:rsidRPr="00CB2E92" w:rsidRDefault="00E466CD" w:rsidP="005D5B06">
            <w:pPr>
              <w:pStyle w:val="TableCenter"/>
              <w:rPr>
                <w:sz w:val="18"/>
                <w:szCs w:val="18"/>
              </w:rPr>
            </w:pPr>
            <w:r w:rsidRPr="00CB2E92">
              <w:rPr>
                <w:sz w:val="18"/>
                <w:szCs w:val="18"/>
              </w:rPr>
              <w:t>40.4</w:t>
            </w:r>
          </w:p>
        </w:tc>
        <w:tc>
          <w:tcPr>
            <w:tcW w:w="459" w:type="pct"/>
            <w:shd w:val="clear" w:color="auto" w:fill="auto"/>
            <w:vAlign w:val="center"/>
          </w:tcPr>
          <w:p w14:paraId="42314EA8" w14:textId="77777777" w:rsidR="00E466CD" w:rsidRPr="00CB2E92" w:rsidRDefault="00E466CD" w:rsidP="005D5B06">
            <w:pPr>
              <w:pStyle w:val="TableCenter"/>
              <w:rPr>
                <w:sz w:val="18"/>
                <w:szCs w:val="18"/>
              </w:rPr>
            </w:pPr>
            <w:r w:rsidRPr="00CB2E92">
              <w:rPr>
                <w:sz w:val="18"/>
                <w:szCs w:val="18"/>
              </w:rPr>
              <w:t>497.8</w:t>
            </w:r>
          </w:p>
        </w:tc>
        <w:tc>
          <w:tcPr>
            <w:tcW w:w="459" w:type="pct"/>
            <w:shd w:val="clear" w:color="auto" w:fill="auto"/>
            <w:noWrap/>
            <w:vAlign w:val="center"/>
          </w:tcPr>
          <w:p w14:paraId="78A3499C" w14:textId="77777777" w:rsidR="00E466CD" w:rsidRPr="00CB2E92" w:rsidRDefault="00E466CD" w:rsidP="005D5B06">
            <w:pPr>
              <w:pStyle w:val="TableCenter"/>
              <w:rPr>
                <w:sz w:val="18"/>
                <w:szCs w:val="18"/>
              </w:rPr>
            </w:pPr>
            <w:r w:rsidRPr="00CB2E92">
              <w:rPr>
                <w:sz w:val="18"/>
                <w:szCs w:val="18"/>
              </w:rPr>
              <w:t>110.9</w:t>
            </w:r>
          </w:p>
        </w:tc>
        <w:tc>
          <w:tcPr>
            <w:tcW w:w="459" w:type="pct"/>
            <w:shd w:val="clear" w:color="auto" w:fill="auto"/>
            <w:noWrap/>
            <w:vAlign w:val="center"/>
          </w:tcPr>
          <w:p w14:paraId="2B4BE9EC"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1A59CD24" w14:textId="77777777" w:rsidR="00E466CD" w:rsidRPr="00CB2E92" w:rsidRDefault="00E466CD" w:rsidP="005D5B06">
            <w:pPr>
              <w:pStyle w:val="TableCenter"/>
              <w:rPr>
                <w:sz w:val="18"/>
                <w:szCs w:val="18"/>
              </w:rPr>
            </w:pPr>
            <w:r w:rsidRPr="00CB2E92">
              <w:rPr>
                <w:sz w:val="18"/>
                <w:szCs w:val="18"/>
              </w:rPr>
              <w:t>877.3</w:t>
            </w:r>
          </w:p>
        </w:tc>
      </w:tr>
      <w:tr w:rsidR="00E466CD" w14:paraId="3C777AC6" w14:textId="77777777" w:rsidTr="005D5B06">
        <w:trPr>
          <w:trHeight w:val="202"/>
        </w:trPr>
        <w:tc>
          <w:tcPr>
            <w:tcW w:w="736" w:type="pct"/>
            <w:vMerge/>
            <w:hideMark/>
          </w:tcPr>
          <w:p w14:paraId="123F0DD1" w14:textId="77777777" w:rsidR="00E466CD" w:rsidRPr="00CB2E92" w:rsidRDefault="00E466CD" w:rsidP="005D5B06">
            <w:pPr>
              <w:pStyle w:val="TableCenter"/>
              <w:rPr>
                <w:sz w:val="18"/>
                <w:szCs w:val="18"/>
              </w:rPr>
            </w:pPr>
          </w:p>
        </w:tc>
        <w:tc>
          <w:tcPr>
            <w:tcW w:w="562" w:type="pct"/>
            <w:shd w:val="clear" w:color="auto" w:fill="auto"/>
            <w:noWrap/>
            <w:hideMark/>
          </w:tcPr>
          <w:p w14:paraId="1801D8B5"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1000</w:t>
            </w:r>
          </w:p>
        </w:tc>
        <w:tc>
          <w:tcPr>
            <w:tcW w:w="489" w:type="pct"/>
            <w:shd w:val="clear" w:color="auto" w:fill="auto"/>
            <w:noWrap/>
            <w:vAlign w:val="center"/>
          </w:tcPr>
          <w:p w14:paraId="19E350B4" w14:textId="77777777" w:rsidR="00E466CD" w:rsidRPr="00CB2E92" w:rsidRDefault="00E466CD" w:rsidP="005D5B06">
            <w:pPr>
              <w:pStyle w:val="TableCenter"/>
              <w:rPr>
                <w:sz w:val="18"/>
                <w:szCs w:val="18"/>
              </w:rPr>
            </w:pPr>
            <w:r w:rsidRPr="00CB2E92">
              <w:rPr>
                <w:sz w:val="18"/>
                <w:szCs w:val="18"/>
              </w:rPr>
              <w:t>2506.9</w:t>
            </w:r>
          </w:p>
        </w:tc>
        <w:tc>
          <w:tcPr>
            <w:tcW w:w="459" w:type="pct"/>
            <w:shd w:val="clear" w:color="auto" w:fill="auto"/>
            <w:noWrap/>
            <w:vAlign w:val="center"/>
          </w:tcPr>
          <w:p w14:paraId="409BBEAA" w14:textId="77777777" w:rsidR="00E466CD" w:rsidRPr="00CB2E92" w:rsidRDefault="00E466CD" w:rsidP="005D5B06">
            <w:pPr>
              <w:pStyle w:val="TableCenter"/>
              <w:rPr>
                <w:sz w:val="18"/>
                <w:szCs w:val="18"/>
              </w:rPr>
            </w:pPr>
            <w:r w:rsidRPr="00CB2E92">
              <w:rPr>
                <w:sz w:val="18"/>
                <w:szCs w:val="18"/>
              </w:rPr>
              <w:t>28.5</w:t>
            </w:r>
          </w:p>
        </w:tc>
        <w:tc>
          <w:tcPr>
            <w:tcW w:w="459" w:type="pct"/>
            <w:shd w:val="clear" w:color="auto" w:fill="auto"/>
            <w:noWrap/>
            <w:vAlign w:val="center"/>
          </w:tcPr>
          <w:p w14:paraId="31EE5F38" w14:textId="77777777" w:rsidR="00E466CD" w:rsidRPr="00CB2E92" w:rsidRDefault="00E466CD" w:rsidP="005D5B06">
            <w:pPr>
              <w:pStyle w:val="TableCenter"/>
              <w:rPr>
                <w:sz w:val="18"/>
                <w:szCs w:val="18"/>
              </w:rPr>
            </w:pPr>
            <w:r w:rsidRPr="00CB2E92">
              <w:rPr>
                <w:sz w:val="18"/>
                <w:szCs w:val="18"/>
              </w:rPr>
              <w:t>11.8</w:t>
            </w:r>
          </w:p>
        </w:tc>
        <w:tc>
          <w:tcPr>
            <w:tcW w:w="459" w:type="pct"/>
            <w:shd w:val="clear" w:color="auto" w:fill="auto"/>
            <w:noWrap/>
            <w:vAlign w:val="center"/>
          </w:tcPr>
          <w:p w14:paraId="20C7AA8F" w14:textId="77777777" w:rsidR="00E466CD" w:rsidRPr="00CB2E92" w:rsidRDefault="00E466CD" w:rsidP="005D5B06">
            <w:pPr>
              <w:pStyle w:val="TableCenter"/>
              <w:rPr>
                <w:sz w:val="18"/>
                <w:szCs w:val="18"/>
              </w:rPr>
            </w:pPr>
            <w:r w:rsidRPr="00CB2E92">
              <w:rPr>
                <w:sz w:val="18"/>
                <w:szCs w:val="18"/>
              </w:rPr>
              <w:t>169.4</w:t>
            </w:r>
          </w:p>
        </w:tc>
        <w:tc>
          <w:tcPr>
            <w:tcW w:w="459" w:type="pct"/>
            <w:shd w:val="clear" w:color="auto" w:fill="auto"/>
            <w:vAlign w:val="center"/>
          </w:tcPr>
          <w:p w14:paraId="26E6E0CE" w14:textId="77777777" w:rsidR="00E466CD" w:rsidRPr="00CB2E92" w:rsidRDefault="00E466CD" w:rsidP="005D5B06">
            <w:pPr>
              <w:pStyle w:val="TableCenter"/>
              <w:rPr>
                <w:sz w:val="18"/>
                <w:szCs w:val="18"/>
              </w:rPr>
            </w:pPr>
            <w:r w:rsidRPr="00CB2E92">
              <w:rPr>
                <w:sz w:val="18"/>
                <w:szCs w:val="18"/>
              </w:rPr>
              <w:t>961.4</w:t>
            </w:r>
          </w:p>
        </w:tc>
        <w:tc>
          <w:tcPr>
            <w:tcW w:w="459" w:type="pct"/>
            <w:shd w:val="clear" w:color="auto" w:fill="auto"/>
            <w:noWrap/>
            <w:vAlign w:val="center"/>
          </w:tcPr>
          <w:p w14:paraId="024B02CD" w14:textId="77777777" w:rsidR="00E466CD" w:rsidRPr="00CB2E92" w:rsidRDefault="00E466CD" w:rsidP="005D5B06">
            <w:pPr>
              <w:pStyle w:val="TableCenter"/>
              <w:rPr>
                <w:sz w:val="18"/>
                <w:szCs w:val="18"/>
              </w:rPr>
            </w:pPr>
            <w:r w:rsidRPr="00CB2E92">
              <w:rPr>
                <w:sz w:val="18"/>
                <w:szCs w:val="18"/>
              </w:rPr>
              <w:t>505.0</w:t>
            </w:r>
          </w:p>
        </w:tc>
        <w:tc>
          <w:tcPr>
            <w:tcW w:w="459" w:type="pct"/>
            <w:shd w:val="clear" w:color="auto" w:fill="auto"/>
            <w:noWrap/>
            <w:vAlign w:val="center"/>
          </w:tcPr>
          <w:p w14:paraId="12B71C49"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15C4DDA3" w14:textId="77777777" w:rsidR="00E466CD" w:rsidRPr="00CB2E92" w:rsidRDefault="00E466CD" w:rsidP="005D5B06">
            <w:pPr>
              <w:pStyle w:val="TableCenter"/>
              <w:rPr>
                <w:sz w:val="18"/>
                <w:szCs w:val="18"/>
              </w:rPr>
            </w:pPr>
            <w:r w:rsidRPr="00CB2E92">
              <w:rPr>
                <w:sz w:val="18"/>
                <w:szCs w:val="18"/>
              </w:rPr>
              <w:t>1264.0</w:t>
            </w:r>
          </w:p>
        </w:tc>
      </w:tr>
      <w:tr w:rsidR="00E466CD" w14:paraId="5B619945" w14:textId="77777777" w:rsidTr="005D5B06">
        <w:trPr>
          <w:trHeight w:val="202"/>
        </w:trPr>
        <w:tc>
          <w:tcPr>
            <w:tcW w:w="736" w:type="pct"/>
            <w:vMerge w:val="restart"/>
            <w:shd w:val="clear" w:color="000000" w:fill="FFFFFF"/>
            <w:hideMark/>
          </w:tcPr>
          <w:p w14:paraId="4EADDF7C" w14:textId="77777777" w:rsidR="00E466CD" w:rsidRPr="00CB2E92" w:rsidRDefault="00E466CD" w:rsidP="005D5B06">
            <w:pPr>
              <w:pStyle w:val="TableLeft"/>
              <w:rPr>
                <w:rFonts w:cs="Times New Roman"/>
                <w:sz w:val="18"/>
                <w:szCs w:val="18"/>
              </w:rPr>
            </w:pPr>
            <w:r w:rsidRPr="00CB2E92">
              <w:rPr>
                <w:rFonts w:cs="Times New Roman"/>
                <w:sz w:val="18"/>
                <w:szCs w:val="18"/>
              </w:rPr>
              <w:t>Trastuzumab</w:t>
            </w:r>
          </w:p>
        </w:tc>
        <w:tc>
          <w:tcPr>
            <w:tcW w:w="562" w:type="pct"/>
            <w:shd w:val="clear" w:color="auto" w:fill="auto"/>
            <w:noWrap/>
            <w:hideMark/>
          </w:tcPr>
          <w:p w14:paraId="7F6384EA" w14:textId="77777777" w:rsidR="00E466CD" w:rsidRPr="00CB2E92" w:rsidRDefault="00E466CD" w:rsidP="005D5B06">
            <w:pPr>
              <w:pStyle w:val="TableLeft"/>
              <w:jc w:val="center"/>
              <w:rPr>
                <w:rFonts w:cs="Times New Roman"/>
                <w:sz w:val="18"/>
                <w:szCs w:val="18"/>
              </w:rPr>
            </w:pPr>
            <w:r w:rsidRPr="00CB2E92">
              <w:rPr>
                <w:rFonts w:cs="Times New Roman"/>
                <w:sz w:val="18"/>
                <w:szCs w:val="18"/>
              </w:rPr>
              <w:t>0.1</w:t>
            </w:r>
          </w:p>
        </w:tc>
        <w:tc>
          <w:tcPr>
            <w:tcW w:w="489" w:type="pct"/>
            <w:shd w:val="clear" w:color="auto" w:fill="auto"/>
            <w:noWrap/>
            <w:vAlign w:val="center"/>
          </w:tcPr>
          <w:p w14:paraId="27EF024A" w14:textId="77777777" w:rsidR="00E466CD" w:rsidRPr="00CB2E92" w:rsidRDefault="00E466CD" w:rsidP="005D5B06">
            <w:pPr>
              <w:pStyle w:val="TableCenter"/>
              <w:rPr>
                <w:sz w:val="18"/>
                <w:szCs w:val="18"/>
              </w:rPr>
            </w:pPr>
            <w:r w:rsidRPr="00CB2E92">
              <w:rPr>
                <w:sz w:val="18"/>
                <w:szCs w:val="18"/>
              </w:rPr>
              <w:t>222.2</w:t>
            </w:r>
          </w:p>
        </w:tc>
        <w:tc>
          <w:tcPr>
            <w:tcW w:w="459" w:type="pct"/>
            <w:shd w:val="clear" w:color="auto" w:fill="auto"/>
            <w:noWrap/>
            <w:vAlign w:val="center"/>
          </w:tcPr>
          <w:p w14:paraId="17379F56" w14:textId="77777777" w:rsidR="00E466CD" w:rsidRPr="00CB2E92" w:rsidRDefault="00E466CD" w:rsidP="005D5B06">
            <w:pPr>
              <w:pStyle w:val="TableCenter"/>
              <w:rPr>
                <w:sz w:val="18"/>
                <w:szCs w:val="18"/>
              </w:rPr>
            </w:pPr>
            <w:r w:rsidRPr="00CB2E92">
              <w:rPr>
                <w:sz w:val="18"/>
                <w:szCs w:val="18"/>
              </w:rPr>
              <w:t>4.7</w:t>
            </w:r>
          </w:p>
        </w:tc>
        <w:tc>
          <w:tcPr>
            <w:tcW w:w="459" w:type="pct"/>
            <w:shd w:val="clear" w:color="auto" w:fill="auto"/>
            <w:noWrap/>
            <w:vAlign w:val="center"/>
          </w:tcPr>
          <w:p w14:paraId="4BE86089" w14:textId="77777777" w:rsidR="00E466CD" w:rsidRPr="00CB2E92" w:rsidRDefault="00E466CD" w:rsidP="005D5B06">
            <w:pPr>
              <w:pStyle w:val="TableCenter"/>
              <w:rPr>
                <w:sz w:val="18"/>
                <w:szCs w:val="18"/>
              </w:rPr>
            </w:pPr>
            <w:r w:rsidRPr="00CB2E92">
              <w:rPr>
                <w:sz w:val="18"/>
                <w:szCs w:val="18"/>
              </w:rPr>
              <w:t>7.5</w:t>
            </w:r>
          </w:p>
        </w:tc>
        <w:tc>
          <w:tcPr>
            <w:tcW w:w="459" w:type="pct"/>
            <w:shd w:val="clear" w:color="auto" w:fill="auto"/>
            <w:noWrap/>
            <w:vAlign w:val="center"/>
          </w:tcPr>
          <w:p w14:paraId="2CCC4DC0" w14:textId="77777777" w:rsidR="00E466CD" w:rsidRPr="00CB2E92" w:rsidRDefault="00E466CD" w:rsidP="005D5B06">
            <w:pPr>
              <w:pStyle w:val="TableCenter"/>
              <w:rPr>
                <w:sz w:val="18"/>
                <w:szCs w:val="18"/>
              </w:rPr>
            </w:pPr>
            <w:r w:rsidRPr="00CB2E92">
              <w:rPr>
                <w:sz w:val="18"/>
                <w:szCs w:val="18"/>
              </w:rPr>
              <w:t>14.5</w:t>
            </w:r>
          </w:p>
        </w:tc>
        <w:tc>
          <w:tcPr>
            <w:tcW w:w="459" w:type="pct"/>
            <w:shd w:val="clear" w:color="auto" w:fill="auto"/>
            <w:vAlign w:val="center"/>
          </w:tcPr>
          <w:p w14:paraId="34CF7A65" w14:textId="77777777" w:rsidR="00E466CD" w:rsidRPr="00CB2E92" w:rsidRDefault="00E466CD" w:rsidP="005D5B06">
            <w:pPr>
              <w:pStyle w:val="TableCenter"/>
              <w:rPr>
                <w:sz w:val="18"/>
                <w:szCs w:val="18"/>
              </w:rPr>
            </w:pPr>
            <w:r w:rsidRPr="00CB2E92">
              <w:rPr>
                <w:sz w:val="18"/>
                <w:szCs w:val="18"/>
              </w:rPr>
              <w:t>13.7</w:t>
            </w:r>
          </w:p>
        </w:tc>
        <w:tc>
          <w:tcPr>
            <w:tcW w:w="459" w:type="pct"/>
            <w:shd w:val="clear" w:color="auto" w:fill="auto"/>
            <w:noWrap/>
            <w:vAlign w:val="center"/>
          </w:tcPr>
          <w:p w14:paraId="16973EA6" w14:textId="77777777" w:rsidR="00E466CD" w:rsidRPr="00CB2E92" w:rsidRDefault="00E466CD" w:rsidP="005D5B06">
            <w:pPr>
              <w:pStyle w:val="TableCenter"/>
              <w:rPr>
                <w:sz w:val="18"/>
                <w:szCs w:val="18"/>
              </w:rPr>
            </w:pPr>
            <w:r w:rsidRPr="00CB2E92">
              <w:rPr>
                <w:sz w:val="18"/>
                <w:szCs w:val="18"/>
              </w:rPr>
              <w:t>29.7</w:t>
            </w:r>
          </w:p>
        </w:tc>
        <w:tc>
          <w:tcPr>
            <w:tcW w:w="459" w:type="pct"/>
            <w:shd w:val="clear" w:color="auto" w:fill="auto"/>
            <w:noWrap/>
            <w:vAlign w:val="center"/>
          </w:tcPr>
          <w:p w14:paraId="434B247F"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34C3ECD6" w14:textId="77777777" w:rsidR="00E466CD" w:rsidRPr="00CB2E92" w:rsidRDefault="00E466CD" w:rsidP="005D5B06">
            <w:pPr>
              <w:pStyle w:val="TableCenter"/>
              <w:rPr>
                <w:sz w:val="18"/>
                <w:szCs w:val="18"/>
              </w:rPr>
            </w:pPr>
            <w:r w:rsidRPr="00CB2E92">
              <w:rPr>
                <w:sz w:val="18"/>
                <w:szCs w:val="18"/>
              </w:rPr>
              <w:t>287.7</w:t>
            </w:r>
          </w:p>
        </w:tc>
      </w:tr>
      <w:tr w:rsidR="00E466CD" w14:paraId="73DC3F28" w14:textId="77777777" w:rsidTr="005D5B06">
        <w:trPr>
          <w:trHeight w:val="202"/>
        </w:trPr>
        <w:tc>
          <w:tcPr>
            <w:tcW w:w="736" w:type="pct"/>
            <w:vMerge/>
            <w:hideMark/>
          </w:tcPr>
          <w:p w14:paraId="4A41C980" w14:textId="77777777" w:rsidR="00E466CD" w:rsidRPr="00CB2E92" w:rsidRDefault="00E466CD" w:rsidP="005D5B06">
            <w:pPr>
              <w:pStyle w:val="TableCenter"/>
              <w:rPr>
                <w:sz w:val="18"/>
                <w:szCs w:val="18"/>
              </w:rPr>
            </w:pPr>
          </w:p>
        </w:tc>
        <w:tc>
          <w:tcPr>
            <w:tcW w:w="562" w:type="pct"/>
            <w:shd w:val="clear" w:color="auto" w:fill="auto"/>
            <w:noWrap/>
            <w:hideMark/>
          </w:tcPr>
          <w:p w14:paraId="58DC20BF"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w:t>
            </w:r>
          </w:p>
        </w:tc>
        <w:tc>
          <w:tcPr>
            <w:tcW w:w="489" w:type="pct"/>
            <w:shd w:val="clear" w:color="auto" w:fill="auto"/>
            <w:noWrap/>
            <w:vAlign w:val="center"/>
          </w:tcPr>
          <w:p w14:paraId="0FE112C9" w14:textId="77777777" w:rsidR="00E466CD" w:rsidRPr="00CB2E92" w:rsidRDefault="00E466CD" w:rsidP="005D5B06">
            <w:pPr>
              <w:pStyle w:val="TableCenter"/>
              <w:rPr>
                <w:sz w:val="18"/>
                <w:szCs w:val="18"/>
              </w:rPr>
            </w:pPr>
            <w:r w:rsidRPr="00CB2E92">
              <w:rPr>
                <w:sz w:val="18"/>
                <w:szCs w:val="18"/>
              </w:rPr>
              <w:t>170.8</w:t>
            </w:r>
          </w:p>
        </w:tc>
        <w:tc>
          <w:tcPr>
            <w:tcW w:w="459" w:type="pct"/>
            <w:shd w:val="clear" w:color="auto" w:fill="auto"/>
            <w:noWrap/>
            <w:vAlign w:val="center"/>
          </w:tcPr>
          <w:p w14:paraId="489A62DD" w14:textId="77777777" w:rsidR="00E466CD" w:rsidRPr="00CB2E92" w:rsidRDefault="00E466CD" w:rsidP="005D5B06">
            <w:pPr>
              <w:pStyle w:val="TableCenter"/>
              <w:rPr>
                <w:sz w:val="18"/>
                <w:szCs w:val="18"/>
              </w:rPr>
            </w:pPr>
            <w:r w:rsidRPr="00CB2E92">
              <w:rPr>
                <w:sz w:val="18"/>
                <w:szCs w:val="18"/>
              </w:rPr>
              <w:t>3.0</w:t>
            </w:r>
          </w:p>
        </w:tc>
        <w:tc>
          <w:tcPr>
            <w:tcW w:w="459" w:type="pct"/>
            <w:shd w:val="clear" w:color="auto" w:fill="auto"/>
            <w:noWrap/>
            <w:vAlign w:val="center"/>
          </w:tcPr>
          <w:p w14:paraId="65CF9AD0" w14:textId="77777777" w:rsidR="00E466CD" w:rsidRPr="00CB2E92" w:rsidRDefault="00E466CD" w:rsidP="005D5B06">
            <w:pPr>
              <w:pStyle w:val="TableCenter"/>
              <w:rPr>
                <w:sz w:val="18"/>
                <w:szCs w:val="18"/>
              </w:rPr>
            </w:pPr>
            <w:r w:rsidRPr="00CB2E92">
              <w:rPr>
                <w:sz w:val="18"/>
                <w:szCs w:val="18"/>
              </w:rPr>
              <w:t>5.2</w:t>
            </w:r>
          </w:p>
        </w:tc>
        <w:tc>
          <w:tcPr>
            <w:tcW w:w="459" w:type="pct"/>
            <w:shd w:val="clear" w:color="auto" w:fill="auto"/>
            <w:noWrap/>
            <w:vAlign w:val="center"/>
          </w:tcPr>
          <w:p w14:paraId="6873184B" w14:textId="77777777" w:rsidR="00E466CD" w:rsidRPr="00CB2E92" w:rsidRDefault="00E466CD" w:rsidP="005D5B06">
            <w:pPr>
              <w:pStyle w:val="TableCenter"/>
              <w:rPr>
                <w:sz w:val="18"/>
                <w:szCs w:val="18"/>
              </w:rPr>
            </w:pPr>
            <w:r w:rsidRPr="00CB2E92">
              <w:rPr>
                <w:sz w:val="18"/>
                <w:szCs w:val="18"/>
              </w:rPr>
              <w:t>7.0</w:t>
            </w:r>
          </w:p>
        </w:tc>
        <w:tc>
          <w:tcPr>
            <w:tcW w:w="459" w:type="pct"/>
            <w:shd w:val="clear" w:color="auto" w:fill="auto"/>
            <w:vAlign w:val="center"/>
          </w:tcPr>
          <w:p w14:paraId="2277E351" w14:textId="77777777" w:rsidR="00E466CD" w:rsidRPr="00CB2E92" w:rsidRDefault="00E466CD" w:rsidP="005D5B06">
            <w:pPr>
              <w:pStyle w:val="TableCenter"/>
              <w:rPr>
                <w:sz w:val="18"/>
                <w:szCs w:val="18"/>
              </w:rPr>
            </w:pPr>
            <w:r w:rsidRPr="00CB2E92">
              <w:rPr>
                <w:sz w:val="18"/>
                <w:szCs w:val="18"/>
              </w:rPr>
              <w:t>10.2</w:t>
            </w:r>
          </w:p>
        </w:tc>
        <w:tc>
          <w:tcPr>
            <w:tcW w:w="459" w:type="pct"/>
            <w:shd w:val="clear" w:color="auto" w:fill="auto"/>
            <w:noWrap/>
            <w:vAlign w:val="center"/>
          </w:tcPr>
          <w:p w14:paraId="6C586DBE" w14:textId="77777777" w:rsidR="00E466CD" w:rsidRPr="00CB2E92" w:rsidRDefault="00E466CD" w:rsidP="005D5B06">
            <w:pPr>
              <w:pStyle w:val="TableCenter"/>
              <w:rPr>
                <w:sz w:val="18"/>
                <w:szCs w:val="18"/>
              </w:rPr>
            </w:pPr>
            <w:r w:rsidRPr="00CB2E92">
              <w:rPr>
                <w:sz w:val="18"/>
                <w:szCs w:val="18"/>
              </w:rPr>
              <w:t>14.4</w:t>
            </w:r>
          </w:p>
        </w:tc>
        <w:tc>
          <w:tcPr>
            <w:tcW w:w="459" w:type="pct"/>
            <w:shd w:val="clear" w:color="auto" w:fill="auto"/>
            <w:noWrap/>
            <w:vAlign w:val="center"/>
          </w:tcPr>
          <w:p w14:paraId="177711A1"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4DEC0DDA" w14:textId="77777777" w:rsidR="00E466CD" w:rsidRPr="00CB2E92" w:rsidRDefault="00E466CD" w:rsidP="005D5B06">
            <w:pPr>
              <w:pStyle w:val="TableCenter"/>
              <w:rPr>
                <w:sz w:val="18"/>
                <w:szCs w:val="18"/>
              </w:rPr>
            </w:pPr>
            <w:r w:rsidRPr="00CB2E92">
              <w:rPr>
                <w:sz w:val="18"/>
                <w:szCs w:val="18"/>
              </w:rPr>
              <w:t>100.8</w:t>
            </w:r>
          </w:p>
        </w:tc>
      </w:tr>
      <w:tr w:rsidR="00E466CD" w14:paraId="0E699FC8" w14:textId="77777777" w:rsidTr="005D5B06">
        <w:trPr>
          <w:trHeight w:val="202"/>
        </w:trPr>
        <w:tc>
          <w:tcPr>
            <w:tcW w:w="736" w:type="pct"/>
            <w:vMerge/>
            <w:hideMark/>
          </w:tcPr>
          <w:p w14:paraId="636FCF00" w14:textId="77777777" w:rsidR="00E466CD" w:rsidRPr="00CB2E92" w:rsidRDefault="00E466CD" w:rsidP="005D5B06">
            <w:pPr>
              <w:pStyle w:val="TableCenter"/>
              <w:rPr>
                <w:sz w:val="18"/>
                <w:szCs w:val="18"/>
              </w:rPr>
            </w:pPr>
          </w:p>
        </w:tc>
        <w:tc>
          <w:tcPr>
            <w:tcW w:w="562" w:type="pct"/>
            <w:shd w:val="clear" w:color="auto" w:fill="auto"/>
            <w:noWrap/>
            <w:hideMark/>
          </w:tcPr>
          <w:p w14:paraId="53651B60"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w:t>
            </w:r>
          </w:p>
        </w:tc>
        <w:tc>
          <w:tcPr>
            <w:tcW w:w="489" w:type="pct"/>
            <w:shd w:val="clear" w:color="auto" w:fill="auto"/>
            <w:noWrap/>
            <w:vAlign w:val="center"/>
          </w:tcPr>
          <w:p w14:paraId="68D80CB0" w14:textId="77777777" w:rsidR="00E466CD" w:rsidRPr="00CB2E92" w:rsidRDefault="00E466CD" w:rsidP="005D5B06">
            <w:pPr>
              <w:pStyle w:val="TableCenter"/>
              <w:rPr>
                <w:sz w:val="18"/>
                <w:szCs w:val="18"/>
              </w:rPr>
            </w:pPr>
            <w:r w:rsidRPr="00CB2E92">
              <w:rPr>
                <w:sz w:val="18"/>
                <w:szCs w:val="18"/>
              </w:rPr>
              <w:t>359.0</w:t>
            </w:r>
          </w:p>
        </w:tc>
        <w:tc>
          <w:tcPr>
            <w:tcW w:w="459" w:type="pct"/>
            <w:shd w:val="clear" w:color="auto" w:fill="auto"/>
            <w:noWrap/>
            <w:vAlign w:val="center"/>
          </w:tcPr>
          <w:p w14:paraId="436B9B79" w14:textId="77777777" w:rsidR="00E466CD" w:rsidRPr="00CB2E92" w:rsidRDefault="00E466CD" w:rsidP="005D5B06">
            <w:pPr>
              <w:pStyle w:val="TableCenter"/>
              <w:rPr>
                <w:sz w:val="18"/>
                <w:szCs w:val="18"/>
              </w:rPr>
            </w:pPr>
            <w:r w:rsidRPr="00CB2E92">
              <w:rPr>
                <w:sz w:val="18"/>
                <w:szCs w:val="18"/>
              </w:rPr>
              <w:t>5.1</w:t>
            </w:r>
          </w:p>
        </w:tc>
        <w:tc>
          <w:tcPr>
            <w:tcW w:w="459" w:type="pct"/>
            <w:shd w:val="clear" w:color="auto" w:fill="auto"/>
            <w:noWrap/>
            <w:vAlign w:val="center"/>
          </w:tcPr>
          <w:p w14:paraId="12383B24" w14:textId="77777777" w:rsidR="00E466CD" w:rsidRPr="00CB2E92" w:rsidRDefault="00E466CD" w:rsidP="005D5B06">
            <w:pPr>
              <w:pStyle w:val="TableCenter"/>
              <w:rPr>
                <w:sz w:val="18"/>
                <w:szCs w:val="18"/>
              </w:rPr>
            </w:pPr>
            <w:r w:rsidRPr="00CB2E92">
              <w:rPr>
                <w:sz w:val="18"/>
                <w:szCs w:val="18"/>
              </w:rPr>
              <w:t>6.7</w:t>
            </w:r>
          </w:p>
        </w:tc>
        <w:tc>
          <w:tcPr>
            <w:tcW w:w="459" w:type="pct"/>
            <w:shd w:val="clear" w:color="auto" w:fill="auto"/>
            <w:noWrap/>
            <w:vAlign w:val="center"/>
          </w:tcPr>
          <w:p w14:paraId="124180D0" w14:textId="77777777" w:rsidR="00E466CD" w:rsidRPr="00CB2E92" w:rsidRDefault="00E466CD" w:rsidP="005D5B06">
            <w:pPr>
              <w:pStyle w:val="TableCenter"/>
              <w:rPr>
                <w:sz w:val="18"/>
                <w:szCs w:val="18"/>
              </w:rPr>
            </w:pPr>
            <w:r w:rsidRPr="00CB2E92">
              <w:rPr>
                <w:sz w:val="18"/>
                <w:szCs w:val="18"/>
              </w:rPr>
              <w:t>11.7</w:t>
            </w:r>
          </w:p>
        </w:tc>
        <w:tc>
          <w:tcPr>
            <w:tcW w:w="459" w:type="pct"/>
            <w:shd w:val="clear" w:color="auto" w:fill="auto"/>
            <w:vAlign w:val="center"/>
          </w:tcPr>
          <w:p w14:paraId="75F76FE5" w14:textId="77777777" w:rsidR="00E466CD" w:rsidRPr="00CB2E92" w:rsidRDefault="00E466CD" w:rsidP="005D5B06">
            <w:pPr>
              <w:pStyle w:val="TableCenter"/>
              <w:rPr>
                <w:sz w:val="18"/>
                <w:szCs w:val="18"/>
              </w:rPr>
            </w:pPr>
            <w:r w:rsidRPr="00CB2E92">
              <w:rPr>
                <w:sz w:val="18"/>
                <w:szCs w:val="18"/>
              </w:rPr>
              <w:t>17.5</w:t>
            </w:r>
          </w:p>
        </w:tc>
        <w:tc>
          <w:tcPr>
            <w:tcW w:w="459" w:type="pct"/>
            <w:shd w:val="clear" w:color="auto" w:fill="auto"/>
            <w:noWrap/>
            <w:vAlign w:val="center"/>
          </w:tcPr>
          <w:p w14:paraId="308C9735" w14:textId="77777777" w:rsidR="00E466CD" w:rsidRPr="00CB2E92" w:rsidRDefault="00E466CD" w:rsidP="005D5B06">
            <w:pPr>
              <w:pStyle w:val="TableCenter"/>
              <w:rPr>
                <w:sz w:val="18"/>
                <w:szCs w:val="18"/>
              </w:rPr>
            </w:pPr>
            <w:r w:rsidRPr="00CB2E92">
              <w:rPr>
                <w:sz w:val="18"/>
                <w:szCs w:val="18"/>
              </w:rPr>
              <w:t>29.9</w:t>
            </w:r>
          </w:p>
        </w:tc>
        <w:tc>
          <w:tcPr>
            <w:tcW w:w="459" w:type="pct"/>
            <w:shd w:val="clear" w:color="auto" w:fill="auto"/>
            <w:noWrap/>
            <w:vAlign w:val="center"/>
          </w:tcPr>
          <w:p w14:paraId="1C919F34"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1995444B" w14:textId="77777777" w:rsidR="00E466CD" w:rsidRPr="00CB2E92" w:rsidRDefault="00E466CD" w:rsidP="005D5B06">
            <w:pPr>
              <w:pStyle w:val="TableCenter"/>
              <w:rPr>
                <w:sz w:val="18"/>
                <w:szCs w:val="18"/>
              </w:rPr>
            </w:pPr>
            <w:r w:rsidRPr="00CB2E92">
              <w:rPr>
                <w:sz w:val="18"/>
                <w:szCs w:val="18"/>
              </w:rPr>
              <w:t>267.1</w:t>
            </w:r>
          </w:p>
        </w:tc>
      </w:tr>
      <w:tr w:rsidR="00E466CD" w14:paraId="1F305627" w14:textId="77777777" w:rsidTr="005D5B06">
        <w:trPr>
          <w:trHeight w:val="202"/>
        </w:trPr>
        <w:tc>
          <w:tcPr>
            <w:tcW w:w="736" w:type="pct"/>
            <w:vMerge/>
            <w:hideMark/>
          </w:tcPr>
          <w:p w14:paraId="0523676B" w14:textId="77777777" w:rsidR="00E466CD" w:rsidRPr="00CB2E92" w:rsidRDefault="00E466CD" w:rsidP="005D5B06">
            <w:pPr>
              <w:pStyle w:val="TableCenter"/>
              <w:rPr>
                <w:sz w:val="18"/>
                <w:szCs w:val="18"/>
              </w:rPr>
            </w:pPr>
          </w:p>
        </w:tc>
        <w:tc>
          <w:tcPr>
            <w:tcW w:w="562" w:type="pct"/>
            <w:shd w:val="clear" w:color="auto" w:fill="auto"/>
            <w:noWrap/>
            <w:hideMark/>
          </w:tcPr>
          <w:p w14:paraId="3A432A58"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w:t>
            </w:r>
          </w:p>
        </w:tc>
        <w:tc>
          <w:tcPr>
            <w:tcW w:w="489" w:type="pct"/>
            <w:shd w:val="clear" w:color="auto" w:fill="auto"/>
            <w:noWrap/>
            <w:vAlign w:val="center"/>
          </w:tcPr>
          <w:p w14:paraId="3DBC4DD5" w14:textId="77777777" w:rsidR="00E466CD" w:rsidRPr="00CB2E92" w:rsidRDefault="00E466CD" w:rsidP="005D5B06">
            <w:pPr>
              <w:pStyle w:val="TableCenter"/>
              <w:rPr>
                <w:sz w:val="18"/>
                <w:szCs w:val="18"/>
              </w:rPr>
            </w:pPr>
            <w:r w:rsidRPr="00CB2E92">
              <w:rPr>
                <w:sz w:val="18"/>
                <w:szCs w:val="18"/>
              </w:rPr>
              <w:t>150.1</w:t>
            </w:r>
          </w:p>
        </w:tc>
        <w:tc>
          <w:tcPr>
            <w:tcW w:w="459" w:type="pct"/>
            <w:shd w:val="clear" w:color="auto" w:fill="auto"/>
            <w:noWrap/>
            <w:vAlign w:val="center"/>
          </w:tcPr>
          <w:p w14:paraId="7C02B260" w14:textId="77777777" w:rsidR="00E466CD" w:rsidRPr="00CB2E92" w:rsidRDefault="00E466CD" w:rsidP="005D5B06">
            <w:pPr>
              <w:pStyle w:val="TableCenter"/>
              <w:rPr>
                <w:sz w:val="18"/>
                <w:szCs w:val="18"/>
              </w:rPr>
            </w:pPr>
            <w:r w:rsidRPr="00CB2E92">
              <w:rPr>
                <w:sz w:val="18"/>
                <w:szCs w:val="18"/>
              </w:rPr>
              <w:t>6.5</w:t>
            </w:r>
          </w:p>
        </w:tc>
        <w:tc>
          <w:tcPr>
            <w:tcW w:w="459" w:type="pct"/>
            <w:shd w:val="clear" w:color="auto" w:fill="auto"/>
            <w:noWrap/>
            <w:vAlign w:val="center"/>
          </w:tcPr>
          <w:p w14:paraId="0E821074" w14:textId="77777777" w:rsidR="00E466CD" w:rsidRPr="00CB2E92" w:rsidRDefault="00E466CD" w:rsidP="005D5B06">
            <w:pPr>
              <w:pStyle w:val="TableCenter"/>
              <w:rPr>
                <w:sz w:val="18"/>
                <w:szCs w:val="18"/>
              </w:rPr>
            </w:pPr>
            <w:r w:rsidRPr="00CB2E92">
              <w:rPr>
                <w:sz w:val="18"/>
                <w:szCs w:val="18"/>
              </w:rPr>
              <w:t>9.3</w:t>
            </w:r>
          </w:p>
        </w:tc>
        <w:tc>
          <w:tcPr>
            <w:tcW w:w="459" w:type="pct"/>
            <w:shd w:val="clear" w:color="auto" w:fill="auto"/>
            <w:noWrap/>
            <w:vAlign w:val="center"/>
          </w:tcPr>
          <w:p w14:paraId="2EBDE41F" w14:textId="77777777" w:rsidR="00E466CD" w:rsidRPr="00CB2E92" w:rsidRDefault="00E466CD" w:rsidP="005D5B06">
            <w:pPr>
              <w:pStyle w:val="TableCenter"/>
              <w:rPr>
                <w:sz w:val="18"/>
                <w:szCs w:val="18"/>
              </w:rPr>
            </w:pPr>
            <w:r w:rsidRPr="00CB2E92">
              <w:rPr>
                <w:sz w:val="18"/>
                <w:szCs w:val="18"/>
              </w:rPr>
              <w:t>27.7</w:t>
            </w:r>
          </w:p>
        </w:tc>
        <w:tc>
          <w:tcPr>
            <w:tcW w:w="459" w:type="pct"/>
            <w:shd w:val="clear" w:color="auto" w:fill="auto"/>
            <w:vAlign w:val="center"/>
          </w:tcPr>
          <w:p w14:paraId="45E532A8" w14:textId="77777777" w:rsidR="00E466CD" w:rsidRPr="00CB2E92" w:rsidRDefault="00E466CD" w:rsidP="005D5B06">
            <w:pPr>
              <w:pStyle w:val="TableCenter"/>
              <w:rPr>
                <w:sz w:val="18"/>
                <w:szCs w:val="18"/>
              </w:rPr>
            </w:pPr>
            <w:r w:rsidRPr="00CB2E92">
              <w:rPr>
                <w:sz w:val="18"/>
                <w:szCs w:val="18"/>
              </w:rPr>
              <w:t>21.9</w:t>
            </w:r>
          </w:p>
        </w:tc>
        <w:tc>
          <w:tcPr>
            <w:tcW w:w="459" w:type="pct"/>
            <w:shd w:val="clear" w:color="auto" w:fill="auto"/>
            <w:noWrap/>
            <w:vAlign w:val="center"/>
          </w:tcPr>
          <w:p w14:paraId="04D5361F" w14:textId="77777777" w:rsidR="00E466CD" w:rsidRPr="00CB2E92" w:rsidRDefault="00E466CD" w:rsidP="005D5B06">
            <w:pPr>
              <w:pStyle w:val="TableCenter"/>
              <w:rPr>
                <w:sz w:val="18"/>
                <w:szCs w:val="18"/>
              </w:rPr>
            </w:pPr>
            <w:r w:rsidRPr="00CB2E92">
              <w:rPr>
                <w:sz w:val="18"/>
                <w:szCs w:val="18"/>
              </w:rPr>
              <w:t>101.3</w:t>
            </w:r>
          </w:p>
        </w:tc>
        <w:tc>
          <w:tcPr>
            <w:tcW w:w="459" w:type="pct"/>
            <w:shd w:val="clear" w:color="auto" w:fill="auto"/>
            <w:noWrap/>
            <w:vAlign w:val="center"/>
          </w:tcPr>
          <w:p w14:paraId="0289E3A3"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7EEE834E" w14:textId="77777777" w:rsidR="00E466CD" w:rsidRPr="00CB2E92" w:rsidRDefault="00E466CD" w:rsidP="005D5B06">
            <w:pPr>
              <w:pStyle w:val="TableCenter"/>
              <w:rPr>
                <w:sz w:val="18"/>
                <w:szCs w:val="18"/>
              </w:rPr>
            </w:pPr>
            <w:r w:rsidRPr="00CB2E92">
              <w:rPr>
                <w:sz w:val="18"/>
                <w:szCs w:val="18"/>
              </w:rPr>
              <w:t>456.2</w:t>
            </w:r>
          </w:p>
        </w:tc>
      </w:tr>
      <w:tr w:rsidR="00E466CD" w14:paraId="245F4927" w14:textId="77777777" w:rsidTr="005D5B06">
        <w:trPr>
          <w:trHeight w:val="202"/>
        </w:trPr>
        <w:tc>
          <w:tcPr>
            <w:tcW w:w="736" w:type="pct"/>
            <w:vMerge/>
            <w:hideMark/>
          </w:tcPr>
          <w:p w14:paraId="1C65E8AB" w14:textId="77777777" w:rsidR="00E466CD" w:rsidRPr="00CB2E92" w:rsidRDefault="00E466CD" w:rsidP="005D5B06">
            <w:pPr>
              <w:pStyle w:val="TableCenter"/>
              <w:rPr>
                <w:sz w:val="18"/>
                <w:szCs w:val="18"/>
              </w:rPr>
            </w:pPr>
          </w:p>
        </w:tc>
        <w:tc>
          <w:tcPr>
            <w:tcW w:w="562" w:type="pct"/>
            <w:shd w:val="clear" w:color="auto" w:fill="auto"/>
            <w:noWrap/>
            <w:hideMark/>
          </w:tcPr>
          <w:p w14:paraId="0C9B9B13" w14:textId="77777777" w:rsidR="00E466CD" w:rsidRPr="00CB2E92" w:rsidRDefault="00E466CD" w:rsidP="005D5B06">
            <w:pPr>
              <w:pStyle w:val="TableLeft"/>
              <w:jc w:val="center"/>
              <w:rPr>
                <w:rFonts w:cs="Times New Roman"/>
                <w:sz w:val="18"/>
                <w:szCs w:val="18"/>
              </w:rPr>
            </w:pPr>
            <w:r w:rsidRPr="00CB2E92">
              <w:rPr>
                <w:rFonts w:cs="Times New Roman"/>
                <w:sz w:val="18"/>
                <w:szCs w:val="18"/>
              </w:rPr>
              <w:t>1000</w:t>
            </w:r>
          </w:p>
        </w:tc>
        <w:tc>
          <w:tcPr>
            <w:tcW w:w="489" w:type="pct"/>
            <w:shd w:val="clear" w:color="auto" w:fill="auto"/>
            <w:noWrap/>
            <w:vAlign w:val="center"/>
          </w:tcPr>
          <w:p w14:paraId="4898EF29" w14:textId="77777777" w:rsidR="00E466CD" w:rsidRPr="00CB2E92" w:rsidRDefault="00E466CD" w:rsidP="005D5B06">
            <w:pPr>
              <w:pStyle w:val="TableCenter"/>
              <w:rPr>
                <w:sz w:val="18"/>
                <w:szCs w:val="18"/>
              </w:rPr>
            </w:pPr>
            <w:r w:rsidRPr="00CB2E92">
              <w:rPr>
                <w:sz w:val="18"/>
                <w:szCs w:val="18"/>
              </w:rPr>
              <w:t>171.3</w:t>
            </w:r>
          </w:p>
        </w:tc>
        <w:tc>
          <w:tcPr>
            <w:tcW w:w="459" w:type="pct"/>
            <w:shd w:val="clear" w:color="auto" w:fill="auto"/>
            <w:noWrap/>
            <w:vAlign w:val="center"/>
          </w:tcPr>
          <w:p w14:paraId="2E1BC7C5" w14:textId="77777777" w:rsidR="00E466CD" w:rsidRPr="00CB2E92" w:rsidRDefault="00E466CD" w:rsidP="005D5B06">
            <w:pPr>
              <w:pStyle w:val="TableCenter"/>
              <w:rPr>
                <w:sz w:val="18"/>
                <w:szCs w:val="18"/>
              </w:rPr>
            </w:pPr>
            <w:r w:rsidRPr="00CB2E92">
              <w:rPr>
                <w:sz w:val="18"/>
                <w:szCs w:val="18"/>
              </w:rPr>
              <w:t>8.0</w:t>
            </w:r>
          </w:p>
        </w:tc>
        <w:tc>
          <w:tcPr>
            <w:tcW w:w="459" w:type="pct"/>
            <w:shd w:val="clear" w:color="auto" w:fill="auto"/>
            <w:noWrap/>
            <w:vAlign w:val="center"/>
          </w:tcPr>
          <w:p w14:paraId="7ACB9C2A" w14:textId="77777777" w:rsidR="00E466CD" w:rsidRPr="00CB2E92" w:rsidRDefault="00E466CD" w:rsidP="005D5B06">
            <w:pPr>
              <w:pStyle w:val="TableCenter"/>
              <w:rPr>
                <w:sz w:val="18"/>
                <w:szCs w:val="18"/>
              </w:rPr>
            </w:pPr>
            <w:r w:rsidRPr="00CB2E92">
              <w:rPr>
                <w:sz w:val="18"/>
                <w:szCs w:val="18"/>
              </w:rPr>
              <w:t>12.1</w:t>
            </w:r>
          </w:p>
        </w:tc>
        <w:tc>
          <w:tcPr>
            <w:tcW w:w="459" w:type="pct"/>
            <w:shd w:val="clear" w:color="auto" w:fill="auto"/>
            <w:noWrap/>
            <w:vAlign w:val="center"/>
          </w:tcPr>
          <w:p w14:paraId="70330206" w14:textId="77777777" w:rsidR="00E466CD" w:rsidRPr="00CB2E92" w:rsidRDefault="00E466CD" w:rsidP="005D5B06">
            <w:pPr>
              <w:pStyle w:val="TableCenter"/>
              <w:rPr>
                <w:sz w:val="18"/>
                <w:szCs w:val="18"/>
              </w:rPr>
            </w:pPr>
            <w:r w:rsidRPr="00CB2E92">
              <w:rPr>
                <w:sz w:val="18"/>
                <w:szCs w:val="18"/>
              </w:rPr>
              <w:t>30.6</w:t>
            </w:r>
          </w:p>
        </w:tc>
        <w:tc>
          <w:tcPr>
            <w:tcW w:w="459" w:type="pct"/>
            <w:shd w:val="clear" w:color="auto" w:fill="auto"/>
            <w:vAlign w:val="center"/>
          </w:tcPr>
          <w:p w14:paraId="6FE1894D" w14:textId="77777777" w:rsidR="00E466CD" w:rsidRPr="00CB2E92" w:rsidRDefault="00E466CD" w:rsidP="005D5B06">
            <w:pPr>
              <w:pStyle w:val="TableCenter"/>
              <w:rPr>
                <w:sz w:val="18"/>
                <w:szCs w:val="18"/>
              </w:rPr>
            </w:pPr>
            <w:r w:rsidRPr="00CB2E92">
              <w:rPr>
                <w:sz w:val="18"/>
                <w:szCs w:val="18"/>
              </w:rPr>
              <w:t>19.0</w:t>
            </w:r>
          </w:p>
        </w:tc>
        <w:tc>
          <w:tcPr>
            <w:tcW w:w="459" w:type="pct"/>
            <w:shd w:val="clear" w:color="auto" w:fill="auto"/>
            <w:noWrap/>
            <w:vAlign w:val="center"/>
          </w:tcPr>
          <w:p w14:paraId="3A5D492E" w14:textId="77777777" w:rsidR="00E466CD" w:rsidRPr="00CB2E92" w:rsidRDefault="00E466CD" w:rsidP="005D5B06">
            <w:pPr>
              <w:pStyle w:val="TableCenter"/>
              <w:rPr>
                <w:sz w:val="18"/>
                <w:szCs w:val="18"/>
              </w:rPr>
            </w:pPr>
            <w:r w:rsidRPr="00CB2E92">
              <w:rPr>
                <w:sz w:val="18"/>
                <w:szCs w:val="18"/>
              </w:rPr>
              <w:t>94.3</w:t>
            </w:r>
          </w:p>
        </w:tc>
        <w:tc>
          <w:tcPr>
            <w:tcW w:w="459" w:type="pct"/>
            <w:shd w:val="clear" w:color="auto" w:fill="auto"/>
            <w:noWrap/>
            <w:vAlign w:val="center"/>
          </w:tcPr>
          <w:p w14:paraId="27CD4D71" w14:textId="77777777" w:rsidR="00E466CD" w:rsidRPr="00CB2E92" w:rsidRDefault="00E466CD" w:rsidP="005D5B06">
            <w:pPr>
              <w:pStyle w:val="TableCenter"/>
              <w:rPr>
                <w:sz w:val="18"/>
                <w:szCs w:val="18"/>
              </w:rPr>
            </w:pPr>
            <w:r w:rsidRPr="00CB2E92">
              <w:rPr>
                <w:sz w:val="18"/>
                <w:szCs w:val="18"/>
              </w:rPr>
              <w:t>&gt; 2028</w:t>
            </w:r>
          </w:p>
        </w:tc>
        <w:tc>
          <w:tcPr>
            <w:tcW w:w="459" w:type="pct"/>
            <w:shd w:val="clear" w:color="auto" w:fill="auto"/>
            <w:noWrap/>
            <w:vAlign w:val="center"/>
          </w:tcPr>
          <w:p w14:paraId="0A20B8D4" w14:textId="77777777" w:rsidR="00E466CD" w:rsidRPr="00CB2E92" w:rsidRDefault="00E466CD" w:rsidP="005D5B06">
            <w:pPr>
              <w:pStyle w:val="TableCenter"/>
              <w:rPr>
                <w:sz w:val="18"/>
                <w:szCs w:val="18"/>
              </w:rPr>
            </w:pPr>
            <w:r w:rsidRPr="00CB2E92">
              <w:rPr>
                <w:sz w:val="18"/>
                <w:szCs w:val="18"/>
              </w:rPr>
              <w:t>628.5</w:t>
            </w:r>
          </w:p>
        </w:tc>
      </w:tr>
      <w:tr w:rsidR="00E466CD" w:rsidRPr="006B7A77" w14:paraId="10253C86" w14:textId="77777777" w:rsidTr="005D5B06">
        <w:trPr>
          <w:trHeight w:val="202"/>
        </w:trPr>
        <w:tc>
          <w:tcPr>
            <w:tcW w:w="5000" w:type="pct"/>
            <w:gridSpan w:val="10"/>
            <w:tcBorders>
              <w:top w:val="single" w:sz="4" w:space="0" w:color="auto"/>
              <w:left w:val="nil"/>
              <w:bottom w:val="nil"/>
              <w:right w:val="nil"/>
            </w:tcBorders>
          </w:tcPr>
          <w:p w14:paraId="7686101E" w14:textId="77777777" w:rsidR="00E466CD" w:rsidRPr="006B7A77" w:rsidRDefault="00E466CD" w:rsidP="005D5B06">
            <w:pPr>
              <w:pStyle w:val="TableLeft"/>
              <w:rPr>
                <w:rFonts w:cs="Times New Roman"/>
                <w:sz w:val="18"/>
                <w:szCs w:val="18"/>
              </w:rPr>
            </w:pPr>
            <w:r w:rsidRPr="006B7A77">
              <w:rPr>
                <w:sz w:val="18"/>
                <w:szCs w:val="18"/>
              </w:rPr>
              <w:t>Note that monoclonal antibody concentrations listed are approximate and assume that the air-drying method results in 100% monoclonal antibody binding to the plate</w:t>
            </w:r>
            <w:r w:rsidRPr="00A51EDE">
              <w:rPr>
                <w:sz w:val="18"/>
                <w:szCs w:val="18"/>
              </w:rPr>
              <w:t>.</w:t>
            </w:r>
            <w:r w:rsidRPr="00B027CD">
              <w:rPr>
                <w:sz w:val="18"/>
                <w:szCs w:val="18"/>
              </w:rPr>
              <w:br/>
            </w:r>
            <w:r>
              <w:rPr>
                <w:sz w:val="18"/>
                <w:szCs w:val="18"/>
              </w:rPr>
              <w:t>D</w:t>
            </w:r>
            <w:r w:rsidRPr="006B7A77">
              <w:rPr>
                <w:sz w:val="18"/>
                <w:szCs w:val="18"/>
              </w:rPr>
              <w:t xml:space="preserve">PBS = </w:t>
            </w:r>
            <w:r>
              <w:rPr>
                <w:sz w:val="18"/>
                <w:szCs w:val="18"/>
              </w:rPr>
              <w:t xml:space="preserve">Dulbecco’s </w:t>
            </w:r>
            <w:r w:rsidRPr="006B7A77">
              <w:rPr>
                <w:sz w:val="18"/>
                <w:szCs w:val="18"/>
              </w:rPr>
              <w:t>phosphate-buffered saline; IFNγ = interferon gamma; IL = interleukin; PBMC = peripheral blood mononuclear cell; TNF-α = tumor necrosis factor alpha</w:t>
            </w:r>
            <w:r>
              <w:rPr>
                <w:sz w:val="18"/>
                <w:szCs w:val="18"/>
              </w:rPr>
              <w:t>.</w:t>
            </w:r>
          </w:p>
        </w:tc>
      </w:tr>
    </w:tbl>
    <w:p w14:paraId="7F8F8A43" w14:textId="77777777" w:rsidR="00E466CD" w:rsidRDefault="00E466CD" w:rsidP="00E466CD">
      <w:pPr>
        <w:pStyle w:val="Paragraph"/>
      </w:pPr>
    </w:p>
    <w:p w14:paraId="40B82546" w14:textId="77777777" w:rsidR="00E466CD" w:rsidRDefault="00E466CD" w:rsidP="00E466CD">
      <w:pPr>
        <w:pStyle w:val="Paragraph"/>
        <w:pageBreakBefore/>
      </w:pPr>
    </w:p>
    <w:p w14:paraId="737ACEDC" w14:textId="1C823E7A" w:rsidR="00E466CD" w:rsidRDefault="00F33BF6" w:rsidP="00B16FAE">
      <w:pPr>
        <w:pStyle w:val="TableEndofTextTitle"/>
        <w:tabs>
          <w:tab w:val="clear" w:pos="1440"/>
          <w:tab w:val="left" w:pos="1350"/>
        </w:tabs>
        <w:ind w:left="2880" w:hanging="2880"/>
      </w:pPr>
      <w:r>
        <w:t xml:space="preserve">Supplementary </w:t>
      </w:r>
      <w:r w:rsidR="00A01090">
        <w:t xml:space="preserve">Data </w:t>
      </w:r>
      <w:r w:rsidR="00E466CD">
        <w:t xml:space="preserve">Table S2 </w:t>
      </w:r>
      <w:r w:rsidR="00E466CD">
        <w:tab/>
        <w:t>Human Whole Blood Cytokine Release Assay for Pembrolizumab with Monoclonal Antibodies in Solution (median of 8 donors)</w:t>
      </w:r>
    </w:p>
    <w:p w14:paraId="495EC55B" w14:textId="77777777" w:rsidR="00E466CD" w:rsidRPr="006E7AA4" w:rsidRDefault="00E466CD" w:rsidP="00E466CD">
      <w:pPr>
        <w:pStyle w:val="ListE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036"/>
        <w:gridCol w:w="850"/>
        <w:gridCol w:w="852"/>
        <w:gridCol w:w="850"/>
        <w:gridCol w:w="850"/>
        <w:gridCol w:w="853"/>
        <w:gridCol w:w="853"/>
        <w:gridCol w:w="852"/>
        <w:gridCol w:w="864"/>
      </w:tblGrid>
      <w:tr w:rsidR="00E466CD" w:rsidRPr="008C62D4" w14:paraId="5F525CAE" w14:textId="77777777" w:rsidTr="005D5B06">
        <w:trPr>
          <w:trHeight w:val="202"/>
        </w:trPr>
        <w:tc>
          <w:tcPr>
            <w:tcW w:w="736" w:type="pct"/>
            <w:tcBorders>
              <w:top w:val="single" w:sz="2" w:space="0" w:color="auto"/>
            </w:tcBorders>
            <w:shd w:val="clear" w:color="auto" w:fill="auto"/>
            <w:hideMark/>
          </w:tcPr>
          <w:p w14:paraId="53C62294" w14:textId="77777777" w:rsidR="00E466CD" w:rsidRPr="008C62D4" w:rsidRDefault="00E466CD" w:rsidP="005D5B06">
            <w:pPr>
              <w:pStyle w:val="TableHead"/>
              <w:jc w:val="left"/>
              <w:rPr>
                <w:bCs/>
                <w:sz w:val="18"/>
                <w:szCs w:val="18"/>
              </w:rPr>
            </w:pPr>
            <w:r w:rsidRPr="008C62D4">
              <w:rPr>
                <w:sz w:val="18"/>
                <w:szCs w:val="18"/>
              </w:rPr>
              <w:t>Treatment</w:t>
            </w:r>
          </w:p>
        </w:tc>
        <w:tc>
          <w:tcPr>
            <w:tcW w:w="562" w:type="pct"/>
            <w:tcBorders>
              <w:top w:val="single" w:sz="2" w:space="0" w:color="auto"/>
            </w:tcBorders>
            <w:shd w:val="clear" w:color="auto" w:fill="auto"/>
            <w:hideMark/>
          </w:tcPr>
          <w:p w14:paraId="73295E88" w14:textId="77777777" w:rsidR="00E466CD" w:rsidRPr="008C62D4" w:rsidRDefault="00E466CD" w:rsidP="005D5B06">
            <w:pPr>
              <w:pStyle w:val="TableHead"/>
              <w:rPr>
                <w:bCs/>
                <w:sz w:val="18"/>
                <w:szCs w:val="18"/>
              </w:rPr>
            </w:pPr>
            <w:r>
              <w:rPr>
                <w:sz w:val="18"/>
                <w:szCs w:val="18"/>
              </w:rPr>
              <w:t>Treatment conc.</w:t>
            </w:r>
            <w:r>
              <w:rPr>
                <w:sz w:val="18"/>
                <w:szCs w:val="18"/>
              </w:rPr>
              <w:br/>
            </w:r>
            <w:r w:rsidRPr="008C62D4">
              <w:rPr>
                <w:sz w:val="18"/>
                <w:szCs w:val="18"/>
              </w:rPr>
              <w:t>(µg/mL)</w:t>
            </w:r>
          </w:p>
        </w:tc>
        <w:tc>
          <w:tcPr>
            <w:tcW w:w="461" w:type="pct"/>
            <w:tcBorders>
              <w:top w:val="single" w:sz="2" w:space="0" w:color="auto"/>
            </w:tcBorders>
            <w:shd w:val="clear" w:color="auto" w:fill="auto"/>
            <w:hideMark/>
          </w:tcPr>
          <w:p w14:paraId="151C6E49" w14:textId="77777777" w:rsidR="00E466CD" w:rsidRPr="008C62D4" w:rsidRDefault="00E466CD" w:rsidP="005D5B06">
            <w:pPr>
              <w:pStyle w:val="TableHead"/>
              <w:rPr>
                <w:bCs/>
                <w:sz w:val="18"/>
                <w:szCs w:val="18"/>
              </w:rPr>
            </w:pPr>
            <w:r w:rsidRPr="008C62D4">
              <w:rPr>
                <w:sz w:val="18"/>
                <w:szCs w:val="18"/>
              </w:rPr>
              <w:t>IFNγ</w:t>
            </w:r>
            <w:r w:rsidRPr="008C62D4">
              <w:rPr>
                <w:sz w:val="18"/>
                <w:szCs w:val="18"/>
              </w:rPr>
              <w:br/>
              <w:t>(pg/mL)</w:t>
            </w:r>
          </w:p>
        </w:tc>
        <w:tc>
          <w:tcPr>
            <w:tcW w:w="462" w:type="pct"/>
            <w:tcBorders>
              <w:top w:val="single" w:sz="2" w:space="0" w:color="auto"/>
            </w:tcBorders>
            <w:shd w:val="clear" w:color="auto" w:fill="auto"/>
            <w:hideMark/>
          </w:tcPr>
          <w:p w14:paraId="7EBFA921" w14:textId="77777777" w:rsidR="00E466CD" w:rsidRPr="008C62D4" w:rsidRDefault="00E466CD" w:rsidP="005D5B06">
            <w:pPr>
              <w:pStyle w:val="TableHead"/>
              <w:rPr>
                <w:bCs/>
                <w:sz w:val="18"/>
                <w:szCs w:val="18"/>
              </w:rPr>
            </w:pPr>
            <w:r w:rsidRPr="008C62D4">
              <w:rPr>
                <w:sz w:val="18"/>
                <w:szCs w:val="18"/>
              </w:rPr>
              <w:t>IL-10</w:t>
            </w:r>
            <w:r w:rsidRPr="008C62D4">
              <w:rPr>
                <w:sz w:val="18"/>
                <w:szCs w:val="18"/>
              </w:rPr>
              <w:br/>
              <w:t>(pg/mL)</w:t>
            </w:r>
          </w:p>
        </w:tc>
        <w:tc>
          <w:tcPr>
            <w:tcW w:w="461" w:type="pct"/>
            <w:tcBorders>
              <w:top w:val="single" w:sz="2" w:space="0" w:color="auto"/>
            </w:tcBorders>
            <w:shd w:val="clear" w:color="auto" w:fill="auto"/>
            <w:hideMark/>
          </w:tcPr>
          <w:p w14:paraId="19C84330" w14:textId="77777777" w:rsidR="00E466CD" w:rsidRPr="008C62D4" w:rsidRDefault="00E466CD" w:rsidP="005D5B06">
            <w:pPr>
              <w:pStyle w:val="TableHead"/>
              <w:rPr>
                <w:bCs/>
                <w:sz w:val="18"/>
                <w:szCs w:val="18"/>
              </w:rPr>
            </w:pPr>
            <w:r w:rsidRPr="008C62D4">
              <w:rPr>
                <w:sz w:val="18"/>
                <w:szCs w:val="18"/>
              </w:rPr>
              <w:t>IL-12 p70</w:t>
            </w:r>
            <w:r w:rsidRPr="008C62D4">
              <w:rPr>
                <w:sz w:val="18"/>
                <w:szCs w:val="18"/>
              </w:rPr>
              <w:br/>
              <w:t>(pg/mL)</w:t>
            </w:r>
          </w:p>
        </w:tc>
        <w:tc>
          <w:tcPr>
            <w:tcW w:w="461" w:type="pct"/>
            <w:tcBorders>
              <w:top w:val="single" w:sz="2" w:space="0" w:color="auto"/>
            </w:tcBorders>
            <w:shd w:val="clear" w:color="auto" w:fill="auto"/>
            <w:hideMark/>
          </w:tcPr>
          <w:p w14:paraId="32C64701" w14:textId="77777777" w:rsidR="00E466CD" w:rsidRPr="008C62D4" w:rsidRDefault="00E466CD" w:rsidP="005D5B06">
            <w:pPr>
              <w:pStyle w:val="TableHead"/>
              <w:rPr>
                <w:bCs/>
                <w:sz w:val="18"/>
                <w:szCs w:val="18"/>
              </w:rPr>
            </w:pPr>
            <w:r w:rsidRPr="008C62D4">
              <w:rPr>
                <w:sz w:val="18"/>
                <w:szCs w:val="18"/>
              </w:rPr>
              <w:t>IL-1β</w:t>
            </w:r>
            <w:r w:rsidRPr="008C62D4">
              <w:rPr>
                <w:sz w:val="18"/>
                <w:szCs w:val="18"/>
              </w:rPr>
              <w:br/>
              <w:t>(pg/mL)</w:t>
            </w:r>
          </w:p>
        </w:tc>
        <w:tc>
          <w:tcPr>
            <w:tcW w:w="463" w:type="pct"/>
            <w:tcBorders>
              <w:top w:val="single" w:sz="2" w:space="0" w:color="auto"/>
            </w:tcBorders>
          </w:tcPr>
          <w:p w14:paraId="7B9EBE89" w14:textId="77777777" w:rsidR="00E466CD" w:rsidRPr="008C62D4" w:rsidRDefault="00E466CD" w:rsidP="005D5B06">
            <w:pPr>
              <w:pStyle w:val="TableHead"/>
              <w:rPr>
                <w:sz w:val="18"/>
                <w:szCs w:val="18"/>
              </w:rPr>
            </w:pPr>
            <w:r w:rsidRPr="008C62D4">
              <w:rPr>
                <w:sz w:val="18"/>
                <w:szCs w:val="18"/>
              </w:rPr>
              <w:t>IL-</w:t>
            </w:r>
            <w:r>
              <w:rPr>
                <w:sz w:val="18"/>
                <w:szCs w:val="18"/>
              </w:rPr>
              <w:t>2</w:t>
            </w:r>
            <w:r w:rsidRPr="008C62D4">
              <w:rPr>
                <w:sz w:val="18"/>
                <w:szCs w:val="18"/>
              </w:rPr>
              <w:br/>
              <w:t>(pg/mL)</w:t>
            </w:r>
          </w:p>
        </w:tc>
        <w:tc>
          <w:tcPr>
            <w:tcW w:w="463" w:type="pct"/>
            <w:tcBorders>
              <w:top w:val="single" w:sz="2" w:space="0" w:color="auto"/>
            </w:tcBorders>
            <w:shd w:val="clear" w:color="auto" w:fill="auto"/>
            <w:hideMark/>
          </w:tcPr>
          <w:p w14:paraId="1400916C" w14:textId="77777777" w:rsidR="00E466CD" w:rsidRPr="008C62D4" w:rsidRDefault="00E466CD" w:rsidP="005D5B06">
            <w:pPr>
              <w:pStyle w:val="TableHead"/>
              <w:rPr>
                <w:bCs/>
                <w:sz w:val="18"/>
                <w:szCs w:val="18"/>
              </w:rPr>
            </w:pPr>
            <w:r w:rsidRPr="008C62D4">
              <w:rPr>
                <w:sz w:val="18"/>
                <w:szCs w:val="18"/>
              </w:rPr>
              <w:t>IL-6</w:t>
            </w:r>
            <w:r w:rsidRPr="008C62D4">
              <w:rPr>
                <w:sz w:val="18"/>
                <w:szCs w:val="18"/>
              </w:rPr>
              <w:br/>
              <w:t>(pg/mL)</w:t>
            </w:r>
          </w:p>
        </w:tc>
        <w:tc>
          <w:tcPr>
            <w:tcW w:w="462" w:type="pct"/>
            <w:tcBorders>
              <w:top w:val="single" w:sz="2" w:space="0" w:color="auto"/>
            </w:tcBorders>
            <w:shd w:val="clear" w:color="auto" w:fill="auto"/>
            <w:hideMark/>
          </w:tcPr>
          <w:p w14:paraId="74D79540" w14:textId="77777777" w:rsidR="00E466CD" w:rsidRPr="008C62D4" w:rsidRDefault="00E466CD" w:rsidP="005D5B06">
            <w:pPr>
              <w:pStyle w:val="TableHead"/>
              <w:rPr>
                <w:bCs/>
                <w:sz w:val="18"/>
                <w:szCs w:val="18"/>
              </w:rPr>
            </w:pPr>
            <w:r w:rsidRPr="008C62D4">
              <w:rPr>
                <w:sz w:val="18"/>
                <w:szCs w:val="18"/>
              </w:rPr>
              <w:t>IL-8</w:t>
            </w:r>
            <w:r w:rsidRPr="008C62D4">
              <w:rPr>
                <w:sz w:val="18"/>
                <w:szCs w:val="18"/>
              </w:rPr>
              <w:br/>
              <w:t>(pg/mL)</w:t>
            </w:r>
          </w:p>
        </w:tc>
        <w:tc>
          <w:tcPr>
            <w:tcW w:w="470" w:type="pct"/>
            <w:tcBorders>
              <w:top w:val="single" w:sz="2" w:space="0" w:color="auto"/>
            </w:tcBorders>
            <w:shd w:val="clear" w:color="auto" w:fill="auto"/>
            <w:hideMark/>
          </w:tcPr>
          <w:p w14:paraId="0D85C139" w14:textId="77777777" w:rsidR="00E466CD" w:rsidRPr="008C62D4" w:rsidRDefault="00E466CD" w:rsidP="005D5B06">
            <w:pPr>
              <w:pStyle w:val="TableHead"/>
              <w:rPr>
                <w:bCs/>
                <w:sz w:val="18"/>
                <w:szCs w:val="18"/>
              </w:rPr>
            </w:pPr>
            <w:r w:rsidRPr="008C62D4">
              <w:rPr>
                <w:sz w:val="18"/>
                <w:szCs w:val="18"/>
              </w:rPr>
              <w:t>TNF-α</w:t>
            </w:r>
            <w:r w:rsidRPr="008C62D4">
              <w:rPr>
                <w:sz w:val="18"/>
                <w:szCs w:val="18"/>
              </w:rPr>
              <w:br/>
              <w:t>(pg/mL)</w:t>
            </w:r>
          </w:p>
        </w:tc>
      </w:tr>
      <w:tr w:rsidR="00E466CD" w:rsidRPr="006E7AA4" w14:paraId="00341133" w14:textId="77777777" w:rsidTr="005D5B06">
        <w:trPr>
          <w:trHeight w:val="202"/>
        </w:trPr>
        <w:tc>
          <w:tcPr>
            <w:tcW w:w="736" w:type="pct"/>
            <w:vMerge w:val="restart"/>
            <w:shd w:val="clear" w:color="auto" w:fill="auto"/>
            <w:hideMark/>
          </w:tcPr>
          <w:p w14:paraId="75BA6928" w14:textId="77777777" w:rsidR="00E466CD" w:rsidRPr="008C62D4" w:rsidRDefault="00E466CD" w:rsidP="005D5B06">
            <w:pPr>
              <w:pStyle w:val="TableLeft"/>
              <w:rPr>
                <w:rFonts w:cs="Times New Roman"/>
                <w:sz w:val="18"/>
                <w:szCs w:val="18"/>
              </w:rPr>
            </w:pPr>
            <w:r w:rsidRPr="008C62D4">
              <w:rPr>
                <w:rFonts w:cs="Times New Roman"/>
                <w:sz w:val="18"/>
                <w:szCs w:val="18"/>
              </w:rPr>
              <w:t xml:space="preserve">Blood </w:t>
            </w:r>
            <w:r>
              <w:rPr>
                <w:rFonts w:cs="Times New Roman"/>
                <w:sz w:val="18"/>
                <w:szCs w:val="18"/>
              </w:rPr>
              <w:t>a</w:t>
            </w:r>
            <w:r w:rsidRPr="008C62D4">
              <w:rPr>
                <w:rFonts w:cs="Times New Roman"/>
                <w:sz w:val="18"/>
                <w:szCs w:val="18"/>
              </w:rPr>
              <w:t>lone</w:t>
            </w:r>
          </w:p>
        </w:tc>
        <w:tc>
          <w:tcPr>
            <w:tcW w:w="562" w:type="pct"/>
            <w:shd w:val="clear" w:color="auto" w:fill="auto"/>
            <w:noWrap/>
            <w:hideMark/>
          </w:tcPr>
          <w:p w14:paraId="0B611D98" w14:textId="77777777" w:rsidR="00E466CD" w:rsidRPr="008C62D4" w:rsidRDefault="00E466CD" w:rsidP="005D5B06">
            <w:pPr>
              <w:pStyle w:val="TableLeft"/>
              <w:jc w:val="center"/>
              <w:rPr>
                <w:rFonts w:cs="Times New Roman"/>
                <w:sz w:val="18"/>
                <w:szCs w:val="18"/>
              </w:rPr>
            </w:pPr>
            <w:r w:rsidRPr="008C62D4">
              <w:rPr>
                <w:rFonts w:cs="Times New Roman"/>
                <w:sz w:val="18"/>
                <w:szCs w:val="18"/>
              </w:rPr>
              <w:t>0</w:t>
            </w:r>
          </w:p>
        </w:tc>
        <w:tc>
          <w:tcPr>
            <w:tcW w:w="461" w:type="pct"/>
            <w:shd w:val="clear" w:color="auto" w:fill="auto"/>
            <w:noWrap/>
            <w:vAlign w:val="bottom"/>
          </w:tcPr>
          <w:p w14:paraId="27B8FFA6" w14:textId="77777777" w:rsidR="00E466CD" w:rsidRPr="006E7AA4" w:rsidRDefault="00E466CD" w:rsidP="005D5B06">
            <w:pPr>
              <w:pStyle w:val="TableCenter"/>
              <w:rPr>
                <w:sz w:val="18"/>
                <w:szCs w:val="18"/>
              </w:rPr>
            </w:pPr>
            <w:r w:rsidRPr="006E7AA4">
              <w:rPr>
                <w:sz w:val="18"/>
                <w:szCs w:val="18"/>
              </w:rPr>
              <w:t>16.1</w:t>
            </w:r>
          </w:p>
        </w:tc>
        <w:tc>
          <w:tcPr>
            <w:tcW w:w="462" w:type="pct"/>
            <w:shd w:val="clear" w:color="auto" w:fill="auto"/>
            <w:noWrap/>
            <w:vAlign w:val="bottom"/>
          </w:tcPr>
          <w:p w14:paraId="7F345C51" w14:textId="77777777" w:rsidR="00E466CD" w:rsidRPr="006E7AA4" w:rsidRDefault="00E466CD" w:rsidP="005D5B06">
            <w:pPr>
              <w:pStyle w:val="TableCenter"/>
              <w:rPr>
                <w:sz w:val="18"/>
                <w:szCs w:val="18"/>
              </w:rPr>
            </w:pPr>
            <w:r w:rsidRPr="006E7AA4">
              <w:rPr>
                <w:sz w:val="18"/>
                <w:szCs w:val="18"/>
              </w:rPr>
              <w:t>0.4</w:t>
            </w:r>
          </w:p>
        </w:tc>
        <w:tc>
          <w:tcPr>
            <w:tcW w:w="461" w:type="pct"/>
            <w:shd w:val="clear" w:color="auto" w:fill="auto"/>
            <w:noWrap/>
            <w:vAlign w:val="bottom"/>
          </w:tcPr>
          <w:p w14:paraId="16C6878A"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594A7333" w14:textId="77777777" w:rsidR="00E466CD" w:rsidRPr="006E7AA4" w:rsidRDefault="00E466CD" w:rsidP="005D5B06">
            <w:pPr>
              <w:pStyle w:val="TableCenter"/>
              <w:rPr>
                <w:sz w:val="18"/>
                <w:szCs w:val="18"/>
              </w:rPr>
            </w:pPr>
            <w:r w:rsidRPr="006E7AA4">
              <w:rPr>
                <w:sz w:val="18"/>
                <w:szCs w:val="18"/>
              </w:rPr>
              <w:t>0.4</w:t>
            </w:r>
          </w:p>
        </w:tc>
        <w:tc>
          <w:tcPr>
            <w:tcW w:w="463" w:type="pct"/>
            <w:shd w:val="clear" w:color="auto" w:fill="auto"/>
            <w:vAlign w:val="bottom"/>
          </w:tcPr>
          <w:p w14:paraId="183262F7"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600B65BC" w14:textId="77777777" w:rsidR="00E466CD" w:rsidRPr="006E7AA4" w:rsidRDefault="00E466CD" w:rsidP="005D5B06">
            <w:pPr>
              <w:pStyle w:val="TableCenter"/>
              <w:rPr>
                <w:sz w:val="18"/>
                <w:szCs w:val="18"/>
              </w:rPr>
            </w:pPr>
            <w:r w:rsidRPr="006E7AA4">
              <w:rPr>
                <w:sz w:val="18"/>
                <w:szCs w:val="18"/>
              </w:rPr>
              <w:t>1.7</w:t>
            </w:r>
          </w:p>
        </w:tc>
        <w:tc>
          <w:tcPr>
            <w:tcW w:w="462" w:type="pct"/>
            <w:shd w:val="clear" w:color="auto" w:fill="auto"/>
            <w:noWrap/>
            <w:vAlign w:val="bottom"/>
          </w:tcPr>
          <w:p w14:paraId="304ACC7E" w14:textId="77777777" w:rsidR="00E466CD" w:rsidRPr="006E7AA4" w:rsidRDefault="00E466CD" w:rsidP="005D5B06">
            <w:pPr>
              <w:pStyle w:val="TableCenter"/>
              <w:rPr>
                <w:sz w:val="18"/>
                <w:szCs w:val="18"/>
              </w:rPr>
            </w:pPr>
            <w:r w:rsidRPr="006E7AA4">
              <w:rPr>
                <w:sz w:val="18"/>
                <w:szCs w:val="18"/>
              </w:rPr>
              <w:t>187.7</w:t>
            </w:r>
          </w:p>
        </w:tc>
        <w:tc>
          <w:tcPr>
            <w:tcW w:w="470" w:type="pct"/>
            <w:shd w:val="clear" w:color="auto" w:fill="auto"/>
            <w:noWrap/>
            <w:vAlign w:val="bottom"/>
          </w:tcPr>
          <w:p w14:paraId="4093C687" w14:textId="77777777" w:rsidR="00E466CD" w:rsidRPr="006E7AA4" w:rsidRDefault="00E466CD" w:rsidP="005D5B06">
            <w:pPr>
              <w:pStyle w:val="TableCenter"/>
              <w:rPr>
                <w:sz w:val="18"/>
                <w:szCs w:val="18"/>
              </w:rPr>
            </w:pPr>
            <w:r w:rsidRPr="006E7AA4">
              <w:rPr>
                <w:sz w:val="18"/>
                <w:szCs w:val="18"/>
              </w:rPr>
              <w:t>1.5</w:t>
            </w:r>
          </w:p>
        </w:tc>
      </w:tr>
      <w:tr w:rsidR="00E466CD" w:rsidRPr="006E7AA4" w14:paraId="3F27A8CC" w14:textId="77777777" w:rsidTr="005D5B06">
        <w:trPr>
          <w:trHeight w:val="202"/>
        </w:trPr>
        <w:tc>
          <w:tcPr>
            <w:tcW w:w="736" w:type="pct"/>
            <w:vMerge/>
            <w:shd w:val="clear" w:color="auto" w:fill="auto"/>
            <w:hideMark/>
          </w:tcPr>
          <w:p w14:paraId="68847112" w14:textId="77777777" w:rsidR="00E466CD" w:rsidRPr="008C62D4" w:rsidRDefault="00E466CD" w:rsidP="005D5B06">
            <w:pPr>
              <w:pStyle w:val="TableLeft"/>
              <w:rPr>
                <w:rFonts w:cs="Times New Roman"/>
                <w:sz w:val="18"/>
                <w:szCs w:val="18"/>
              </w:rPr>
            </w:pPr>
          </w:p>
        </w:tc>
        <w:tc>
          <w:tcPr>
            <w:tcW w:w="562" w:type="pct"/>
            <w:shd w:val="clear" w:color="auto" w:fill="auto"/>
            <w:noWrap/>
            <w:hideMark/>
          </w:tcPr>
          <w:p w14:paraId="3BF2AB70" w14:textId="77777777" w:rsidR="00E466CD" w:rsidRPr="008C62D4" w:rsidRDefault="00E466CD" w:rsidP="005D5B06">
            <w:pPr>
              <w:pStyle w:val="TableLeft"/>
              <w:jc w:val="center"/>
              <w:rPr>
                <w:rFonts w:cs="Times New Roman"/>
                <w:sz w:val="18"/>
                <w:szCs w:val="18"/>
              </w:rPr>
            </w:pPr>
            <w:r w:rsidRPr="008C62D4">
              <w:rPr>
                <w:rFonts w:cs="Times New Roman"/>
                <w:sz w:val="18"/>
                <w:szCs w:val="18"/>
              </w:rPr>
              <w:t>0</w:t>
            </w:r>
          </w:p>
        </w:tc>
        <w:tc>
          <w:tcPr>
            <w:tcW w:w="461" w:type="pct"/>
            <w:shd w:val="clear" w:color="auto" w:fill="auto"/>
            <w:noWrap/>
            <w:vAlign w:val="bottom"/>
          </w:tcPr>
          <w:p w14:paraId="67A7BF20" w14:textId="77777777" w:rsidR="00E466CD" w:rsidRPr="006E7AA4" w:rsidRDefault="00E466CD" w:rsidP="005D5B06">
            <w:pPr>
              <w:pStyle w:val="TableCenter"/>
              <w:rPr>
                <w:sz w:val="18"/>
                <w:szCs w:val="18"/>
              </w:rPr>
            </w:pPr>
            <w:r w:rsidRPr="006E7AA4">
              <w:rPr>
                <w:sz w:val="18"/>
                <w:szCs w:val="18"/>
              </w:rPr>
              <w:t>15.2</w:t>
            </w:r>
          </w:p>
        </w:tc>
        <w:tc>
          <w:tcPr>
            <w:tcW w:w="462" w:type="pct"/>
            <w:shd w:val="clear" w:color="auto" w:fill="auto"/>
            <w:noWrap/>
            <w:vAlign w:val="bottom"/>
          </w:tcPr>
          <w:p w14:paraId="295C2DDB" w14:textId="77777777" w:rsidR="00E466CD" w:rsidRPr="006E7AA4" w:rsidRDefault="00E466CD" w:rsidP="005D5B06">
            <w:pPr>
              <w:pStyle w:val="TableCenter"/>
              <w:rPr>
                <w:sz w:val="18"/>
                <w:szCs w:val="18"/>
              </w:rPr>
            </w:pPr>
            <w:r w:rsidRPr="006E7AA4">
              <w:rPr>
                <w:sz w:val="18"/>
                <w:szCs w:val="18"/>
              </w:rPr>
              <w:t>0.5</w:t>
            </w:r>
          </w:p>
        </w:tc>
        <w:tc>
          <w:tcPr>
            <w:tcW w:w="461" w:type="pct"/>
            <w:shd w:val="clear" w:color="auto" w:fill="auto"/>
            <w:noWrap/>
            <w:vAlign w:val="bottom"/>
          </w:tcPr>
          <w:p w14:paraId="5057EE5E" w14:textId="77777777" w:rsidR="00E466CD" w:rsidRPr="006E7AA4" w:rsidRDefault="00E466CD" w:rsidP="005D5B06">
            <w:pPr>
              <w:pStyle w:val="TableCenter"/>
              <w:rPr>
                <w:sz w:val="18"/>
                <w:szCs w:val="18"/>
              </w:rPr>
            </w:pPr>
            <w:r w:rsidRPr="006E7AA4">
              <w:rPr>
                <w:sz w:val="18"/>
                <w:szCs w:val="18"/>
              </w:rPr>
              <w:t>0.3</w:t>
            </w:r>
          </w:p>
        </w:tc>
        <w:tc>
          <w:tcPr>
            <w:tcW w:w="461" w:type="pct"/>
            <w:shd w:val="clear" w:color="auto" w:fill="auto"/>
            <w:noWrap/>
            <w:vAlign w:val="bottom"/>
          </w:tcPr>
          <w:p w14:paraId="586074BF" w14:textId="77777777" w:rsidR="00E466CD" w:rsidRPr="006E7AA4" w:rsidRDefault="00E466CD" w:rsidP="005D5B06">
            <w:pPr>
              <w:pStyle w:val="TableCenter"/>
              <w:rPr>
                <w:sz w:val="18"/>
                <w:szCs w:val="18"/>
              </w:rPr>
            </w:pPr>
            <w:r w:rsidRPr="006E7AA4">
              <w:rPr>
                <w:sz w:val="18"/>
                <w:szCs w:val="18"/>
              </w:rPr>
              <w:t>0.3</w:t>
            </w:r>
          </w:p>
        </w:tc>
        <w:tc>
          <w:tcPr>
            <w:tcW w:w="463" w:type="pct"/>
            <w:shd w:val="clear" w:color="auto" w:fill="auto"/>
            <w:vAlign w:val="bottom"/>
          </w:tcPr>
          <w:p w14:paraId="076BB31C"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49C2E5FB" w14:textId="77777777" w:rsidR="00E466CD" w:rsidRPr="006E7AA4" w:rsidRDefault="00E466CD" w:rsidP="005D5B06">
            <w:pPr>
              <w:pStyle w:val="TableCenter"/>
              <w:rPr>
                <w:sz w:val="18"/>
                <w:szCs w:val="18"/>
              </w:rPr>
            </w:pPr>
            <w:r w:rsidRPr="006E7AA4">
              <w:rPr>
                <w:sz w:val="18"/>
                <w:szCs w:val="18"/>
              </w:rPr>
              <w:t>2.0</w:t>
            </w:r>
          </w:p>
        </w:tc>
        <w:tc>
          <w:tcPr>
            <w:tcW w:w="462" w:type="pct"/>
            <w:shd w:val="clear" w:color="auto" w:fill="auto"/>
            <w:noWrap/>
            <w:vAlign w:val="bottom"/>
          </w:tcPr>
          <w:p w14:paraId="54FD997C" w14:textId="77777777" w:rsidR="00E466CD" w:rsidRPr="006E7AA4" w:rsidRDefault="00E466CD" w:rsidP="005D5B06">
            <w:pPr>
              <w:pStyle w:val="TableCenter"/>
              <w:rPr>
                <w:sz w:val="18"/>
                <w:szCs w:val="18"/>
              </w:rPr>
            </w:pPr>
            <w:r w:rsidRPr="006E7AA4">
              <w:rPr>
                <w:sz w:val="18"/>
                <w:szCs w:val="18"/>
              </w:rPr>
              <w:t>204.8</w:t>
            </w:r>
          </w:p>
        </w:tc>
        <w:tc>
          <w:tcPr>
            <w:tcW w:w="470" w:type="pct"/>
            <w:shd w:val="clear" w:color="auto" w:fill="auto"/>
            <w:noWrap/>
            <w:vAlign w:val="bottom"/>
          </w:tcPr>
          <w:p w14:paraId="1FF618F1" w14:textId="77777777" w:rsidR="00E466CD" w:rsidRPr="006E7AA4" w:rsidRDefault="00E466CD" w:rsidP="005D5B06">
            <w:pPr>
              <w:pStyle w:val="TableCenter"/>
              <w:rPr>
                <w:sz w:val="18"/>
                <w:szCs w:val="18"/>
              </w:rPr>
            </w:pPr>
            <w:r w:rsidRPr="006E7AA4">
              <w:rPr>
                <w:sz w:val="18"/>
                <w:szCs w:val="18"/>
              </w:rPr>
              <w:t>1.7</w:t>
            </w:r>
          </w:p>
        </w:tc>
      </w:tr>
      <w:tr w:rsidR="00E466CD" w:rsidRPr="006E7AA4" w14:paraId="0F004AAF" w14:textId="77777777" w:rsidTr="005D5B06">
        <w:trPr>
          <w:trHeight w:val="202"/>
        </w:trPr>
        <w:tc>
          <w:tcPr>
            <w:tcW w:w="736" w:type="pct"/>
            <w:shd w:val="clear" w:color="auto" w:fill="auto"/>
            <w:hideMark/>
          </w:tcPr>
          <w:p w14:paraId="6F836C61" w14:textId="77777777" w:rsidR="00E466CD" w:rsidRPr="008C62D4" w:rsidRDefault="00E466CD" w:rsidP="005D5B06">
            <w:pPr>
              <w:pStyle w:val="TableLeft"/>
              <w:rPr>
                <w:rFonts w:cs="Times New Roman"/>
                <w:sz w:val="18"/>
                <w:szCs w:val="18"/>
              </w:rPr>
            </w:pPr>
            <w:r>
              <w:rPr>
                <w:rFonts w:cs="Times New Roman"/>
                <w:sz w:val="18"/>
                <w:szCs w:val="18"/>
              </w:rPr>
              <w:t>D</w:t>
            </w:r>
            <w:r w:rsidRPr="008C62D4">
              <w:rPr>
                <w:rFonts w:cs="Times New Roman"/>
                <w:sz w:val="18"/>
                <w:szCs w:val="18"/>
              </w:rPr>
              <w:t>PBS</w:t>
            </w:r>
          </w:p>
        </w:tc>
        <w:tc>
          <w:tcPr>
            <w:tcW w:w="562" w:type="pct"/>
            <w:shd w:val="clear" w:color="auto" w:fill="auto"/>
            <w:noWrap/>
            <w:hideMark/>
          </w:tcPr>
          <w:p w14:paraId="1FE1B003" w14:textId="77777777" w:rsidR="00E466CD" w:rsidRPr="008C62D4" w:rsidRDefault="00E466CD" w:rsidP="005D5B06">
            <w:pPr>
              <w:pStyle w:val="TableLeft"/>
              <w:jc w:val="center"/>
              <w:rPr>
                <w:rFonts w:cs="Times New Roman"/>
                <w:sz w:val="18"/>
                <w:szCs w:val="18"/>
              </w:rPr>
            </w:pPr>
            <w:r w:rsidRPr="008C62D4">
              <w:rPr>
                <w:rFonts w:cs="Times New Roman"/>
                <w:sz w:val="18"/>
                <w:szCs w:val="18"/>
              </w:rPr>
              <w:t>0</w:t>
            </w:r>
          </w:p>
        </w:tc>
        <w:tc>
          <w:tcPr>
            <w:tcW w:w="461" w:type="pct"/>
            <w:shd w:val="clear" w:color="auto" w:fill="auto"/>
            <w:noWrap/>
            <w:vAlign w:val="bottom"/>
          </w:tcPr>
          <w:p w14:paraId="302A36C9" w14:textId="77777777" w:rsidR="00E466CD" w:rsidRPr="006E7AA4" w:rsidRDefault="00E466CD" w:rsidP="005D5B06">
            <w:pPr>
              <w:pStyle w:val="TableCenter"/>
              <w:rPr>
                <w:sz w:val="18"/>
                <w:szCs w:val="18"/>
              </w:rPr>
            </w:pPr>
            <w:r w:rsidRPr="006E7AA4">
              <w:rPr>
                <w:sz w:val="18"/>
                <w:szCs w:val="18"/>
              </w:rPr>
              <w:t>13.9</w:t>
            </w:r>
          </w:p>
        </w:tc>
        <w:tc>
          <w:tcPr>
            <w:tcW w:w="462" w:type="pct"/>
            <w:shd w:val="clear" w:color="auto" w:fill="auto"/>
            <w:noWrap/>
            <w:vAlign w:val="bottom"/>
          </w:tcPr>
          <w:p w14:paraId="5E8492BC" w14:textId="77777777" w:rsidR="00E466CD" w:rsidRPr="006E7AA4" w:rsidRDefault="00E466CD" w:rsidP="005D5B06">
            <w:pPr>
              <w:pStyle w:val="TableCenter"/>
              <w:rPr>
                <w:sz w:val="18"/>
                <w:szCs w:val="18"/>
              </w:rPr>
            </w:pPr>
            <w:r w:rsidRPr="006E7AA4">
              <w:rPr>
                <w:sz w:val="18"/>
                <w:szCs w:val="18"/>
              </w:rPr>
              <w:t>0.5</w:t>
            </w:r>
          </w:p>
        </w:tc>
        <w:tc>
          <w:tcPr>
            <w:tcW w:w="461" w:type="pct"/>
            <w:shd w:val="clear" w:color="auto" w:fill="auto"/>
            <w:noWrap/>
            <w:vAlign w:val="bottom"/>
          </w:tcPr>
          <w:p w14:paraId="1EFE2EB5" w14:textId="77777777" w:rsidR="00E466CD" w:rsidRPr="006E7AA4" w:rsidRDefault="00E466CD" w:rsidP="005D5B06">
            <w:pPr>
              <w:pStyle w:val="TableCenter"/>
              <w:rPr>
                <w:sz w:val="18"/>
                <w:szCs w:val="18"/>
              </w:rPr>
            </w:pPr>
            <w:r w:rsidRPr="006E7AA4">
              <w:rPr>
                <w:sz w:val="18"/>
                <w:szCs w:val="18"/>
              </w:rPr>
              <w:t>0.6</w:t>
            </w:r>
          </w:p>
        </w:tc>
        <w:tc>
          <w:tcPr>
            <w:tcW w:w="461" w:type="pct"/>
            <w:shd w:val="clear" w:color="auto" w:fill="auto"/>
            <w:noWrap/>
            <w:vAlign w:val="bottom"/>
          </w:tcPr>
          <w:p w14:paraId="1852ABA0" w14:textId="77777777" w:rsidR="00E466CD" w:rsidRPr="006E7AA4" w:rsidRDefault="00E466CD" w:rsidP="005D5B06">
            <w:pPr>
              <w:pStyle w:val="TableCenter"/>
              <w:rPr>
                <w:sz w:val="18"/>
                <w:szCs w:val="18"/>
              </w:rPr>
            </w:pPr>
            <w:r w:rsidRPr="006E7AA4">
              <w:rPr>
                <w:sz w:val="18"/>
                <w:szCs w:val="18"/>
              </w:rPr>
              <w:t>0.4</w:t>
            </w:r>
          </w:p>
        </w:tc>
        <w:tc>
          <w:tcPr>
            <w:tcW w:w="463" w:type="pct"/>
            <w:shd w:val="clear" w:color="auto" w:fill="auto"/>
            <w:vAlign w:val="bottom"/>
          </w:tcPr>
          <w:p w14:paraId="368ED2BF"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2037B704" w14:textId="77777777" w:rsidR="00E466CD" w:rsidRPr="006E7AA4" w:rsidRDefault="00E466CD" w:rsidP="005D5B06">
            <w:pPr>
              <w:pStyle w:val="TableCenter"/>
              <w:rPr>
                <w:sz w:val="18"/>
                <w:szCs w:val="18"/>
              </w:rPr>
            </w:pPr>
            <w:r w:rsidRPr="006E7AA4">
              <w:rPr>
                <w:sz w:val="18"/>
                <w:szCs w:val="18"/>
              </w:rPr>
              <w:t>1.7</w:t>
            </w:r>
          </w:p>
        </w:tc>
        <w:tc>
          <w:tcPr>
            <w:tcW w:w="462" w:type="pct"/>
            <w:shd w:val="clear" w:color="auto" w:fill="auto"/>
            <w:noWrap/>
            <w:vAlign w:val="bottom"/>
          </w:tcPr>
          <w:p w14:paraId="1474CED3" w14:textId="77777777" w:rsidR="00E466CD" w:rsidRPr="006E7AA4" w:rsidRDefault="00E466CD" w:rsidP="005D5B06">
            <w:pPr>
              <w:pStyle w:val="TableCenter"/>
              <w:rPr>
                <w:sz w:val="18"/>
                <w:szCs w:val="18"/>
              </w:rPr>
            </w:pPr>
            <w:r w:rsidRPr="006E7AA4">
              <w:rPr>
                <w:sz w:val="18"/>
                <w:szCs w:val="18"/>
              </w:rPr>
              <w:t>181.4</w:t>
            </w:r>
          </w:p>
        </w:tc>
        <w:tc>
          <w:tcPr>
            <w:tcW w:w="470" w:type="pct"/>
            <w:shd w:val="clear" w:color="auto" w:fill="auto"/>
            <w:noWrap/>
            <w:vAlign w:val="bottom"/>
          </w:tcPr>
          <w:p w14:paraId="602F3B3C" w14:textId="77777777" w:rsidR="00E466CD" w:rsidRPr="006E7AA4" w:rsidRDefault="00E466CD" w:rsidP="005D5B06">
            <w:pPr>
              <w:pStyle w:val="TableCenter"/>
              <w:rPr>
                <w:sz w:val="18"/>
                <w:szCs w:val="18"/>
              </w:rPr>
            </w:pPr>
            <w:r w:rsidRPr="006E7AA4">
              <w:rPr>
                <w:sz w:val="18"/>
                <w:szCs w:val="18"/>
              </w:rPr>
              <w:t>1.8</w:t>
            </w:r>
          </w:p>
        </w:tc>
      </w:tr>
      <w:tr w:rsidR="00E466CD" w:rsidRPr="006E7AA4" w14:paraId="55D15CC7" w14:textId="77777777" w:rsidTr="005D5B06">
        <w:trPr>
          <w:trHeight w:val="202"/>
        </w:trPr>
        <w:tc>
          <w:tcPr>
            <w:tcW w:w="736" w:type="pct"/>
            <w:vMerge w:val="restart"/>
            <w:shd w:val="clear" w:color="auto" w:fill="auto"/>
            <w:hideMark/>
          </w:tcPr>
          <w:p w14:paraId="193DE5E8" w14:textId="77777777" w:rsidR="00E466CD" w:rsidRPr="008C62D4" w:rsidRDefault="00E466CD" w:rsidP="005D5B06">
            <w:pPr>
              <w:pStyle w:val="TableLeft"/>
              <w:rPr>
                <w:rFonts w:cs="Times New Roman"/>
                <w:sz w:val="18"/>
                <w:szCs w:val="18"/>
              </w:rPr>
            </w:pPr>
            <w:r>
              <w:rPr>
                <w:rFonts w:cs="Times New Roman"/>
                <w:sz w:val="18"/>
                <w:szCs w:val="18"/>
              </w:rPr>
              <w:t>Pembrolizumab</w:t>
            </w:r>
          </w:p>
        </w:tc>
        <w:tc>
          <w:tcPr>
            <w:tcW w:w="562" w:type="pct"/>
            <w:shd w:val="clear" w:color="auto" w:fill="auto"/>
            <w:noWrap/>
            <w:hideMark/>
          </w:tcPr>
          <w:p w14:paraId="76A9AFF2" w14:textId="77777777" w:rsidR="00E466CD" w:rsidRPr="008C62D4" w:rsidRDefault="00E466CD" w:rsidP="005D5B06">
            <w:pPr>
              <w:pStyle w:val="TableLeft"/>
              <w:jc w:val="center"/>
              <w:rPr>
                <w:rFonts w:cs="Times New Roman"/>
                <w:sz w:val="18"/>
                <w:szCs w:val="18"/>
              </w:rPr>
            </w:pPr>
            <w:r w:rsidRPr="008C62D4">
              <w:rPr>
                <w:rFonts w:cs="Times New Roman"/>
                <w:sz w:val="18"/>
                <w:szCs w:val="18"/>
              </w:rPr>
              <w:t>0.1</w:t>
            </w:r>
          </w:p>
        </w:tc>
        <w:tc>
          <w:tcPr>
            <w:tcW w:w="461" w:type="pct"/>
            <w:shd w:val="clear" w:color="auto" w:fill="auto"/>
            <w:noWrap/>
            <w:vAlign w:val="bottom"/>
          </w:tcPr>
          <w:p w14:paraId="66CFDFBB" w14:textId="77777777" w:rsidR="00E466CD" w:rsidRPr="006E7AA4" w:rsidRDefault="00E466CD" w:rsidP="005D5B06">
            <w:pPr>
              <w:pStyle w:val="TableCenter"/>
              <w:rPr>
                <w:sz w:val="18"/>
                <w:szCs w:val="18"/>
              </w:rPr>
            </w:pPr>
            <w:r w:rsidRPr="006E7AA4">
              <w:rPr>
                <w:sz w:val="18"/>
                <w:szCs w:val="18"/>
              </w:rPr>
              <w:t>16.1</w:t>
            </w:r>
          </w:p>
        </w:tc>
        <w:tc>
          <w:tcPr>
            <w:tcW w:w="462" w:type="pct"/>
            <w:shd w:val="clear" w:color="auto" w:fill="auto"/>
            <w:noWrap/>
            <w:vAlign w:val="bottom"/>
          </w:tcPr>
          <w:p w14:paraId="4FC6FCD9" w14:textId="77777777" w:rsidR="00E466CD" w:rsidRPr="006E7AA4" w:rsidRDefault="00E466CD" w:rsidP="005D5B06">
            <w:pPr>
              <w:pStyle w:val="TableCenter"/>
              <w:rPr>
                <w:sz w:val="18"/>
                <w:szCs w:val="18"/>
              </w:rPr>
            </w:pPr>
            <w:r w:rsidRPr="006E7AA4">
              <w:rPr>
                <w:sz w:val="18"/>
                <w:szCs w:val="18"/>
              </w:rPr>
              <w:t>0.4</w:t>
            </w:r>
          </w:p>
        </w:tc>
        <w:tc>
          <w:tcPr>
            <w:tcW w:w="461" w:type="pct"/>
            <w:shd w:val="clear" w:color="auto" w:fill="auto"/>
            <w:noWrap/>
            <w:vAlign w:val="bottom"/>
          </w:tcPr>
          <w:p w14:paraId="1FDEEA99"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45DABA49" w14:textId="77777777" w:rsidR="00E466CD" w:rsidRPr="006E7AA4" w:rsidRDefault="00E466CD" w:rsidP="005D5B06">
            <w:pPr>
              <w:pStyle w:val="TableCenter"/>
              <w:rPr>
                <w:sz w:val="18"/>
                <w:szCs w:val="18"/>
              </w:rPr>
            </w:pPr>
            <w:r w:rsidRPr="006E7AA4">
              <w:rPr>
                <w:sz w:val="18"/>
                <w:szCs w:val="18"/>
              </w:rPr>
              <w:t>0.4</w:t>
            </w:r>
          </w:p>
        </w:tc>
        <w:tc>
          <w:tcPr>
            <w:tcW w:w="463" w:type="pct"/>
            <w:shd w:val="clear" w:color="auto" w:fill="auto"/>
            <w:vAlign w:val="bottom"/>
          </w:tcPr>
          <w:p w14:paraId="73296007"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1555E0C2" w14:textId="77777777" w:rsidR="00E466CD" w:rsidRPr="006E7AA4" w:rsidRDefault="00E466CD" w:rsidP="005D5B06">
            <w:pPr>
              <w:pStyle w:val="TableCenter"/>
              <w:rPr>
                <w:sz w:val="18"/>
                <w:szCs w:val="18"/>
              </w:rPr>
            </w:pPr>
            <w:r w:rsidRPr="006E7AA4">
              <w:rPr>
                <w:sz w:val="18"/>
                <w:szCs w:val="18"/>
              </w:rPr>
              <w:t>1.9</w:t>
            </w:r>
          </w:p>
        </w:tc>
        <w:tc>
          <w:tcPr>
            <w:tcW w:w="462" w:type="pct"/>
            <w:shd w:val="clear" w:color="auto" w:fill="auto"/>
            <w:noWrap/>
            <w:vAlign w:val="bottom"/>
          </w:tcPr>
          <w:p w14:paraId="1A9C41D4" w14:textId="77777777" w:rsidR="00E466CD" w:rsidRPr="006E7AA4" w:rsidRDefault="00E466CD" w:rsidP="005D5B06">
            <w:pPr>
              <w:pStyle w:val="TableCenter"/>
              <w:rPr>
                <w:sz w:val="18"/>
                <w:szCs w:val="18"/>
              </w:rPr>
            </w:pPr>
            <w:r w:rsidRPr="006E7AA4">
              <w:rPr>
                <w:sz w:val="18"/>
                <w:szCs w:val="18"/>
              </w:rPr>
              <w:t>321.0</w:t>
            </w:r>
          </w:p>
        </w:tc>
        <w:tc>
          <w:tcPr>
            <w:tcW w:w="470" w:type="pct"/>
            <w:shd w:val="clear" w:color="auto" w:fill="auto"/>
            <w:noWrap/>
            <w:vAlign w:val="bottom"/>
          </w:tcPr>
          <w:p w14:paraId="77962333" w14:textId="77777777" w:rsidR="00E466CD" w:rsidRPr="006E7AA4" w:rsidRDefault="00E466CD" w:rsidP="005D5B06">
            <w:pPr>
              <w:pStyle w:val="TableCenter"/>
              <w:rPr>
                <w:sz w:val="18"/>
                <w:szCs w:val="18"/>
              </w:rPr>
            </w:pPr>
            <w:r w:rsidRPr="006E7AA4">
              <w:rPr>
                <w:sz w:val="18"/>
                <w:szCs w:val="18"/>
              </w:rPr>
              <w:t>1.8</w:t>
            </w:r>
          </w:p>
        </w:tc>
      </w:tr>
      <w:tr w:rsidR="00E466CD" w:rsidRPr="006E7AA4" w14:paraId="602791D3" w14:textId="77777777" w:rsidTr="005D5B06">
        <w:trPr>
          <w:trHeight w:val="202"/>
        </w:trPr>
        <w:tc>
          <w:tcPr>
            <w:tcW w:w="736" w:type="pct"/>
            <w:vMerge/>
            <w:shd w:val="clear" w:color="auto" w:fill="auto"/>
            <w:hideMark/>
          </w:tcPr>
          <w:p w14:paraId="5BE124DE" w14:textId="77777777" w:rsidR="00E466CD" w:rsidRPr="008C62D4" w:rsidRDefault="00E466CD" w:rsidP="005D5B06">
            <w:pPr>
              <w:pStyle w:val="TableCenter"/>
            </w:pPr>
          </w:p>
        </w:tc>
        <w:tc>
          <w:tcPr>
            <w:tcW w:w="562" w:type="pct"/>
            <w:shd w:val="clear" w:color="auto" w:fill="auto"/>
            <w:noWrap/>
            <w:hideMark/>
          </w:tcPr>
          <w:p w14:paraId="67504C09"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w:t>
            </w:r>
          </w:p>
        </w:tc>
        <w:tc>
          <w:tcPr>
            <w:tcW w:w="461" w:type="pct"/>
            <w:shd w:val="clear" w:color="auto" w:fill="auto"/>
            <w:noWrap/>
            <w:vAlign w:val="bottom"/>
          </w:tcPr>
          <w:p w14:paraId="0E81EAFC" w14:textId="77777777" w:rsidR="00E466CD" w:rsidRPr="006E7AA4" w:rsidRDefault="00E466CD" w:rsidP="005D5B06">
            <w:pPr>
              <w:pStyle w:val="TableCenter"/>
              <w:rPr>
                <w:sz w:val="18"/>
                <w:szCs w:val="18"/>
              </w:rPr>
            </w:pPr>
            <w:r w:rsidRPr="006E7AA4">
              <w:rPr>
                <w:sz w:val="18"/>
                <w:szCs w:val="18"/>
              </w:rPr>
              <w:t>13.8</w:t>
            </w:r>
          </w:p>
        </w:tc>
        <w:tc>
          <w:tcPr>
            <w:tcW w:w="462" w:type="pct"/>
            <w:shd w:val="clear" w:color="auto" w:fill="auto"/>
            <w:noWrap/>
            <w:vAlign w:val="bottom"/>
          </w:tcPr>
          <w:p w14:paraId="292086BC" w14:textId="77777777" w:rsidR="00E466CD" w:rsidRPr="006E7AA4" w:rsidRDefault="00E466CD" w:rsidP="005D5B06">
            <w:pPr>
              <w:pStyle w:val="TableCenter"/>
              <w:rPr>
                <w:sz w:val="18"/>
                <w:szCs w:val="18"/>
              </w:rPr>
            </w:pPr>
            <w:r w:rsidRPr="006E7AA4">
              <w:rPr>
                <w:sz w:val="18"/>
                <w:szCs w:val="18"/>
              </w:rPr>
              <w:t>0.5</w:t>
            </w:r>
          </w:p>
        </w:tc>
        <w:tc>
          <w:tcPr>
            <w:tcW w:w="461" w:type="pct"/>
            <w:shd w:val="clear" w:color="auto" w:fill="auto"/>
            <w:noWrap/>
            <w:vAlign w:val="bottom"/>
          </w:tcPr>
          <w:p w14:paraId="5FDDB52F"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577CB293" w14:textId="77777777" w:rsidR="00E466CD" w:rsidRPr="006E7AA4" w:rsidRDefault="00E466CD" w:rsidP="005D5B06">
            <w:pPr>
              <w:pStyle w:val="TableCenter"/>
              <w:rPr>
                <w:sz w:val="18"/>
                <w:szCs w:val="18"/>
              </w:rPr>
            </w:pPr>
            <w:r w:rsidRPr="006E7AA4">
              <w:rPr>
                <w:sz w:val="18"/>
                <w:szCs w:val="18"/>
              </w:rPr>
              <w:t>0.3</w:t>
            </w:r>
          </w:p>
        </w:tc>
        <w:tc>
          <w:tcPr>
            <w:tcW w:w="463" w:type="pct"/>
            <w:shd w:val="clear" w:color="auto" w:fill="auto"/>
            <w:vAlign w:val="bottom"/>
          </w:tcPr>
          <w:p w14:paraId="65DB9DD2"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35427B20" w14:textId="77777777" w:rsidR="00E466CD" w:rsidRPr="006E7AA4" w:rsidRDefault="00E466CD" w:rsidP="005D5B06">
            <w:pPr>
              <w:pStyle w:val="TableCenter"/>
              <w:rPr>
                <w:sz w:val="18"/>
                <w:szCs w:val="18"/>
              </w:rPr>
            </w:pPr>
            <w:r w:rsidRPr="006E7AA4">
              <w:rPr>
                <w:sz w:val="18"/>
                <w:szCs w:val="18"/>
              </w:rPr>
              <w:t>1.8</w:t>
            </w:r>
          </w:p>
        </w:tc>
        <w:tc>
          <w:tcPr>
            <w:tcW w:w="462" w:type="pct"/>
            <w:shd w:val="clear" w:color="auto" w:fill="auto"/>
            <w:noWrap/>
            <w:vAlign w:val="bottom"/>
          </w:tcPr>
          <w:p w14:paraId="527A3B70" w14:textId="77777777" w:rsidR="00E466CD" w:rsidRPr="006E7AA4" w:rsidRDefault="00E466CD" w:rsidP="005D5B06">
            <w:pPr>
              <w:pStyle w:val="TableCenter"/>
              <w:rPr>
                <w:sz w:val="18"/>
                <w:szCs w:val="18"/>
              </w:rPr>
            </w:pPr>
            <w:r w:rsidRPr="006E7AA4">
              <w:rPr>
                <w:sz w:val="18"/>
                <w:szCs w:val="18"/>
              </w:rPr>
              <w:t>271.8</w:t>
            </w:r>
          </w:p>
        </w:tc>
        <w:tc>
          <w:tcPr>
            <w:tcW w:w="470" w:type="pct"/>
            <w:shd w:val="clear" w:color="auto" w:fill="auto"/>
            <w:noWrap/>
            <w:vAlign w:val="bottom"/>
          </w:tcPr>
          <w:p w14:paraId="36471619" w14:textId="77777777" w:rsidR="00E466CD" w:rsidRPr="006E7AA4" w:rsidRDefault="00E466CD" w:rsidP="005D5B06">
            <w:pPr>
              <w:pStyle w:val="TableCenter"/>
              <w:rPr>
                <w:sz w:val="18"/>
                <w:szCs w:val="18"/>
              </w:rPr>
            </w:pPr>
            <w:r w:rsidRPr="006E7AA4">
              <w:rPr>
                <w:sz w:val="18"/>
                <w:szCs w:val="18"/>
              </w:rPr>
              <w:t>1.7</w:t>
            </w:r>
          </w:p>
        </w:tc>
      </w:tr>
      <w:tr w:rsidR="00E466CD" w:rsidRPr="006E7AA4" w14:paraId="114B1729" w14:textId="77777777" w:rsidTr="005D5B06">
        <w:trPr>
          <w:trHeight w:val="202"/>
        </w:trPr>
        <w:tc>
          <w:tcPr>
            <w:tcW w:w="736" w:type="pct"/>
            <w:vMerge/>
            <w:shd w:val="clear" w:color="auto" w:fill="auto"/>
            <w:hideMark/>
          </w:tcPr>
          <w:p w14:paraId="69123633" w14:textId="77777777" w:rsidR="00E466CD" w:rsidRPr="008C62D4" w:rsidRDefault="00E466CD" w:rsidP="005D5B06">
            <w:pPr>
              <w:pStyle w:val="TableCenter"/>
            </w:pPr>
          </w:p>
        </w:tc>
        <w:tc>
          <w:tcPr>
            <w:tcW w:w="562" w:type="pct"/>
            <w:shd w:val="clear" w:color="auto" w:fill="auto"/>
            <w:noWrap/>
            <w:hideMark/>
          </w:tcPr>
          <w:p w14:paraId="7AB6279A"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w:t>
            </w:r>
          </w:p>
        </w:tc>
        <w:tc>
          <w:tcPr>
            <w:tcW w:w="461" w:type="pct"/>
            <w:shd w:val="clear" w:color="auto" w:fill="auto"/>
            <w:noWrap/>
            <w:vAlign w:val="bottom"/>
          </w:tcPr>
          <w:p w14:paraId="391A406C" w14:textId="77777777" w:rsidR="00E466CD" w:rsidRPr="006E7AA4" w:rsidRDefault="00E466CD" w:rsidP="005D5B06">
            <w:pPr>
              <w:pStyle w:val="TableCenter"/>
              <w:rPr>
                <w:sz w:val="18"/>
                <w:szCs w:val="18"/>
              </w:rPr>
            </w:pPr>
            <w:r w:rsidRPr="006E7AA4">
              <w:rPr>
                <w:sz w:val="18"/>
                <w:szCs w:val="18"/>
              </w:rPr>
              <w:t>14.0</w:t>
            </w:r>
          </w:p>
        </w:tc>
        <w:tc>
          <w:tcPr>
            <w:tcW w:w="462" w:type="pct"/>
            <w:shd w:val="clear" w:color="auto" w:fill="auto"/>
            <w:noWrap/>
            <w:vAlign w:val="bottom"/>
          </w:tcPr>
          <w:p w14:paraId="3F264447" w14:textId="77777777" w:rsidR="00E466CD" w:rsidRPr="006E7AA4" w:rsidRDefault="00E466CD" w:rsidP="005D5B06">
            <w:pPr>
              <w:pStyle w:val="TableCenter"/>
              <w:rPr>
                <w:sz w:val="18"/>
                <w:szCs w:val="18"/>
              </w:rPr>
            </w:pPr>
            <w:r w:rsidRPr="006E7AA4">
              <w:rPr>
                <w:sz w:val="18"/>
                <w:szCs w:val="18"/>
              </w:rPr>
              <w:t>0.5</w:t>
            </w:r>
          </w:p>
        </w:tc>
        <w:tc>
          <w:tcPr>
            <w:tcW w:w="461" w:type="pct"/>
            <w:shd w:val="clear" w:color="auto" w:fill="auto"/>
            <w:noWrap/>
            <w:vAlign w:val="bottom"/>
          </w:tcPr>
          <w:p w14:paraId="3A1637DA"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01697ACB" w14:textId="77777777" w:rsidR="00E466CD" w:rsidRPr="006E7AA4" w:rsidRDefault="00E466CD" w:rsidP="005D5B06">
            <w:pPr>
              <w:pStyle w:val="TableCenter"/>
              <w:rPr>
                <w:sz w:val="18"/>
                <w:szCs w:val="18"/>
              </w:rPr>
            </w:pPr>
            <w:r w:rsidRPr="006E7AA4">
              <w:rPr>
                <w:sz w:val="18"/>
                <w:szCs w:val="18"/>
              </w:rPr>
              <w:t>0.4</w:t>
            </w:r>
          </w:p>
        </w:tc>
        <w:tc>
          <w:tcPr>
            <w:tcW w:w="463" w:type="pct"/>
            <w:shd w:val="clear" w:color="auto" w:fill="auto"/>
            <w:vAlign w:val="bottom"/>
          </w:tcPr>
          <w:p w14:paraId="469873FE"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61A6C498" w14:textId="77777777" w:rsidR="00E466CD" w:rsidRPr="006E7AA4" w:rsidRDefault="00E466CD" w:rsidP="005D5B06">
            <w:pPr>
              <w:pStyle w:val="TableCenter"/>
              <w:rPr>
                <w:sz w:val="18"/>
                <w:szCs w:val="18"/>
              </w:rPr>
            </w:pPr>
            <w:r w:rsidRPr="006E7AA4">
              <w:rPr>
                <w:sz w:val="18"/>
                <w:szCs w:val="18"/>
              </w:rPr>
              <w:t>2.0</w:t>
            </w:r>
          </w:p>
        </w:tc>
        <w:tc>
          <w:tcPr>
            <w:tcW w:w="462" w:type="pct"/>
            <w:shd w:val="clear" w:color="auto" w:fill="auto"/>
            <w:noWrap/>
            <w:vAlign w:val="bottom"/>
          </w:tcPr>
          <w:p w14:paraId="55D0E10C" w14:textId="77777777" w:rsidR="00E466CD" w:rsidRPr="006E7AA4" w:rsidRDefault="00E466CD" w:rsidP="005D5B06">
            <w:pPr>
              <w:pStyle w:val="TableCenter"/>
              <w:rPr>
                <w:sz w:val="18"/>
                <w:szCs w:val="18"/>
              </w:rPr>
            </w:pPr>
            <w:r w:rsidRPr="006E7AA4">
              <w:rPr>
                <w:sz w:val="18"/>
                <w:szCs w:val="18"/>
              </w:rPr>
              <w:t>265.1</w:t>
            </w:r>
          </w:p>
        </w:tc>
        <w:tc>
          <w:tcPr>
            <w:tcW w:w="470" w:type="pct"/>
            <w:shd w:val="clear" w:color="auto" w:fill="auto"/>
            <w:noWrap/>
            <w:vAlign w:val="bottom"/>
          </w:tcPr>
          <w:p w14:paraId="49565D6E" w14:textId="77777777" w:rsidR="00E466CD" w:rsidRPr="006E7AA4" w:rsidRDefault="00E466CD" w:rsidP="005D5B06">
            <w:pPr>
              <w:pStyle w:val="TableCenter"/>
              <w:rPr>
                <w:sz w:val="18"/>
                <w:szCs w:val="18"/>
              </w:rPr>
            </w:pPr>
            <w:r w:rsidRPr="006E7AA4">
              <w:rPr>
                <w:sz w:val="18"/>
                <w:szCs w:val="18"/>
              </w:rPr>
              <w:t>1.9</w:t>
            </w:r>
          </w:p>
        </w:tc>
      </w:tr>
      <w:tr w:rsidR="00E466CD" w:rsidRPr="006E7AA4" w14:paraId="0F142178" w14:textId="77777777" w:rsidTr="005D5B06">
        <w:trPr>
          <w:trHeight w:val="202"/>
        </w:trPr>
        <w:tc>
          <w:tcPr>
            <w:tcW w:w="736" w:type="pct"/>
            <w:vMerge/>
            <w:shd w:val="clear" w:color="auto" w:fill="auto"/>
            <w:hideMark/>
          </w:tcPr>
          <w:p w14:paraId="08C43D57" w14:textId="77777777" w:rsidR="00E466CD" w:rsidRPr="008C62D4" w:rsidRDefault="00E466CD" w:rsidP="005D5B06">
            <w:pPr>
              <w:pStyle w:val="TableCenter"/>
            </w:pPr>
          </w:p>
        </w:tc>
        <w:tc>
          <w:tcPr>
            <w:tcW w:w="562" w:type="pct"/>
            <w:shd w:val="clear" w:color="auto" w:fill="auto"/>
            <w:noWrap/>
            <w:hideMark/>
          </w:tcPr>
          <w:p w14:paraId="6B71E3FB"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100</w:t>
            </w:r>
          </w:p>
        </w:tc>
        <w:tc>
          <w:tcPr>
            <w:tcW w:w="461" w:type="pct"/>
            <w:shd w:val="clear" w:color="auto" w:fill="auto"/>
            <w:noWrap/>
            <w:vAlign w:val="bottom"/>
          </w:tcPr>
          <w:p w14:paraId="0B4408ED" w14:textId="77777777" w:rsidR="00E466CD" w:rsidRPr="006E7AA4" w:rsidRDefault="00E466CD" w:rsidP="005D5B06">
            <w:pPr>
              <w:pStyle w:val="TableCenter"/>
              <w:rPr>
                <w:sz w:val="18"/>
                <w:szCs w:val="18"/>
              </w:rPr>
            </w:pPr>
            <w:r w:rsidRPr="006E7AA4">
              <w:rPr>
                <w:sz w:val="18"/>
                <w:szCs w:val="18"/>
              </w:rPr>
              <w:t>12.0</w:t>
            </w:r>
          </w:p>
        </w:tc>
        <w:tc>
          <w:tcPr>
            <w:tcW w:w="462" w:type="pct"/>
            <w:shd w:val="clear" w:color="auto" w:fill="auto"/>
            <w:noWrap/>
            <w:vAlign w:val="bottom"/>
          </w:tcPr>
          <w:p w14:paraId="4C171F93" w14:textId="77777777" w:rsidR="00E466CD" w:rsidRPr="006E7AA4" w:rsidRDefault="00E466CD" w:rsidP="005D5B06">
            <w:pPr>
              <w:pStyle w:val="TableCenter"/>
              <w:rPr>
                <w:sz w:val="18"/>
                <w:szCs w:val="18"/>
              </w:rPr>
            </w:pPr>
            <w:r w:rsidRPr="006E7AA4">
              <w:rPr>
                <w:sz w:val="18"/>
                <w:szCs w:val="18"/>
              </w:rPr>
              <w:t>0.4</w:t>
            </w:r>
          </w:p>
        </w:tc>
        <w:tc>
          <w:tcPr>
            <w:tcW w:w="461" w:type="pct"/>
            <w:shd w:val="clear" w:color="auto" w:fill="auto"/>
            <w:noWrap/>
            <w:vAlign w:val="bottom"/>
          </w:tcPr>
          <w:p w14:paraId="2E231C13" w14:textId="77777777" w:rsidR="00E466CD" w:rsidRPr="006E7AA4" w:rsidRDefault="00E466CD" w:rsidP="005D5B06">
            <w:pPr>
              <w:pStyle w:val="TableCenter"/>
              <w:rPr>
                <w:sz w:val="18"/>
                <w:szCs w:val="18"/>
              </w:rPr>
            </w:pPr>
            <w:r w:rsidRPr="006E7AA4">
              <w:rPr>
                <w:sz w:val="18"/>
                <w:szCs w:val="18"/>
              </w:rPr>
              <w:t>0.4</w:t>
            </w:r>
          </w:p>
        </w:tc>
        <w:tc>
          <w:tcPr>
            <w:tcW w:w="461" w:type="pct"/>
            <w:shd w:val="clear" w:color="auto" w:fill="auto"/>
            <w:noWrap/>
            <w:vAlign w:val="bottom"/>
          </w:tcPr>
          <w:p w14:paraId="13F8DE4B" w14:textId="77777777" w:rsidR="00E466CD" w:rsidRPr="006E7AA4" w:rsidRDefault="00E466CD" w:rsidP="005D5B06">
            <w:pPr>
              <w:pStyle w:val="TableCenter"/>
              <w:rPr>
                <w:sz w:val="18"/>
                <w:szCs w:val="18"/>
              </w:rPr>
            </w:pPr>
            <w:r w:rsidRPr="006E7AA4">
              <w:rPr>
                <w:sz w:val="18"/>
                <w:szCs w:val="18"/>
              </w:rPr>
              <w:t>0.5</w:t>
            </w:r>
          </w:p>
        </w:tc>
        <w:tc>
          <w:tcPr>
            <w:tcW w:w="463" w:type="pct"/>
            <w:shd w:val="clear" w:color="auto" w:fill="auto"/>
            <w:vAlign w:val="bottom"/>
          </w:tcPr>
          <w:p w14:paraId="4D74B179"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10C93AB6" w14:textId="77777777" w:rsidR="00E466CD" w:rsidRPr="006E7AA4" w:rsidRDefault="00E466CD" w:rsidP="005D5B06">
            <w:pPr>
              <w:pStyle w:val="TableCenter"/>
              <w:rPr>
                <w:sz w:val="18"/>
                <w:szCs w:val="18"/>
              </w:rPr>
            </w:pPr>
            <w:r w:rsidRPr="006E7AA4">
              <w:rPr>
                <w:sz w:val="18"/>
                <w:szCs w:val="18"/>
              </w:rPr>
              <w:t>2.1</w:t>
            </w:r>
          </w:p>
        </w:tc>
        <w:tc>
          <w:tcPr>
            <w:tcW w:w="462" w:type="pct"/>
            <w:shd w:val="clear" w:color="auto" w:fill="auto"/>
            <w:noWrap/>
            <w:vAlign w:val="bottom"/>
          </w:tcPr>
          <w:p w14:paraId="12DE2419" w14:textId="77777777" w:rsidR="00E466CD" w:rsidRPr="006E7AA4" w:rsidRDefault="00E466CD" w:rsidP="005D5B06">
            <w:pPr>
              <w:pStyle w:val="TableCenter"/>
              <w:rPr>
                <w:sz w:val="18"/>
                <w:szCs w:val="18"/>
              </w:rPr>
            </w:pPr>
            <w:r w:rsidRPr="006E7AA4">
              <w:rPr>
                <w:sz w:val="18"/>
                <w:szCs w:val="18"/>
              </w:rPr>
              <w:t>271.8</w:t>
            </w:r>
          </w:p>
        </w:tc>
        <w:tc>
          <w:tcPr>
            <w:tcW w:w="470" w:type="pct"/>
            <w:shd w:val="clear" w:color="auto" w:fill="auto"/>
            <w:noWrap/>
            <w:vAlign w:val="bottom"/>
          </w:tcPr>
          <w:p w14:paraId="6F1B8D99" w14:textId="77777777" w:rsidR="00E466CD" w:rsidRPr="006E7AA4" w:rsidRDefault="00E466CD" w:rsidP="005D5B06">
            <w:pPr>
              <w:pStyle w:val="TableCenter"/>
              <w:rPr>
                <w:sz w:val="18"/>
                <w:szCs w:val="18"/>
              </w:rPr>
            </w:pPr>
            <w:r w:rsidRPr="006E7AA4">
              <w:rPr>
                <w:sz w:val="18"/>
                <w:szCs w:val="18"/>
              </w:rPr>
              <w:t>1.8</w:t>
            </w:r>
          </w:p>
        </w:tc>
      </w:tr>
      <w:tr w:rsidR="00E466CD" w:rsidRPr="006E7AA4" w14:paraId="436C0A8F" w14:textId="77777777" w:rsidTr="005D5B06">
        <w:trPr>
          <w:trHeight w:val="202"/>
        </w:trPr>
        <w:tc>
          <w:tcPr>
            <w:tcW w:w="736" w:type="pct"/>
            <w:vMerge/>
            <w:shd w:val="clear" w:color="auto" w:fill="auto"/>
            <w:hideMark/>
          </w:tcPr>
          <w:p w14:paraId="1254A7E0" w14:textId="77777777" w:rsidR="00E466CD" w:rsidRPr="008C62D4" w:rsidRDefault="00E466CD" w:rsidP="005D5B06">
            <w:pPr>
              <w:pStyle w:val="TableCenter"/>
            </w:pPr>
          </w:p>
        </w:tc>
        <w:tc>
          <w:tcPr>
            <w:tcW w:w="562" w:type="pct"/>
            <w:shd w:val="clear" w:color="auto" w:fill="auto"/>
            <w:noWrap/>
            <w:hideMark/>
          </w:tcPr>
          <w:p w14:paraId="54B90774"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1000</w:t>
            </w:r>
          </w:p>
        </w:tc>
        <w:tc>
          <w:tcPr>
            <w:tcW w:w="461" w:type="pct"/>
            <w:shd w:val="clear" w:color="auto" w:fill="auto"/>
            <w:noWrap/>
            <w:vAlign w:val="bottom"/>
          </w:tcPr>
          <w:p w14:paraId="595FC721" w14:textId="77777777" w:rsidR="00E466CD" w:rsidRPr="006E7AA4" w:rsidRDefault="00E466CD" w:rsidP="005D5B06">
            <w:pPr>
              <w:pStyle w:val="TableCenter"/>
              <w:rPr>
                <w:sz w:val="18"/>
                <w:szCs w:val="18"/>
              </w:rPr>
            </w:pPr>
            <w:r w:rsidRPr="006E7AA4">
              <w:rPr>
                <w:sz w:val="18"/>
                <w:szCs w:val="18"/>
              </w:rPr>
              <w:t>14.3</w:t>
            </w:r>
          </w:p>
        </w:tc>
        <w:tc>
          <w:tcPr>
            <w:tcW w:w="462" w:type="pct"/>
            <w:shd w:val="clear" w:color="auto" w:fill="auto"/>
            <w:noWrap/>
            <w:vAlign w:val="bottom"/>
          </w:tcPr>
          <w:p w14:paraId="4A671C99" w14:textId="77777777" w:rsidR="00E466CD" w:rsidRPr="006E7AA4" w:rsidRDefault="00E466CD" w:rsidP="005D5B06">
            <w:pPr>
              <w:pStyle w:val="TableCenter"/>
              <w:rPr>
                <w:sz w:val="18"/>
                <w:szCs w:val="18"/>
              </w:rPr>
            </w:pPr>
            <w:r w:rsidRPr="006E7AA4">
              <w:rPr>
                <w:sz w:val="18"/>
                <w:szCs w:val="18"/>
              </w:rPr>
              <w:t>0.4</w:t>
            </w:r>
          </w:p>
        </w:tc>
        <w:tc>
          <w:tcPr>
            <w:tcW w:w="461" w:type="pct"/>
            <w:shd w:val="clear" w:color="auto" w:fill="auto"/>
            <w:noWrap/>
            <w:vAlign w:val="bottom"/>
          </w:tcPr>
          <w:p w14:paraId="70C0EABA"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33F9D6E9"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vAlign w:val="bottom"/>
          </w:tcPr>
          <w:p w14:paraId="12B66D82"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7B93C4ED" w14:textId="77777777" w:rsidR="00E466CD" w:rsidRPr="006E7AA4" w:rsidRDefault="00E466CD" w:rsidP="005D5B06">
            <w:pPr>
              <w:pStyle w:val="TableCenter"/>
              <w:rPr>
                <w:sz w:val="18"/>
                <w:szCs w:val="18"/>
              </w:rPr>
            </w:pPr>
            <w:r w:rsidRPr="006E7AA4">
              <w:rPr>
                <w:sz w:val="18"/>
                <w:szCs w:val="18"/>
              </w:rPr>
              <w:t>2.4</w:t>
            </w:r>
          </w:p>
        </w:tc>
        <w:tc>
          <w:tcPr>
            <w:tcW w:w="462" w:type="pct"/>
            <w:shd w:val="clear" w:color="auto" w:fill="auto"/>
            <w:noWrap/>
            <w:vAlign w:val="bottom"/>
          </w:tcPr>
          <w:p w14:paraId="6EF6BAD8" w14:textId="77777777" w:rsidR="00E466CD" w:rsidRPr="006E7AA4" w:rsidRDefault="00E466CD" w:rsidP="005D5B06">
            <w:pPr>
              <w:pStyle w:val="TableCenter"/>
              <w:rPr>
                <w:sz w:val="18"/>
                <w:szCs w:val="18"/>
              </w:rPr>
            </w:pPr>
            <w:r w:rsidRPr="006E7AA4">
              <w:rPr>
                <w:sz w:val="18"/>
                <w:szCs w:val="18"/>
              </w:rPr>
              <w:t>257.3</w:t>
            </w:r>
          </w:p>
        </w:tc>
        <w:tc>
          <w:tcPr>
            <w:tcW w:w="470" w:type="pct"/>
            <w:shd w:val="clear" w:color="auto" w:fill="auto"/>
            <w:noWrap/>
            <w:vAlign w:val="bottom"/>
          </w:tcPr>
          <w:p w14:paraId="0A6AEF53" w14:textId="77777777" w:rsidR="00E466CD" w:rsidRPr="006E7AA4" w:rsidRDefault="00E466CD" w:rsidP="005D5B06">
            <w:pPr>
              <w:pStyle w:val="TableCenter"/>
              <w:rPr>
                <w:sz w:val="18"/>
                <w:szCs w:val="18"/>
              </w:rPr>
            </w:pPr>
            <w:r w:rsidRPr="006E7AA4">
              <w:rPr>
                <w:sz w:val="18"/>
                <w:szCs w:val="18"/>
              </w:rPr>
              <w:t>1.4</w:t>
            </w:r>
          </w:p>
        </w:tc>
      </w:tr>
      <w:tr w:rsidR="00E466CD" w:rsidRPr="006E7AA4" w14:paraId="22245A04" w14:textId="77777777" w:rsidTr="005D5B06">
        <w:trPr>
          <w:trHeight w:val="202"/>
        </w:trPr>
        <w:tc>
          <w:tcPr>
            <w:tcW w:w="736" w:type="pct"/>
            <w:vMerge w:val="restart"/>
            <w:shd w:val="clear" w:color="auto" w:fill="auto"/>
            <w:hideMark/>
          </w:tcPr>
          <w:p w14:paraId="22DDEDC3" w14:textId="77777777" w:rsidR="00E466CD" w:rsidRPr="008C62D4" w:rsidRDefault="00E466CD" w:rsidP="005D5B06">
            <w:pPr>
              <w:pStyle w:val="TableLeft"/>
              <w:rPr>
                <w:rFonts w:cs="Times New Roman"/>
                <w:sz w:val="18"/>
                <w:szCs w:val="18"/>
              </w:rPr>
            </w:pPr>
            <w:r w:rsidRPr="008C62D4">
              <w:rPr>
                <w:rFonts w:cs="Times New Roman"/>
                <w:sz w:val="18"/>
                <w:szCs w:val="18"/>
              </w:rPr>
              <w:t>OKT3</w:t>
            </w:r>
            <w:r w:rsidRPr="004F2C9D">
              <w:rPr>
                <w:rFonts w:eastAsia="Times New Roman" w:cs="Times New Roman"/>
                <w:bCs w:val="0"/>
                <w:color w:val="000000"/>
                <w:sz w:val="18"/>
                <w:szCs w:val="18"/>
              </w:rPr>
              <w:t xml:space="preserve"> </w:t>
            </w:r>
            <w:r w:rsidRPr="004F2C9D">
              <w:rPr>
                <w:rFonts w:cs="Times New Roman"/>
                <w:sz w:val="18"/>
                <w:szCs w:val="18"/>
              </w:rPr>
              <w:t>analog</w:t>
            </w:r>
          </w:p>
        </w:tc>
        <w:tc>
          <w:tcPr>
            <w:tcW w:w="562" w:type="pct"/>
            <w:shd w:val="clear" w:color="auto" w:fill="auto"/>
            <w:noWrap/>
            <w:hideMark/>
          </w:tcPr>
          <w:p w14:paraId="36F71534"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w:t>
            </w:r>
            <w:r>
              <w:rPr>
                <w:rFonts w:cs="Times New Roman"/>
                <w:sz w:val="18"/>
                <w:szCs w:val="18"/>
              </w:rPr>
              <w:t>00</w:t>
            </w:r>
          </w:p>
        </w:tc>
        <w:tc>
          <w:tcPr>
            <w:tcW w:w="461" w:type="pct"/>
            <w:shd w:val="clear" w:color="auto" w:fill="auto"/>
            <w:noWrap/>
            <w:vAlign w:val="bottom"/>
          </w:tcPr>
          <w:p w14:paraId="3FF52AAE" w14:textId="77777777" w:rsidR="00E466CD" w:rsidRPr="006E7AA4" w:rsidRDefault="00E466CD" w:rsidP="005D5B06">
            <w:pPr>
              <w:pStyle w:val="TableCenter"/>
              <w:rPr>
                <w:sz w:val="18"/>
                <w:szCs w:val="18"/>
              </w:rPr>
            </w:pPr>
            <w:r w:rsidRPr="006E7AA4">
              <w:rPr>
                <w:sz w:val="18"/>
                <w:szCs w:val="18"/>
              </w:rPr>
              <w:t>817.3</w:t>
            </w:r>
          </w:p>
        </w:tc>
        <w:tc>
          <w:tcPr>
            <w:tcW w:w="462" w:type="pct"/>
            <w:shd w:val="clear" w:color="auto" w:fill="auto"/>
            <w:noWrap/>
            <w:vAlign w:val="bottom"/>
          </w:tcPr>
          <w:p w14:paraId="3B73374B" w14:textId="77777777" w:rsidR="00E466CD" w:rsidRPr="006E7AA4" w:rsidRDefault="00E466CD" w:rsidP="005D5B06">
            <w:pPr>
              <w:pStyle w:val="TableCenter"/>
              <w:rPr>
                <w:sz w:val="18"/>
                <w:szCs w:val="18"/>
              </w:rPr>
            </w:pPr>
            <w:r w:rsidRPr="006E7AA4">
              <w:rPr>
                <w:sz w:val="18"/>
                <w:szCs w:val="18"/>
              </w:rPr>
              <w:t>2.8</w:t>
            </w:r>
          </w:p>
        </w:tc>
        <w:tc>
          <w:tcPr>
            <w:tcW w:w="461" w:type="pct"/>
            <w:shd w:val="clear" w:color="auto" w:fill="auto"/>
            <w:noWrap/>
            <w:vAlign w:val="bottom"/>
          </w:tcPr>
          <w:p w14:paraId="4E1D092B" w14:textId="77777777" w:rsidR="00E466CD" w:rsidRPr="006E7AA4" w:rsidRDefault="00E466CD" w:rsidP="005D5B06">
            <w:pPr>
              <w:pStyle w:val="TableCenter"/>
              <w:rPr>
                <w:sz w:val="18"/>
                <w:szCs w:val="18"/>
              </w:rPr>
            </w:pPr>
            <w:r w:rsidRPr="006E7AA4">
              <w:rPr>
                <w:sz w:val="18"/>
                <w:szCs w:val="18"/>
              </w:rPr>
              <w:t>1.3</w:t>
            </w:r>
          </w:p>
        </w:tc>
        <w:tc>
          <w:tcPr>
            <w:tcW w:w="461" w:type="pct"/>
            <w:shd w:val="clear" w:color="auto" w:fill="auto"/>
            <w:noWrap/>
            <w:vAlign w:val="bottom"/>
          </w:tcPr>
          <w:p w14:paraId="4AF5970E" w14:textId="77777777" w:rsidR="00E466CD" w:rsidRPr="006E7AA4" w:rsidRDefault="00E466CD" w:rsidP="005D5B06">
            <w:pPr>
              <w:pStyle w:val="TableCenter"/>
              <w:rPr>
                <w:sz w:val="18"/>
                <w:szCs w:val="18"/>
              </w:rPr>
            </w:pPr>
            <w:r w:rsidRPr="006E7AA4">
              <w:rPr>
                <w:sz w:val="18"/>
                <w:szCs w:val="18"/>
              </w:rPr>
              <w:t>2.1</w:t>
            </w:r>
          </w:p>
        </w:tc>
        <w:tc>
          <w:tcPr>
            <w:tcW w:w="463" w:type="pct"/>
            <w:shd w:val="clear" w:color="auto" w:fill="auto"/>
            <w:vAlign w:val="bottom"/>
          </w:tcPr>
          <w:p w14:paraId="4AB0C528" w14:textId="77777777" w:rsidR="00E466CD" w:rsidRPr="006E7AA4" w:rsidRDefault="00E466CD" w:rsidP="005D5B06">
            <w:pPr>
              <w:pStyle w:val="TableCenter"/>
              <w:rPr>
                <w:sz w:val="18"/>
                <w:szCs w:val="18"/>
              </w:rPr>
            </w:pPr>
            <w:r w:rsidRPr="006E7AA4">
              <w:rPr>
                <w:sz w:val="18"/>
                <w:szCs w:val="18"/>
              </w:rPr>
              <w:t>1.7</w:t>
            </w:r>
          </w:p>
        </w:tc>
        <w:tc>
          <w:tcPr>
            <w:tcW w:w="463" w:type="pct"/>
            <w:shd w:val="clear" w:color="auto" w:fill="auto"/>
            <w:noWrap/>
            <w:vAlign w:val="bottom"/>
          </w:tcPr>
          <w:p w14:paraId="7A887DE6" w14:textId="77777777" w:rsidR="00E466CD" w:rsidRPr="006E7AA4" w:rsidRDefault="00E466CD" w:rsidP="005D5B06">
            <w:pPr>
              <w:pStyle w:val="TableCenter"/>
              <w:rPr>
                <w:sz w:val="18"/>
                <w:szCs w:val="18"/>
              </w:rPr>
            </w:pPr>
            <w:r w:rsidRPr="006E7AA4">
              <w:rPr>
                <w:sz w:val="18"/>
                <w:szCs w:val="18"/>
              </w:rPr>
              <w:t>9.2</w:t>
            </w:r>
          </w:p>
        </w:tc>
        <w:tc>
          <w:tcPr>
            <w:tcW w:w="462" w:type="pct"/>
            <w:shd w:val="clear" w:color="auto" w:fill="auto"/>
            <w:noWrap/>
            <w:vAlign w:val="bottom"/>
          </w:tcPr>
          <w:p w14:paraId="6152CFBF" w14:textId="77777777" w:rsidR="00E466CD" w:rsidRPr="006E7AA4" w:rsidRDefault="00E466CD" w:rsidP="005D5B06">
            <w:pPr>
              <w:pStyle w:val="TableCenter"/>
              <w:rPr>
                <w:sz w:val="18"/>
                <w:szCs w:val="18"/>
              </w:rPr>
            </w:pPr>
            <w:r w:rsidRPr="006E7AA4">
              <w:rPr>
                <w:sz w:val="18"/>
                <w:szCs w:val="18"/>
              </w:rPr>
              <w:t>678.4</w:t>
            </w:r>
          </w:p>
        </w:tc>
        <w:tc>
          <w:tcPr>
            <w:tcW w:w="470" w:type="pct"/>
            <w:shd w:val="clear" w:color="auto" w:fill="auto"/>
            <w:noWrap/>
            <w:vAlign w:val="bottom"/>
          </w:tcPr>
          <w:p w14:paraId="40F8C181" w14:textId="77777777" w:rsidR="00E466CD" w:rsidRPr="006E7AA4" w:rsidRDefault="00E466CD" w:rsidP="005D5B06">
            <w:pPr>
              <w:pStyle w:val="TableCenter"/>
              <w:rPr>
                <w:sz w:val="18"/>
                <w:szCs w:val="18"/>
              </w:rPr>
            </w:pPr>
            <w:r w:rsidRPr="006E7AA4">
              <w:rPr>
                <w:sz w:val="18"/>
                <w:szCs w:val="18"/>
              </w:rPr>
              <w:t>17.9</w:t>
            </w:r>
          </w:p>
        </w:tc>
      </w:tr>
      <w:tr w:rsidR="00E466CD" w:rsidRPr="006E7AA4" w14:paraId="00144BF8" w14:textId="77777777" w:rsidTr="005D5B06">
        <w:trPr>
          <w:trHeight w:val="202"/>
        </w:trPr>
        <w:tc>
          <w:tcPr>
            <w:tcW w:w="736" w:type="pct"/>
            <w:vMerge/>
            <w:shd w:val="clear" w:color="auto" w:fill="auto"/>
            <w:hideMark/>
          </w:tcPr>
          <w:p w14:paraId="679E115C" w14:textId="77777777" w:rsidR="00E466CD" w:rsidRPr="008C62D4" w:rsidRDefault="00E466CD" w:rsidP="005D5B06">
            <w:pPr>
              <w:pStyle w:val="TableCenter"/>
            </w:pPr>
          </w:p>
        </w:tc>
        <w:tc>
          <w:tcPr>
            <w:tcW w:w="562" w:type="pct"/>
            <w:shd w:val="clear" w:color="auto" w:fill="auto"/>
            <w:noWrap/>
            <w:hideMark/>
          </w:tcPr>
          <w:p w14:paraId="360CE252" w14:textId="77777777" w:rsidR="00E466CD" w:rsidRPr="008C62D4" w:rsidRDefault="00E466CD" w:rsidP="005D5B06">
            <w:pPr>
              <w:pStyle w:val="TableLeft"/>
              <w:jc w:val="center"/>
              <w:rPr>
                <w:rFonts w:cs="Times New Roman"/>
                <w:sz w:val="18"/>
                <w:szCs w:val="18"/>
              </w:rPr>
            </w:pPr>
            <w:r w:rsidRPr="008C62D4">
              <w:rPr>
                <w:rFonts w:cs="Times New Roman"/>
                <w:sz w:val="18"/>
                <w:szCs w:val="18"/>
              </w:rPr>
              <w:t>400</w:t>
            </w:r>
          </w:p>
        </w:tc>
        <w:tc>
          <w:tcPr>
            <w:tcW w:w="461" w:type="pct"/>
            <w:shd w:val="clear" w:color="auto" w:fill="auto"/>
            <w:noWrap/>
            <w:vAlign w:val="bottom"/>
          </w:tcPr>
          <w:p w14:paraId="27532CD9" w14:textId="77777777" w:rsidR="00E466CD" w:rsidRPr="006E7AA4" w:rsidRDefault="00E466CD" w:rsidP="005D5B06">
            <w:pPr>
              <w:pStyle w:val="TableCenter"/>
              <w:rPr>
                <w:sz w:val="18"/>
                <w:szCs w:val="18"/>
              </w:rPr>
            </w:pPr>
            <w:r w:rsidRPr="006E7AA4">
              <w:rPr>
                <w:sz w:val="18"/>
                <w:szCs w:val="18"/>
              </w:rPr>
              <w:t>503.4</w:t>
            </w:r>
          </w:p>
        </w:tc>
        <w:tc>
          <w:tcPr>
            <w:tcW w:w="462" w:type="pct"/>
            <w:shd w:val="clear" w:color="auto" w:fill="auto"/>
            <w:noWrap/>
            <w:vAlign w:val="bottom"/>
          </w:tcPr>
          <w:p w14:paraId="3CEC3821" w14:textId="77777777" w:rsidR="00E466CD" w:rsidRPr="006E7AA4" w:rsidRDefault="00E466CD" w:rsidP="005D5B06">
            <w:pPr>
              <w:pStyle w:val="TableCenter"/>
              <w:rPr>
                <w:sz w:val="18"/>
                <w:szCs w:val="18"/>
              </w:rPr>
            </w:pPr>
            <w:r w:rsidRPr="006E7AA4">
              <w:rPr>
                <w:sz w:val="18"/>
                <w:szCs w:val="18"/>
              </w:rPr>
              <w:t>14.2</w:t>
            </w:r>
          </w:p>
        </w:tc>
        <w:tc>
          <w:tcPr>
            <w:tcW w:w="461" w:type="pct"/>
            <w:shd w:val="clear" w:color="auto" w:fill="auto"/>
            <w:noWrap/>
            <w:vAlign w:val="bottom"/>
          </w:tcPr>
          <w:p w14:paraId="4D3225C6" w14:textId="77777777" w:rsidR="00E466CD" w:rsidRPr="006E7AA4" w:rsidRDefault="00E466CD" w:rsidP="005D5B06">
            <w:pPr>
              <w:pStyle w:val="TableCenter"/>
              <w:rPr>
                <w:sz w:val="18"/>
                <w:szCs w:val="18"/>
              </w:rPr>
            </w:pPr>
            <w:r w:rsidRPr="006E7AA4">
              <w:rPr>
                <w:sz w:val="18"/>
                <w:szCs w:val="18"/>
              </w:rPr>
              <w:t>2.7</w:t>
            </w:r>
          </w:p>
        </w:tc>
        <w:tc>
          <w:tcPr>
            <w:tcW w:w="461" w:type="pct"/>
            <w:shd w:val="clear" w:color="auto" w:fill="auto"/>
            <w:noWrap/>
            <w:vAlign w:val="bottom"/>
          </w:tcPr>
          <w:p w14:paraId="17E00A54" w14:textId="77777777" w:rsidR="00E466CD" w:rsidRPr="006E7AA4" w:rsidRDefault="00E466CD" w:rsidP="005D5B06">
            <w:pPr>
              <w:pStyle w:val="TableCenter"/>
              <w:rPr>
                <w:sz w:val="18"/>
                <w:szCs w:val="18"/>
              </w:rPr>
            </w:pPr>
            <w:r w:rsidRPr="006E7AA4">
              <w:rPr>
                <w:sz w:val="18"/>
                <w:szCs w:val="18"/>
              </w:rPr>
              <w:t>55.6</w:t>
            </w:r>
          </w:p>
        </w:tc>
        <w:tc>
          <w:tcPr>
            <w:tcW w:w="463" w:type="pct"/>
            <w:shd w:val="clear" w:color="auto" w:fill="auto"/>
            <w:vAlign w:val="bottom"/>
          </w:tcPr>
          <w:p w14:paraId="08F8F37D" w14:textId="77777777" w:rsidR="00E466CD" w:rsidRPr="006E7AA4" w:rsidRDefault="00E466CD" w:rsidP="005D5B06">
            <w:pPr>
              <w:pStyle w:val="TableCenter"/>
              <w:rPr>
                <w:sz w:val="18"/>
                <w:szCs w:val="18"/>
              </w:rPr>
            </w:pPr>
            <w:r w:rsidRPr="006E7AA4">
              <w:rPr>
                <w:sz w:val="18"/>
                <w:szCs w:val="18"/>
              </w:rPr>
              <w:t>8.1</w:t>
            </w:r>
          </w:p>
        </w:tc>
        <w:tc>
          <w:tcPr>
            <w:tcW w:w="463" w:type="pct"/>
            <w:shd w:val="clear" w:color="auto" w:fill="auto"/>
            <w:noWrap/>
            <w:vAlign w:val="bottom"/>
          </w:tcPr>
          <w:p w14:paraId="51A1B403" w14:textId="77777777" w:rsidR="00E466CD" w:rsidRPr="006E7AA4" w:rsidRDefault="00E466CD" w:rsidP="005D5B06">
            <w:pPr>
              <w:pStyle w:val="TableCenter"/>
              <w:rPr>
                <w:sz w:val="18"/>
                <w:szCs w:val="18"/>
              </w:rPr>
            </w:pPr>
            <w:r w:rsidRPr="006E7AA4">
              <w:rPr>
                <w:sz w:val="18"/>
                <w:szCs w:val="18"/>
              </w:rPr>
              <w:t>30.1</w:t>
            </w:r>
          </w:p>
        </w:tc>
        <w:tc>
          <w:tcPr>
            <w:tcW w:w="462" w:type="pct"/>
            <w:shd w:val="clear" w:color="auto" w:fill="auto"/>
            <w:noWrap/>
            <w:vAlign w:val="bottom"/>
          </w:tcPr>
          <w:p w14:paraId="4383BA5F" w14:textId="77777777" w:rsidR="00E466CD" w:rsidRPr="006E7AA4" w:rsidRDefault="00E466CD" w:rsidP="005D5B06">
            <w:pPr>
              <w:pStyle w:val="TableCenter"/>
              <w:rPr>
                <w:sz w:val="18"/>
                <w:szCs w:val="18"/>
              </w:rPr>
            </w:pPr>
            <w:r w:rsidRPr="006E7AA4">
              <w:rPr>
                <w:sz w:val="18"/>
                <w:szCs w:val="18"/>
              </w:rPr>
              <w:t>1014.0</w:t>
            </w:r>
          </w:p>
        </w:tc>
        <w:tc>
          <w:tcPr>
            <w:tcW w:w="470" w:type="pct"/>
            <w:shd w:val="clear" w:color="auto" w:fill="auto"/>
            <w:noWrap/>
            <w:vAlign w:val="bottom"/>
          </w:tcPr>
          <w:p w14:paraId="2F919BD7" w14:textId="77777777" w:rsidR="00E466CD" w:rsidRPr="006E7AA4" w:rsidRDefault="00E466CD" w:rsidP="005D5B06">
            <w:pPr>
              <w:pStyle w:val="TableCenter"/>
              <w:rPr>
                <w:sz w:val="18"/>
                <w:szCs w:val="18"/>
              </w:rPr>
            </w:pPr>
            <w:r w:rsidRPr="006E7AA4">
              <w:rPr>
                <w:sz w:val="18"/>
                <w:szCs w:val="18"/>
              </w:rPr>
              <w:t>24.2</w:t>
            </w:r>
          </w:p>
        </w:tc>
      </w:tr>
      <w:tr w:rsidR="00E466CD" w:rsidRPr="006E7AA4" w14:paraId="36B5DCDA" w14:textId="77777777" w:rsidTr="005D5B06">
        <w:trPr>
          <w:trHeight w:val="202"/>
        </w:trPr>
        <w:tc>
          <w:tcPr>
            <w:tcW w:w="736" w:type="pct"/>
            <w:vMerge w:val="restart"/>
            <w:shd w:val="clear" w:color="auto" w:fill="auto"/>
            <w:hideMark/>
          </w:tcPr>
          <w:p w14:paraId="25B319CD" w14:textId="77777777" w:rsidR="00E466CD" w:rsidRPr="008C62D4" w:rsidRDefault="00E466CD" w:rsidP="005D5B06">
            <w:pPr>
              <w:pStyle w:val="TableLeft"/>
              <w:rPr>
                <w:rFonts w:cs="Times New Roman"/>
                <w:sz w:val="18"/>
                <w:szCs w:val="18"/>
              </w:rPr>
            </w:pPr>
            <w:r w:rsidRPr="008C62D4">
              <w:rPr>
                <w:rFonts w:cs="Times New Roman"/>
                <w:sz w:val="18"/>
                <w:szCs w:val="18"/>
              </w:rPr>
              <w:t>TGN1412</w:t>
            </w:r>
            <w:r w:rsidRPr="004F2C9D">
              <w:rPr>
                <w:rFonts w:eastAsia="Times New Roman" w:cs="Times New Roman"/>
                <w:bCs w:val="0"/>
                <w:color w:val="000000"/>
                <w:sz w:val="18"/>
                <w:szCs w:val="18"/>
              </w:rPr>
              <w:t xml:space="preserve"> </w:t>
            </w:r>
            <w:r w:rsidRPr="004F2C9D">
              <w:rPr>
                <w:rFonts w:cs="Times New Roman"/>
                <w:sz w:val="18"/>
                <w:szCs w:val="18"/>
              </w:rPr>
              <w:t>analog</w:t>
            </w:r>
          </w:p>
        </w:tc>
        <w:tc>
          <w:tcPr>
            <w:tcW w:w="562" w:type="pct"/>
            <w:shd w:val="clear" w:color="auto" w:fill="auto"/>
            <w:noWrap/>
            <w:hideMark/>
          </w:tcPr>
          <w:p w14:paraId="62F1837F" w14:textId="77777777" w:rsidR="00E466CD" w:rsidRPr="008C62D4" w:rsidRDefault="00E466CD" w:rsidP="005D5B06">
            <w:pPr>
              <w:pStyle w:val="TableLeft"/>
              <w:jc w:val="center"/>
              <w:rPr>
                <w:rFonts w:cs="Times New Roman"/>
                <w:sz w:val="18"/>
                <w:szCs w:val="18"/>
              </w:rPr>
            </w:pPr>
            <w:r>
              <w:rPr>
                <w:rFonts w:cs="Times New Roman"/>
                <w:sz w:val="18"/>
                <w:szCs w:val="18"/>
              </w:rPr>
              <w:t>10</w:t>
            </w:r>
          </w:p>
        </w:tc>
        <w:tc>
          <w:tcPr>
            <w:tcW w:w="461" w:type="pct"/>
            <w:shd w:val="clear" w:color="auto" w:fill="auto"/>
            <w:noWrap/>
            <w:vAlign w:val="bottom"/>
          </w:tcPr>
          <w:p w14:paraId="664E8530" w14:textId="77777777" w:rsidR="00E466CD" w:rsidRPr="006E7AA4" w:rsidRDefault="00E466CD" w:rsidP="005D5B06">
            <w:pPr>
              <w:pStyle w:val="TableCenter"/>
              <w:rPr>
                <w:sz w:val="18"/>
                <w:szCs w:val="18"/>
              </w:rPr>
            </w:pPr>
            <w:r w:rsidRPr="006E7AA4">
              <w:rPr>
                <w:sz w:val="18"/>
                <w:szCs w:val="18"/>
              </w:rPr>
              <w:t>33.1</w:t>
            </w:r>
          </w:p>
        </w:tc>
        <w:tc>
          <w:tcPr>
            <w:tcW w:w="462" w:type="pct"/>
            <w:shd w:val="clear" w:color="auto" w:fill="auto"/>
            <w:noWrap/>
            <w:vAlign w:val="bottom"/>
          </w:tcPr>
          <w:p w14:paraId="6D586B69" w14:textId="77777777" w:rsidR="00E466CD" w:rsidRPr="006E7AA4" w:rsidRDefault="00E466CD" w:rsidP="005D5B06">
            <w:pPr>
              <w:pStyle w:val="TableCenter"/>
              <w:rPr>
                <w:sz w:val="18"/>
                <w:szCs w:val="18"/>
              </w:rPr>
            </w:pPr>
            <w:r w:rsidRPr="006E7AA4">
              <w:rPr>
                <w:sz w:val="18"/>
                <w:szCs w:val="18"/>
              </w:rPr>
              <w:t>2.6</w:t>
            </w:r>
          </w:p>
        </w:tc>
        <w:tc>
          <w:tcPr>
            <w:tcW w:w="461" w:type="pct"/>
            <w:shd w:val="clear" w:color="auto" w:fill="auto"/>
            <w:noWrap/>
            <w:vAlign w:val="bottom"/>
          </w:tcPr>
          <w:p w14:paraId="741D8757" w14:textId="77777777" w:rsidR="00E466CD" w:rsidRPr="006E7AA4" w:rsidRDefault="00E466CD" w:rsidP="005D5B06">
            <w:pPr>
              <w:pStyle w:val="TableCenter"/>
              <w:rPr>
                <w:sz w:val="18"/>
                <w:szCs w:val="18"/>
              </w:rPr>
            </w:pPr>
            <w:r w:rsidRPr="006E7AA4">
              <w:rPr>
                <w:sz w:val="18"/>
                <w:szCs w:val="18"/>
              </w:rPr>
              <w:t>0.9</w:t>
            </w:r>
          </w:p>
        </w:tc>
        <w:tc>
          <w:tcPr>
            <w:tcW w:w="461" w:type="pct"/>
            <w:shd w:val="clear" w:color="auto" w:fill="auto"/>
            <w:noWrap/>
            <w:vAlign w:val="bottom"/>
          </w:tcPr>
          <w:p w14:paraId="2BDDF989" w14:textId="77777777" w:rsidR="00E466CD" w:rsidRPr="006E7AA4" w:rsidRDefault="00E466CD" w:rsidP="005D5B06">
            <w:pPr>
              <w:pStyle w:val="TableCenter"/>
              <w:rPr>
                <w:sz w:val="18"/>
                <w:szCs w:val="18"/>
              </w:rPr>
            </w:pPr>
            <w:r w:rsidRPr="006E7AA4">
              <w:rPr>
                <w:sz w:val="18"/>
                <w:szCs w:val="18"/>
              </w:rPr>
              <w:t>0.6</w:t>
            </w:r>
          </w:p>
        </w:tc>
        <w:tc>
          <w:tcPr>
            <w:tcW w:w="463" w:type="pct"/>
            <w:shd w:val="clear" w:color="auto" w:fill="auto"/>
            <w:vAlign w:val="bottom"/>
          </w:tcPr>
          <w:p w14:paraId="7DBACA04" w14:textId="77777777" w:rsidR="00E466CD" w:rsidRPr="006E7AA4" w:rsidRDefault="00E466CD" w:rsidP="005D5B06">
            <w:pPr>
              <w:pStyle w:val="TableCenter"/>
              <w:rPr>
                <w:sz w:val="18"/>
                <w:szCs w:val="18"/>
              </w:rPr>
            </w:pPr>
            <w:r w:rsidRPr="006E7AA4">
              <w:rPr>
                <w:sz w:val="18"/>
                <w:szCs w:val="18"/>
              </w:rPr>
              <w:t>1.8</w:t>
            </w:r>
          </w:p>
        </w:tc>
        <w:tc>
          <w:tcPr>
            <w:tcW w:w="463" w:type="pct"/>
            <w:shd w:val="clear" w:color="auto" w:fill="auto"/>
            <w:noWrap/>
            <w:vAlign w:val="bottom"/>
          </w:tcPr>
          <w:p w14:paraId="01E50613" w14:textId="77777777" w:rsidR="00E466CD" w:rsidRPr="006E7AA4" w:rsidRDefault="00E466CD" w:rsidP="005D5B06">
            <w:pPr>
              <w:pStyle w:val="TableCenter"/>
              <w:rPr>
                <w:sz w:val="18"/>
                <w:szCs w:val="18"/>
              </w:rPr>
            </w:pPr>
            <w:r w:rsidRPr="006E7AA4">
              <w:rPr>
                <w:sz w:val="18"/>
                <w:szCs w:val="18"/>
              </w:rPr>
              <w:t>2.7</w:t>
            </w:r>
          </w:p>
        </w:tc>
        <w:tc>
          <w:tcPr>
            <w:tcW w:w="462" w:type="pct"/>
            <w:shd w:val="clear" w:color="auto" w:fill="auto"/>
            <w:noWrap/>
            <w:vAlign w:val="bottom"/>
          </w:tcPr>
          <w:p w14:paraId="4A26BBE0" w14:textId="77777777" w:rsidR="00E466CD" w:rsidRPr="006E7AA4" w:rsidRDefault="00E466CD" w:rsidP="005D5B06">
            <w:pPr>
              <w:pStyle w:val="TableCenter"/>
              <w:rPr>
                <w:sz w:val="18"/>
                <w:szCs w:val="18"/>
              </w:rPr>
            </w:pPr>
            <w:r w:rsidRPr="006E7AA4">
              <w:rPr>
                <w:sz w:val="18"/>
                <w:szCs w:val="18"/>
              </w:rPr>
              <w:t>363.3</w:t>
            </w:r>
          </w:p>
        </w:tc>
        <w:tc>
          <w:tcPr>
            <w:tcW w:w="470" w:type="pct"/>
            <w:shd w:val="clear" w:color="auto" w:fill="auto"/>
            <w:noWrap/>
            <w:vAlign w:val="bottom"/>
          </w:tcPr>
          <w:p w14:paraId="4B026A53" w14:textId="77777777" w:rsidR="00E466CD" w:rsidRPr="006E7AA4" w:rsidRDefault="00E466CD" w:rsidP="005D5B06">
            <w:pPr>
              <w:pStyle w:val="TableCenter"/>
              <w:rPr>
                <w:sz w:val="18"/>
                <w:szCs w:val="18"/>
              </w:rPr>
            </w:pPr>
            <w:r w:rsidRPr="006E7AA4">
              <w:rPr>
                <w:sz w:val="18"/>
                <w:szCs w:val="18"/>
              </w:rPr>
              <w:t>3.5</w:t>
            </w:r>
          </w:p>
        </w:tc>
      </w:tr>
      <w:tr w:rsidR="00E466CD" w:rsidRPr="006E7AA4" w14:paraId="6337CD0A" w14:textId="77777777" w:rsidTr="005D5B06">
        <w:trPr>
          <w:trHeight w:val="202"/>
        </w:trPr>
        <w:tc>
          <w:tcPr>
            <w:tcW w:w="736" w:type="pct"/>
            <w:vMerge/>
            <w:shd w:val="clear" w:color="auto" w:fill="auto"/>
            <w:hideMark/>
          </w:tcPr>
          <w:p w14:paraId="79E663D8" w14:textId="77777777" w:rsidR="00E466CD" w:rsidRPr="008C62D4" w:rsidRDefault="00E466CD" w:rsidP="005D5B06">
            <w:pPr>
              <w:pStyle w:val="TableCenter"/>
            </w:pPr>
          </w:p>
        </w:tc>
        <w:tc>
          <w:tcPr>
            <w:tcW w:w="562" w:type="pct"/>
            <w:shd w:val="clear" w:color="auto" w:fill="auto"/>
            <w:noWrap/>
            <w:hideMark/>
          </w:tcPr>
          <w:p w14:paraId="16914EB5"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100</w:t>
            </w:r>
          </w:p>
        </w:tc>
        <w:tc>
          <w:tcPr>
            <w:tcW w:w="461" w:type="pct"/>
            <w:shd w:val="clear" w:color="auto" w:fill="auto"/>
            <w:noWrap/>
            <w:vAlign w:val="bottom"/>
          </w:tcPr>
          <w:p w14:paraId="5F852555" w14:textId="77777777" w:rsidR="00E466CD" w:rsidRPr="006E7AA4" w:rsidRDefault="00E466CD" w:rsidP="005D5B06">
            <w:pPr>
              <w:pStyle w:val="TableCenter"/>
              <w:rPr>
                <w:sz w:val="18"/>
                <w:szCs w:val="18"/>
              </w:rPr>
            </w:pPr>
            <w:r w:rsidRPr="006E7AA4">
              <w:rPr>
                <w:sz w:val="18"/>
                <w:szCs w:val="18"/>
              </w:rPr>
              <w:t>30.8</w:t>
            </w:r>
          </w:p>
        </w:tc>
        <w:tc>
          <w:tcPr>
            <w:tcW w:w="462" w:type="pct"/>
            <w:shd w:val="clear" w:color="auto" w:fill="auto"/>
            <w:noWrap/>
            <w:vAlign w:val="bottom"/>
          </w:tcPr>
          <w:p w14:paraId="11F614D5" w14:textId="77777777" w:rsidR="00E466CD" w:rsidRPr="006E7AA4" w:rsidRDefault="00E466CD" w:rsidP="005D5B06">
            <w:pPr>
              <w:pStyle w:val="TableCenter"/>
              <w:rPr>
                <w:sz w:val="18"/>
                <w:szCs w:val="18"/>
              </w:rPr>
            </w:pPr>
            <w:r w:rsidRPr="006E7AA4">
              <w:rPr>
                <w:sz w:val="18"/>
                <w:szCs w:val="18"/>
              </w:rPr>
              <w:t>2.0</w:t>
            </w:r>
          </w:p>
        </w:tc>
        <w:tc>
          <w:tcPr>
            <w:tcW w:w="461" w:type="pct"/>
            <w:shd w:val="clear" w:color="auto" w:fill="auto"/>
            <w:noWrap/>
            <w:vAlign w:val="bottom"/>
          </w:tcPr>
          <w:p w14:paraId="2889F8E3" w14:textId="77777777" w:rsidR="00E466CD" w:rsidRPr="006E7AA4" w:rsidRDefault="00E466CD" w:rsidP="005D5B06">
            <w:pPr>
              <w:pStyle w:val="TableCenter"/>
              <w:rPr>
                <w:sz w:val="18"/>
                <w:szCs w:val="18"/>
              </w:rPr>
            </w:pPr>
            <w:r w:rsidRPr="006E7AA4">
              <w:rPr>
                <w:sz w:val="18"/>
                <w:szCs w:val="18"/>
              </w:rPr>
              <w:t>0.8</w:t>
            </w:r>
          </w:p>
        </w:tc>
        <w:tc>
          <w:tcPr>
            <w:tcW w:w="461" w:type="pct"/>
            <w:shd w:val="clear" w:color="auto" w:fill="auto"/>
            <w:noWrap/>
            <w:vAlign w:val="bottom"/>
          </w:tcPr>
          <w:p w14:paraId="501DD735" w14:textId="77777777" w:rsidR="00E466CD" w:rsidRPr="006E7AA4" w:rsidRDefault="00E466CD" w:rsidP="005D5B06">
            <w:pPr>
              <w:pStyle w:val="TableCenter"/>
              <w:rPr>
                <w:sz w:val="18"/>
                <w:szCs w:val="18"/>
              </w:rPr>
            </w:pPr>
            <w:r w:rsidRPr="006E7AA4">
              <w:rPr>
                <w:sz w:val="18"/>
                <w:szCs w:val="18"/>
              </w:rPr>
              <w:t>0.6</w:t>
            </w:r>
          </w:p>
        </w:tc>
        <w:tc>
          <w:tcPr>
            <w:tcW w:w="463" w:type="pct"/>
            <w:shd w:val="clear" w:color="auto" w:fill="auto"/>
            <w:vAlign w:val="bottom"/>
          </w:tcPr>
          <w:p w14:paraId="23D5F5AE" w14:textId="77777777" w:rsidR="00E466CD" w:rsidRPr="006E7AA4" w:rsidRDefault="00E466CD" w:rsidP="005D5B06">
            <w:pPr>
              <w:pStyle w:val="TableCenter"/>
              <w:rPr>
                <w:sz w:val="18"/>
                <w:szCs w:val="18"/>
              </w:rPr>
            </w:pPr>
            <w:r w:rsidRPr="006E7AA4">
              <w:rPr>
                <w:sz w:val="18"/>
                <w:szCs w:val="18"/>
              </w:rPr>
              <w:t>2.1</w:t>
            </w:r>
          </w:p>
        </w:tc>
        <w:tc>
          <w:tcPr>
            <w:tcW w:w="463" w:type="pct"/>
            <w:shd w:val="clear" w:color="auto" w:fill="auto"/>
            <w:noWrap/>
            <w:vAlign w:val="bottom"/>
          </w:tcPr>
          <w:p w14:paraId="623EDD7D" w14:textId="77777777" w:rsidR="00E466CD" w:rsidRPr="006E7AA4" w:rsidRDefault="00E466CD" w:rsidP="005D5B06">
            <w:pPr>
              <w:pStyle w:val="TableCenter"/>
              <w:rPr>
                <w:sz w:val="18"/>
                <w:szCs w:val="18"/>
              </w:rPr>
            </w:pPr>
            <w:r w:rsidRPr="006E7AA4">
              <w:rPr>
                <w:sz w:val="18"/>
                <w:szCs w:val="18"/>
              </w:rPr>
              <w:t>3.0</w:t>
            </w:r>
          </w:p>
        </w:tc>
        <w:tc>
          <w:tcPr>
            <w:tcW w:w="462" w:type="pct"/>
            <w:shd w:val="clear" w:color="auto" w:fill="auto"/>
            <w:noWrap/>
            <w:vAlign w:val="bottom"/>
          </w:tcPr>
          <w:p w14:paraId="20C3F6FA" w14:textId="77777777" w:rsidR="00E466CD" w:rsidRPr="006E7AA4" w:rsidRDefault="00E466CD" w:rsidP="005D5B06">
            <w:pPr>
              <w:pStyle w:val="TableCenter"/>
              <w:rPr>
                <w:sz w:val="18"/>
                <w:szCs w:val="18"/>
              </w:rPr>
            </w:pPr>
            <w:r w:rsidRPr="006E7AA4">
              <w:rPr>
                <w:sz w:val="18"/>
                <w:szCs w:val="18"/>
              </w:rPr>
              <w:t>381.1</w:t>
            </w:r>
          </w:p>
        </w:tc>
        <w:tc>
          <w:tcPr>
            <w:tcW w:w="470" w:type="pct"/>
            <w:shd w:val="clear" w:color="auto" w:fill="auto"/>
            <w:noWrap/>
            <w:vAlign w:val="bottom"/>
          </w:tcPr>
          <w:p w14:paraId="18E6A43F" w14:textId="77777777" w:rsidR="00E466CD" w:rsidRPr="006E7AA4" w:rsidRDefault="00E466CD" w:rsidP="005D5B06">
            <w:pPr>
              <w:pStyle w:val="TableCenter"/>
              <w:rPr>
                <w:sz w:val="18"/>
                <w:szCs w:val="18"/>
              </w:rPr>
            </w:pPr>
            <w:r w:rsidRPr="006E7AA4">
              <w:rPr>
                <w:sz w:val="18"/>
                <w:szCs w:val="18"/>
              </w:rPr>
              <w:t>2.5</w:t>
            </w:r>
          </w:p>
        </w:tc>
      </w:tr>
      <w:tr w:rsidR="00E466CD" w:rsidRPr="006E7AA4" w14:paraId="73992127" w14:textId="77777777" w:rsidTr="005D5B06">
        <w:trPr>
          <w:trHeight w:val="202"/>
        </w:trPr>
        <w:tc>
          <w:tcPr>
            <w:tcW w:w="736" w:type="pct"/>
            <w:vMerge/>
            <w:shd w:val="clear" w:color="auto" w:fill="auto"/>
            <w:hideMark/>
          </w:tcPr>
          <w:p w14:paraId="6EC1F5C3" w14:textId="77777777" w:rsidR="00E466CD" w:rsidRPr="008C62D4" w:rsidRDefault="00E466CD" w:rsidP="005D5B06">
            <w:pPr>
              <w:pStyle w:val="TableCenter"/>
            </w:pPr>
          </w:p>
        </w:tc>
        <w:tc>
          <w:tcPr>
            <w:tcW w:w="562" w:type="pct"/>
            <w:shd w:val="clear" w:color="auto" w:fill="auto"/>
            <w:noWrap/>
            <w:hideMark/>
          </w:tcPr>
          <w:p w14:paraId="21FE20B8"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1000</w:t>
            </w:r>
          </w:p>
        </w:tc>
        <w:tc>
          <w:tcPr>
            <w:tcW w:w="461" w:type="pct"/>
            <w:shd w:val="clear" w:color="auto" w:fill="auto"/>
            <w:noWrap/>
            <w:vAlign w:val="bottom"/>
          </w:tcPr>
          <w:p w14:paraId="2D39F575" w14:textId="77777777" w:rsidR="00E466CD" w:rsidRPr="006E7AA4" w:rsidRDefault="00E466CD" w:rsidP="005D5B06">
            <w:pPr>
              <w:pStyle w:val="TableCenter"/>
              <w:rPr>
                <w:sz w:val="18"/>
                <w:szCs w:val="18"/>
              </w:rPr>
            </w:pPr>
            <w:r w:rsidRPr="006E7AA4">
              <w:rPr>
                <w:sz w:val="18"/>
                <w:szCs w:val="18"/>
              </w:rPr>
              <w:t>26.4</w:t>
            </w:r>
          </w:p>
        </w:tc>
        <w:tc>
          <w:tcPr>
            <w:tcW w:w="462" w:type="pct"/>
            <w:shd w:val="clear" w:color="auto" w:fill="auto"/>
            <w:noWrap/>
            <w:vAlign w:val="bottom"/>
          </w:tcPr>
          <w:p w14:paraId="238A4F57" w14:textId="77777777" w:rsidR="00E466CD" w:rsidRPr="006E7AA4" w:rsidRDefault="00E466CD" w:rsidP="005D5B06">
            <w:pPr>
              <w:pStyle w:val="TableCenter"/>
              <w:rPr>
                <w:sz w:val="18"/>
                <w:szCs w:val="18"/>
              </w:rPr>
            </w:pPr>
            <w:r w:rsidRPr="006E7AA4">
              <w:rPr>
                <w:sz w:val="18"/>
                <w:szCs w:val="18"/>
              </w:rPr>
              <w:t>2.6</w:t>
            </w:r>
          </w:p>
        </w:tc>
        <w:tc>
          <w:tcPr>
            <w:tcW w:w="461" w:type="pct"/>
            <w:shd w:val="clear" w:color="auto" w:fill="auto"/>
            <w:noWrap/>
            <w:vAlign w:val="bottom"/>
          </w:tcPr>
          <w:p w14:paraId="0C127B2D" w14:textId="77777777" w:rsidR="00E466CD" w:rsidRPr="006E7AA4" w:rsidRDefault="00E466CD" w:rsidP="005D5B06">
            <w:pPr>
              <w:pStyle w:val="TableCenter"/>
              <w:rPr>
                <w:sz w:val="18"/>
                <w:szCs w:val="18"/>
              </w:rPr>
            </w:pPr>
            <w:r w:rsidRPr="006E7AA4">
              <w:rPr>
                <w:sz w:val="18"/>
                <w:szCs w:val="18"/>
              </w:rPr>
              <w:t>1.6</w:t>
            </w:r>
          </w:p>
        </w:tc>
        <w:tc>
          <w:tcPr>
            <w:tcW w:w="461" w:type="pct"/>
            <w:shd w:val="clear" w:color="auto" w:fill="auto"/>
            <w:noWrap/>
            <w:vAlign w:val="bottom"/>
          </w:tcPr>
          <w:p w14:paraId="3C0C1429" w14:textId="77777777" w:rsidR="00E466CD" w:rsidRPr="006E7AA4" w:rsidRDefault="00E466CD" w:rsidP="005D5B06">
            <w:pPr>
              <w:pStyle w:val="TableCenter"/>
              <w:rPr>
                <w:sz w:val="18"/>
                <w:szCs w:val="18"/>
              </w:rPr>
            </w:pPr>
            <w:r w:rsidRPr="006E7AA4">
              <w:rPr>
                <w:sz w:val="18"/>
                <w:szCs w:val="18"/>
              </w:rPr>
              <w:t>1.7</w:t>
            </w:r>
          </w:p>
        </w:tc>
        <w:tc>
          <w:tcPr>
            <w:tcW w:w="463" w:type="pct"/>
            <w:shd w:val="clear" w:color="auto" w:fill="auto"/>
            <w:vAlign w:val="bottom"/>
          </w:tcPr>
          <w:p w14:paraId="366E462E" w14:textId="77777777" w:rsidR="00E466CD" w:rsidRPr="006E7AA4" w:rsidRDefault="00E466CD" w:rsidP="005D5B06">
            <w:pPr>
              <w:pStyle w:val="TableCenter"/>
              <w:rPr>
                <w:sz w:val="18"/>
                <w:szCs w:val="18"/>
              </w:rPr>
            </w:pPr>
            <w:r w:rsidRPr="006E7AA4">
              <w:rPr>
                <w:sz w:val="18"/>
                <w:szCs w:val="18"/>
              </w:rPr>
              <w:t>2.4</w:t>
            </w:r>
          </w:p>
        </w:tc>
        <w:tc>
          <w:tcPr>
            <w:tcW w:w="463" w:type="pct"/>
            <w:shd w:val="clear" w:color="auto" w:fill="auto"/>
            <w:noWrap/>
            <w:vAlign w:val="bottom"/>
          </w:tcPr>
          <w:p w14:paraId="3F873205" w14:textId="77777777" w:rsidR="00E466CD" w:rsidRPr="006E7AA4" w:rsidRDefault="00E466CD" w:rsidP="005D5B06">
            <w:pPr>
              <w:pStyle w:val="TableCenter"/>
              <w:rPr>
                <w:sz w:val="18"/>
                <w:szCs w:val="18"/>
              </w:rPr>
            </w:pPr>
            <w:r w:rsidRPr="006E7AA4">
              <w:rPr>
                <w:sz w:val="18"/>
                <w:szCs w:val="18"/>
              </w:rPr>
              <w:t>8.0</w:t>
            </w:r>
          </w:p>
        </w:tc>
        <w:tc>
          <w:tcPr>
            <w:tcW w:w="462" w:type="pct"/>
            <w:shd w:val="clear" w:color="auto" w:fill="auto"/>
            <w:noWrap/>
            <w:vAlign w:val="bottom"/>
          </w:tcPr>
          <w:p w14:paraId="4096C574" w14:textId="77777777" w:rsidR="00E466CD" w:rsidRPr="006E7AA4" w:rsidRDefault="00E466CD" w:rsidP="005D5B06">
            <w:pPr>
              <w:pStyle w:val="TableCenter"/>
              <w:rPr>
                <w:sz w:val="18"/>
                <w:szCs w:val="18"/>
              </w:rPr>
            </w:pPr>
            <w:r w:rsidRPr="006E7AA4">
              <w:rPr>
                <w:sz w:val="18"/>
                <w:szCs w:val="18"/>
              </w:rPr>
              <w:t>1011.0</w:t>
            </w:r>
          </w:p>
        </w:tc>
        <w:tc>
          <w:tcPr>
            <w:tcW w:w="470" w:type="pct"/>
            <w:shd w:val="clear" w:color="auto" w:fill="auto"/>
            <w:noWrap/>
            <w:vAlign w:val="bottom"/>
          </w:tcPr>
          <w:p w14:paraId="7321D299" w14:textId="77777777" w:rsidR="00E466CD" w:rsidRPr="006E7AA4" w:rsidRDefault="00E466CD" w:rsidP="005D5B06">
            <w:pPr>
              <w:pStyle w:val="TableCenter"/>
              <w:rPr>
                <w:sz w:val="18"/>
                <w:szCs w:val="18"/>
              </w:rPr>
            </w:pPr>
            <w:r w:rsidRPr="006E7AA4">
              <w:rPr>
                <w:sz w:val="18"/>
                <w:szCs w:val="18"/>
              </w:rPr>
              <w:t>6.3</w:t>
            </w:r>
          </w:p>
        </w:tc>
      </w:tr>
      <w:tr w:rsidR="00E466CD" w:rsidRPr="006E7AA4" w14:paraId="35245340" w14:textId="77777777" w:rsidTr="005D5B06">
        <w:trPr>
          <w:trHeight w:val="202"/>
        </w:trPr>
        <w:tc>
          <w:tcPr>
            <w:tcW w:w="736" w:type="pct"/>
            <w:vMerge w:val="restart"/>
            <w:shd w:val="clear" w:color="auto" w:fill="auto"/>
            <w:hideMark/>
          </w:tcPr>
          <w:p w14:paraId="5499D2D2" w14:textId="77777777" w:rsidR="00E466CD" w:rsidRPr="008C62D4" w:rsidRDefault="00E466CD" w:rsidP="005D5B06">
            <w:pPr>
              <w:pStyle w:val="TableLeft"/>
              <w:rPr>
                <w:rFonts w:cs="Times New Roman"/>
                <w:sz w:val="18"/>
                <w:szCs w:val="18"/>
              </w:rPr>
            </w:pPr>
            <w:r w:rsidRPr="008C62D4">
              <w:rPr>
                <w:rFonts w:cs="Times New Roman"/>
                <w:sz w:val="18"/>
                <w:szCs w:val="18"/>
              </w:rPr>
              <w:t>Trastuzumab</w:t>
            </w:r>
          </w:p>
        </w:tc>
        <w:tc>
          <w:tcPr>
            <w:tcW w:w="562" w:type="pct"/>
            <w:shd w:val="clear" w:color="auto" w:fill="auto"/>
            <w:noWrap/>
            <w:hideMark/>
          </w:tcPr>
          <w:p w14:paraId="2C39B3A8" w14:textId="77777777" w:rsidR="00E466CD" w:rsidRPr="008C62D4" w:rsidRDefault="00E466CD" w:rsidP="005D5B06">
            <w:pPr>
              <w:pStyle w:val="TableLeft"/>
              <w:jc w:val="center"/>
              <w:rPr>
                <w:rFonts w:cs="Times New Roman"/>
                <w:sz w:val="18"/>
                <w:szCs w:val="18"/>
              </w:rPr>
            </w:pPr>
            <w:r w:rsidRPr="008C62D4">
              <w:rPr>
                <w:rFonts w:cs="Times New Roman"/>
                <w:sz w:val="18"/>
                <w:szCs w:val="18"/>
              </w:rPr>
              <w:t>0.1</w:t>
            </w:r>
          </w:p>
        </w:tc>
        <w:tc>
          <w:tcPr>
            <w:tcW w:w="461" w:type="pct"/>
            <w:shd w:val="clear" w:color="auto" w:fill="auto"/>
            <w:noWrap/>
            <w:vAlign w:val="bottom"/>
          </w:tcPr>
          <w:p w14:paraId="3CAE070D" w14:textId="77777777" w:rsidR="00E466CD" w:rsidRPr="006E7AA4" w:rsidRDefault="00E466CD" w:rsidP="005D5B06">
            <w:pPr>
              <w:pStyle w:val="TableCenter"/>
              <w:rPr>
                <w:sz w:val="18"/>
                <w:szCs w:val="18"/>
              </w:rPr>
            </w:pPr>
            <w:r w:rsidRPr="006E7AA4">
              <w:rPr>
                <w:sz w:val="18"/>
                <w:szCs w:val="18"/>
              </w:rPr>
              <w:t>13.8</w:t>
            </w:r>
          </w:p>
        </w:tc>
        <w:tc>
          <w:tcPr>
            <w:tcW w:w="462" w:type="pct"/>
            <w:shd w:val="clear" w:color="auto" w:fill="auto"/>
            <w:noWrap/>
            <w:vAlign w:val="bottom"/>
          </w:tcPr>
          <w:p w14:paraId="7B516173" w14:textId="77777777" w:rsidR="00E466CD" w:rsidRPr="006E7AA4" w:rsidRDefault="00E466CD" w:rsidP="005D5B06">
            <w:pPr>
              <w:pStyle w:val="TableCenter"/>
              <w:rPr>
                <w:sz w:val="18"/>
                <w:szCs w:val="18"/>
              </w:rPr>
            </w:pPr>
            <w:r w:rsidRPr="006E7AA4">
              <w:rPr>
                <w:sz w:val="18"/>
                <w:szCs w:val="18"/>
              </w:rPr>
              <w:t>0.3</w:t>
            </w:r>
          </w:p>
        </w:tc>
        <w:tc>
          <w:tcPr>
            <w:tcW w:w="461" w:type="pct"/>
            <w:shd w:val="clear" w:color="auto" w:fill="auto"/>
            <w:noWrap/>
            <w:vAlign w:val="bottom"/>
          </w:tcPr>
          <w:p w14:paraId="7C146FE9"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371636A8" w14:textId="77777777" w:rsidR="00E466CD" w:rsidRPr="006E7AA4" w:rsidRDefault="00E466CD" w:rsidP="005D5B06">
            <w:pPr>
              <w:pStyle w:val="TableCenter"/>
              <w:rPr>
                <w:sz w:val="18"/>
                <w:szCs w:val="18"/>
              </w:rPr>
            </w:pPr>
            <w:r w:rsidRPr="006E7AA4">
              <w:rPr>
                <w:sz w:val="18"/>
                <w:szCs w:val="18"/>
              </w:rPr>
              <w:t>0.3</w:t>
            </w:r>
          </w:p>
        </w:tc>
        <w:tc>
          <w:tcPr>
            <w:tcW w:w="463" w:type="pct"/>
            <w:shd w:val="clear" w:color="auto" w:fill="auto"/>
            <w:vAlign w:val="bottom"/>
          </w:tcPr>
          <w:p w14:paraId="6A3B8BFE"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09767BA0" w14:textId="77777777" w:rsidR="00E466CD" w:rsidRPr="006E7AA4" w:rsidRDefault="00E466CD" w:rsidP="005D5B06">
            <w:pPr>
              <w:pStyle w:val="TableCenter"/>
              <w:rPr>
                <w:sz w:val="18"/>
                <w:szCs w:val="18"/>
              </w:rPr>
            </w:pPr>
            <w:r w:rsidRPr="006E7AA4">
              <w:rPr>
                <w:sz w:val="18"/>
                <w:szCs w:val="18"/>
              </w:rPr>
              <w:t>2.2</w:t>
            </w:r>
          </w:p>
        </w:tc>
        <w:tc>
          <w:tcPr>
            <w:tcW w:w="462" w:type="pct"/>
            <w:shd w:val="clear" w:color="auto" w:fill="auto"/>
            <w:noWrap/>
            <w:vAlign w:val="bottom"/>
          </w:tcPr>
          <w:p w14:paraId="21714F44" w14:textId="77777777" w:rsidR="00E466CD" w:rsidRPr="006E7AA4" w:rsidRDefault="00E466CD" w:rsidP="005D5B06">
            <w:pPr>
              <w:pStyle w:val="TableCenter"/>
              <w:rPr>
                <w:sz w:val="18"/>
                <w:szCs w:val="18"/>
              </w:rPr>
            </w:pPr>
            <w:r w:rsidRPr="006E7AA4">
              <w:rPr>
                <w:sz w:val="18"/>
                <w:szCs w:val="18"/>
              </w:rPr>
              <w:t>241.7</w:t>
            </w:r>
          </w:p>
        </w:tc>
        <w:tc>
          <w:tcPr>
            <w:tcW w:w="470" w:type="pct"/>
            <w:shd w:val="clear" w:color="auto" w:fill="auto"/>
            <w:noWrap/>
            <w:vAlign w:val="bottom"/>
          </w:tcPr>
          <w:p w14:paraId="12FAA8A4" w14:textId="77777777" w:rsidR="00E466CD" w:rsidRPr="006E7AA4" w:rsidRDefault="00E466CD" w:rsidP="005D5B06">
            <w:pPr>
              <w:pStyle w:val="TableCenter"/>
              <w:rPr>
                <w:sz w:val="18"/>
                <w:szCs w:val="18"/>
              </w:rPr>
            </w:pPr>
            <w:r w:rsidRPr="006E7AA4">
              <w:rPr>
                <w:sz w:val="18"/>
                <w:szCs w:val="18"/>
              </w:rPr>
              <w:t>1.4</w:t>
            </w:r>
          </w:p>
        </w:tc>
      </w:tr>
      <w:tr w:rsidR="00E466CD" w:rsidRPr="006E7AA4" w14:paraId="76E0F3E1" w14:textId="77777777" w:rsidTr="005D5B06">
        <w:trPr>
          <w:trHeight w:val="202"/>
        </w:trPr>
        <w:tc>
          <w:tcPr>
            <w:tcW w:w="736" w:type="pct"/>
            <w:vMerge/>
            <w:shd w:val="clear" w:color="auto" w:fill="auto"/>
            <w:hideMark/>
          </w:tcPr>
          <w:p w14:paraId="4D9A9684" w14:textId="77777777" w:rsidR="00E466CD" w:rsidRPr="008C62D4" w:rsidRDefault="00E466CD" w:rsidP="005D5B06">
            <w:pPr>
              <w:pStyle w:val="TableCenter"/>
            </w:pPr>
          </w:p>
        </w:tc>
        <w:tc>
          <w:tcPr>
            <w:tcW w:w="562" w:type="pct"/>
            <w:shd w:val="clear" w:color="auto" w:fill="auto"/>
            <w:noWrap/>
            <w:hideMark/>
          </w:tcPr>
          <w:p w14:paraId="3E8D1EBE"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w:t>
            </w:r>
          </w:p>
        </w:tc>
        <w:tc>
          <w:tcPr>
            <w:tcW w:w="461" w:type="pct"/>
            <w:shd w:val="clear" w:color="auto" w:fill="auto"/>
            <w:noWrap/>
            <w:vAlign w:val="bottom"/>
          </w:tcPr>
          <w:p w14:paraId="46E1423A" w14:textId="77777777" w:rsidR="00E466CD" w:rsidRPr="006E7AA4" w:rsidRDefault="00E466CD" w:rsidP="005D5B06">
            <w:pPr>
              <w:pStyle w:val="TableCenter"/>
              <w:rPr>
                <w:sz w:val="18"/>
                <w:szCs w:val="18"/>
              </w:rPr>
            </w:pPr>
            <w:r w:rsidRPr="006E7AA4">
              <w:rPr>
                <w:sz w:val="18"/>
                <w:szCs w:val="18"/>
              </w:rPr>
              <w:t>12.3</w:t>
            </w:r>
          </w:p>
        </w:tc>
        <w:tc>
          <w:tcPr>
            <w:tcW w:w="462" w:type="pct"/>
            <w:shd w:val="clear" w:color="auto" w:fill="auto"/>
            <w:noWrap/>
            <w:vAlign w:val="bottom"/>
          </w:tcPr>
          <w:p w14:paraId="4AB697CA" w14:textId="77777777" w:rsidR="00E466CD" w:rsidRPr="006E7AA4" w:rsidRDefault="00E466CD" w:rsidP="005D5B06">
            <w:pPr>
              <w:pStyle w:val="TableCenter"/>
              <w:rPr>
                <w:sz w:val="18"/>
                <w:szCs w:val="18"/>
              </w:rPr>
            </w:pPr>
            <w:r w:rsidRPr="006E7AA4">
              <w:rPr>
                <w:sz w:val="18"/>
                <w:szCs w:val="18"/>
              </w:rPr>
              <w:t>0.3</w:t>
            </w:r>
          </w:p>
        </w:tc>
        <w:tc>
          <w:tcPr>
            <w:tcW w:w="461" w:type="pct"/>
            <w:shd w:val="clear" w:color="auto" w:fill="auto"/>
            <w:noWrap/>
            <w:vAlign w:val="bottom"/>
          </w:tcPr>
          <w:p w14:paraId="59EA0FBA"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036A2944" w14:textId="77777777" w:rsidR="00E466CD" w:rsidRPr="006E7AA4" w:rsidRDefault="00E466CD" w:rsidP="005D5B06">
            <w:pPr>
              <w:pStyle w:val="TableCenter"/>
              <w:rPr>
                <w:sz w:val="18"/>
                <w:szCs w:val="18"/>
              </w:rPr>
            </w:pPr>
            <w:r w:rsidRPr="006E7AA4">
              <w:rPr>
                <w:sz w:val="18"/>
                <w:szCs w:val="18"/>
              </w:rPr>
              <w:t>0.6</w:t>
            </w:r>
          </w:p>
        </w:tc>
        <w:tc>
          <w:tcPr>
            <w:tcW w:w="463" w:type="pct"/>
            <w:shd w:val="clear" w:color="auto" w:fill="auto"/>
            <w:vAlign w:val="bottom"/>
          </w:tcPr>
          <w:p w14:paraId="1ABDCF40"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7EC490E7" w14:textId="77777777" w:rsidR="00E466CD" w:rsidRPr="006E7AA4" w:rsidRDefault="00E466CD" w:rsidP="005D5B06">
            <w:pPr>
              <w:pStyle w:val="TableCenter"/>
              <w:rPr>
                <w:sz w:val="18"/>
                <w:szCs w:val="18"/>
              </w:rPr>
            </w:pPr>
            <w:r w:rsidRPr="006E7AA4">
              <w:rPr>
                <w:sz w:val="18"/>
                <w:szCs w:val="18"/>
              </w:rPr>
              <w:t>1.8</w:t>
            </w:r>
          </w:p>
        </w:tc>
        <w:tc>
          <w:tcPr>
            <w:tcW w:w="462" w:type="pct"/>
            <w:shd w:val="clear" w:color="auto" w:fill="auto"/>
            <w:noWrap/>
            <w:vAlign w:val="bottom"/>
          </w:tcPr>
          <w:p w14:paraId="55F7F922" w14:textId="77777777" w:rsidR="00E466CD" w:rsidRPr="006E7AA4" w:rsidRDefault="00E466CD" w:rsidP="005D5B06">
            <w:pPr>
              <w:pStyle w:val="TableCenter"/>
              <w:rPr>
                <w:sz w:val="18"/>
                <w:szCs w:val="18"/>
              </w:rPr>
            </w:pPr>
            <w:r w:rsidRPr="006E7AA4">
              <w:rPr>
                <w:sz w:val="18"/>
                <w:szCs w:val="18"/>
              </w:rPr>
              <w:t>253.5</w:t>
            </w:r>
          </w:p>
        </w:tc>
        <w:tc>
          <w:tcPr>
            <w:tcW w:w="470" w:type="pct"/>
            <w:shd w:val="clear" w:color="auto" w:fill="auto"/>
            <w:noWrap/>
            <w:vAlign w:val="bottom"/>
          </w:tcPr>
          <w:p w14:paraId="251D7A13" w14:textId="77777777" w:rsidR="00E466CD" w:rsidRPr="006E7AA4" w:rsidRDefault="00E466CD" w:rsidP="005D5B06">
            <w:pPr>
              <w:pStyle w:val="TableCenter"/>
              <w:rPr>
                <w:sz w:val="18"/>
                <w:szCs w:val="18"/>
              </w:rPr>
            </w:pPr>
            <w:r w:rsidRPr="006E7AA4">
              <w:rPr>
                <w:sz w:val="18"/>
                <w:szCs w:val="18"/>
              </w:rPr>
              <w:t>1.4</w:t>
            </w:r>
          </w:p>
        </w:tc>
      </w:tr>
      <w:tr w:rsidR="00E466CD" w:rsidRPr="006E7AA4" w14:paraId="5649D0E7" w14:textId="77777777" w:rsidTr="005D5B06">
        <w:trPr>
          <w:trHeight w:val="202"/>
        </w:trPr>
        <w:tc>
          <w:tcPr>
            <w:tcW w:w="736" w:type="pct"/>
            <w:vMerge/>
            <w:shd w:val="clear" w:color="auto" w:fill="auto"/>
            <w:hideMark/>
          </w:tcPr>
          <w:p w14:paraId="2EF8FBCC" w14:textId="77777777" w:rsidR="00E466CD" w:rsidRPr="008C62D4" w:rsidRDefault="00E466CD" w:rsidP="005D5B06">
            <w:pPr>
              <w:pStyle w:val="TableCenter"/>
            </w:pPr>
          </w:p>
        </w:tc>
        <w:tc>
          <w:tcPr>
            <w:tcW w:w="562" w:type="pct"/>
            <w:shd w:val="clear" w:color="auto" w:fill="auto"/>
            <w:noWrap/>
            <w:hideMark/>
          </w:tcPr>
          <w:p w14:paraId="20E07ABB"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w:t>
            </w:r>
          </w:p>
        </w:tc>
        <w:tc>
          <w:tcPr>
            <w:tcW w:w="461" w:type="pct"/>
            <w:shd w:val="clear" w:color="auto" w:fill="auto"/>
            <w:noWrap/>
            <w:vAlign w:val="bottom"/>
          </w:tcPr>
          <w:p w14:paraId="5ED1258F" w14:textId="77777777" w:rsidR="00E466CD" w:rsidRPr="006E7AA4" w:rsidRDefault="00E466CD" w:rsidP="005D5B06">
            <w:pPr>
              <w:pStyle w:val="TableCenter"/>
              <w:rPr>
                <w:sz w:val="18"/>
                <w:szCs w:val="18"/>
              </w:rPr>
            </w:pPr>
            <w:r w:rsidRPr="006E7AA4">
              <w:rPr>
                <w:sz w:val="18"/>
                <w:szCs w:val="18"/>
              </w:rPr>
              <w:t>13.3</w:t>
            </w:r>
          </w:p>
        </w:tc>
        <w:tc>
          <w:tcPr>
            <w:tcW w:w="462" w:type="pct"/>
            <w:shd w:val="clear" w:color="auto" w:fill="auto"/>
            <w:noWrap/>
            <w:vAlign w:val="bottom"/>
          </w:tcPr>
          <w:p w14:paraId="189ABFAF" w14:textId="77777777" w:rsidR="00E466CD" w:rsidRPr="006E7AA4" w:rsidRDefault="00E466CD" w:rsidP="005D5B06">
            <w:pPr>
              <w:pStyle w:val="TableCenter"/>
              <w:rPr>
                <w:sz w:val="18"/>
                <w:szCs w:val="18"/>
              </w:rPr>
            </w:pPr>
            <w:r w:rsidRPr="006E7AA4">
              <w:rPr>
                <w:sz w:val="18"/>
                <w:szCs w:val="18"/>
              </w:rPr>
              <w:t>0.4</w:t>
            </w:r>
          </w:p>
        </w:tc>
        <w:tc>
          <w:tcPr>
            <w:tcW w:w="461" w:type="pct"/>
            <w:shd w:val="clear" w:color="auto" w:fill="auto"/>
            <w:noWrap/>
            <w:vAlign w:val="bottom"/>
          </w:tcPr>
          <w:p w14:paraId="03B86329" w14:textId="77777777" w:rsidR="00E466CD" w:rsidRPr="006E7AA4" w:rsidRDefault="00E466CD" w:rsidP="005D5B06">
            <w:pPr>
              <w:pStyle w:val="TableCenter"/>
              <w:rPr>
                <w:sz w:val="18"/>
                <w:szCs w:val="18"/>
              </w:rPr>
            </w:pPr>
            <w:r w:rsidRPr="006E7AA4">
              <w:rPr>
                <w:sz w:val="18"/>
                <w:szCs w:val="18"/>
              </w:rPr>
              <w:t>0.3</w:t>
            </w:r>
          </w:p>
        </w:tc>
        <w:tc>
          <w:tcPr>
            <w:tcW w:w="461" w:type="pct"/>
            <w:shd w:val="clear" w:color="auto" w:fill="auto"/>
            <w:noWrap/>
            <w:vAlign w:val="bottom"/>
          </w:tcPr>
          <w:p w14:paraId="53C0D36A" w14:textId="77777777" w:rsidR="00E466CD" w:rsidRPr="006E7AA4" w:rsidRDefault="00E466CD" w:rsidP="005D5B06">
            <w:pPr>
              <w:pStyle w:val="TableCenter"/>
              <w:rPr>
                <w:sz w:val="18"/>
                <w:szCs w:val="18"/>
              </w:rPr>
            </w:pPr>
            <w:r w:rsidRPr="006E7AA4">
              <w:rPr>
                <w:sz w:val="18"/>
                <w:szCs w:val="18"/>
              </w:rPr>
              <w:t>0.5</w:t>
            </w:r>
          </w:p>
        </w:tc>
        <w:tc>
          <w:tcPr>
            <w:tcW w:w="463" w:type="pct"/>
            <w:shd w:val="clear" w:color="auto" w:fill="auto"/>
            <w:vAlign w:val="bottom"/>
          </w:tcPr>
          <w:p w14:paraId="277B7A34"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470BD78F" w14:textId="77777777" w:rsidR="00E466CD" w:rsidRPr="006E7AA4" w:rsidRDefault="00E466CD" w:rsidP="005D5B06">
            <w:pPr>
              <w:pStyle w:val="TableCenter"/>
              <w:rPr>
                <w:sz w:val="18"/>
                <w:szCs w:val="18"/>
              </w:rPr>
            </w:pPr>
            <w:r w:rsidRPr="006E7AA4">
              <w:rPr>
                <w:sz w:val="18"/>
                <w:szCs w:val="18"/>
              </w:rPr>
              <w:t>2.1</w:t>
            </w:r>
          </w:p>
        </w:tc>
        <w:tc>
          <w:tcPr>
            <w:tcW w:w="462" w:type="pct"/>
            <w:shd w:val="clear" w:color="auto" w:fill="auto"/>
            <w:noWrap/>
            <w:vAlign w:val="bottom"/>
          </w:tcPr>
          <w:p w14:paraId="2C596B68" w14:textId="77777777" w:rsidR="00E466CD" w:rsidRPr="006E7AA4" w:rsidRDefault="00E466CD" w:rsidP="005D5B06">
            <w:pPr>
              <w:pStyle w:val="TableCenter"/>
              <w:rPr>
                <w:sz w:val="18"/>
                <w:szCs w:val="18"/>
              </w:rPr>
            </w:pPr>
            <w:r w:rsidRPr="006E7AA4">
              <w:rPr>
                <w:sz w:val="18"/>
                <w:szCs w:val="18"/>
              </w:rPr>
              <w:t>230.2</w:t>
            </w:r>
          </w:p>
        </w:tc>
        <w:tc>
          <w:tcPr>
            <w:tcW w:w="470" w:type="pct"/>
            <w:shd w:val="clear" w:color="auto" w:fill="auto"/>
            <w:noWrap/>
            <w:vAlign w:val="bottom"/>
          </w:tcPr>
          <w:p w14:paraId="7D7A422E" w14:textId="77777777" w:rsidR="00E466CD" w:rsidRPr="006E7AA4" w:rsidRDefault="00E466CD" w:rsidP="005D5B06">
            <w:pPr>
              <w:pStyle w:val="TableCenter"/>
              <w:rPr>
                <w:sz w:val="18"/>
                <w:szCs w:val="18"/>
              </w:rPr>
            </w:pPr>
            <w:r w:rsidRPr="006E7AA4">
              <w:rPr>
                <w:sz w:val="18"/>
                <w:szCs w:val="18"/>
              </w:rPr>
              <w:t>1.6</w:t>
            </w:r>
          </w:p>
        </w:tc>
      </w:tr>
      <w:tr w:rsidR="00E466CD" w:rsidRPr="006E7AA4" w14:paraId="0C47F02D" w14:textId="77777777" w:rsidTr="005D5B06">
        <w:trPr>
          <w:trHeight w:val="202"/>
        </w:trPr>
        <w:tc>
          <w:tcPr>
            <w:tcW w:w="736" w:type="pct"/>
            <w:vMerge/>
            <w:shd w:val="clear" w:color="auto" w:fill="auto"/>
            <w:hideMark/>
          </w:tcPr>
          <w:p w14:paraId="68E000DD" w14:textId="77777777" w:rsidR="00E466CD" w:rsidRPr="008C62D4" w:rsidRDefault="00E466CD" w:rsidP="005D5B06">
            <w:pPr>
              <w:pStyle w:val="TableCenter"/>
            </w:pPr>
          </w:p>
        </w:tc>
        <w:tc>
          <w:tcPr>
            <w:tcW w:w="562" w:type="pct"/>
            <w:shd w:val="clear" w:color="auto" w:fill="auto"/>
            <w:noWrap/>
            <w:hideMark/>
          </w:tcPr>
          <w:p w14:paraId="748DFB0B"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100</w:t>
            </w:r>
          </w:p>
        </w:tc>
        <w:tc>
          <w:tcPr>
            <w:tcW w:w="461" w:type="pct"/>
            <w:shd w:val="clear" w:color="auto" w:fill="auto"/>
            <w:noWrap/>
            <w:vAlign w:val="bottom"/>
          </w:tcPr>
          <w:p w14:paraId="05E4D042" w14:textId="77777777" w:rsidR="00E466CD" w:rsidRPr="006E7AA4" w:rsidRDefault="00E466CD" w:rsidP="005D5B06">
            <w:pPr>
              <w:pStyle w:val="TableCenter"/>
              <w:rPr>
                <w:sz w:val="18"/>
                <w:szCs w:val="18"/>
              </w:rPr>
            </w:pPr>
            <w:r w:rsidRPr="006E7AA4">
              <w:rPr>
                <w:sz w:val="18"/>
                <w:szCs w:val="18"/>
              </w:rPr>
              <w:t>12.0</w:t>
            </w:r>
          </w:p>
        </w:tc>
        <w:tc>
          <w:tcPr>
            <w:tcW w:w="462" w:type="pct"/>
            <w:shd w:val="clear" w:color="auto" w:fill="auto"/>
            <w:noWrap/>
            <w:vAlign w:val="bottom"/>
          </w:tcPr>
          <w:p w14:paraId="36161FD0" w14:textId="77777777" w:rsidR="00E466CD" w:rsidRPr="006E7AA4" w:rsidRDefault="00E466CD" w:rsidP="005D5B06">
            <w:pPr>
              <w:pStyle w:val="TableCenter"/>
              <w:rPr>
                <w:sz w:val="18"/>
                <w:szCs w:val="18"/>
              </w:rPr>
            </w:pPr>
            <w:r w:rsidRPr="006E7AA4">
              <w:rPr>
                <w:sz w:val="18"/>
                <w:szCs w:val="18"/>
              </w:rPr>
              <w:t>0.3</w:t>
            </w:r>
          </w:p>
        </w:tc>
        <w:tc>
          <w:tcPr>
            <w:tcW w:w="461" w:type="pct"/>
            <w:shd w:val="clear" w:color="auto" w:fill="auto"/>
            <w:noWrap/>
            <w:vAlign w:val="bottom"/>
          </w:tcPr>
          <w:p w14:paraId="09CF2C02" w14:textId="77777777" w:rsidR="00E466CD" w:rsidRPr="006E7AA4" w:rsidRDefault="00E466CD" w:rsidP="005D5B06">
            <w:pPr>
              <w:pStyle w:val="TableCenter"/>
              <w:rPr>
                <w:sz w:val="18"/>
                <w:szCs w:val="18"/>
              </w:rPr>
            </w:pPr>
            <w:r w:rsidRPr="006E7AA4">
              <w:rPr>
                <w:sz w:val="18"/>
                <w:szCs w:val="18"/>
              </w:rPr>
              <w:t>0.3</w:t>
            </w:r>
          </w:p>
        </w:tc>
        <w:tc>
          <w:tcPr>
            <w:tcW w:w="461" w:type="pct"/>
            <w:shd w:val="clear" w:color="auto" w:fill="auto"/>
            <w:noWrap/>
            <w:vAlign w:val="bottom"/>
          </w:tcPr>
          <w:p w14:paraId="6BD7FA1A" w14:textId="77777777" w:rsidR="00E466CD" w:rsidRPr="006E7AA4" w:rsidRDefault="00E466CD" w:rsidP="005D5B06">
            <w:pPr>
              <w:pStyle w:val="TableCenter"/>
              <w:rPr>
                <w:sz w:val="18"/>
                <w:szCs w:val="18"/>
              </w:rPr>
            </w:pPr>
            <w:r w:rsidRPr="006E7AA4">
              <w:rPr>
                <w:sz w:val="18"/>
                <w:szCs w:val="18"/>
              </w:rPr>
              <w:t>0.4</w:t>
            </w:r>
          </w:p>
        </w:tc>
        <w:tc>
          <w:tcPr>
            <w:tcW w:w="463" w:type="pct"/>
            <w:shd w:val="clear" w:color="auto" w:fill="auto"/>
            <w:vAlign w:val="bottom"/>
          </w:tcPr>
          <w:p w14:paraId="57A2AC2F"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16B460EB" w14:textId="77777777" w:rsidR="00E466CD" w:rsidRPr="006E7AA4" w:rsidRDefault="00E466CD" w:rsidP="005D5B06">
            <w:pPr>
              <w:pStyle w:val="TableCenter"/>
              <w:rPr>
                <w:sz w:val="18"/>
                <w:szCs w:val="18"/>
              </w:rPr>
            </w:pPr>
            <w:r w:rsidRPr="006E7AA4">
              <w:rPr>
                <w:sz w:val="18"/>
                <w:szCs w:val="18"/>
              </w:rPr>
              <w:t>1.6</w:t>
            </w:r>
          </w:p>
        </w:tc>
        <w:tc>
          <w:tcPr>
            <w:tcW w:w="462" w:type="pct"/>
            <w:shd w:val="clear" w:color="auto" w:fill="auto"/>
            <w:noWrap/>
            <w:vAlign w:val="bottom"/>
          </w:tcPr>
          <w:p w14:paraId="20F6C2AF" w14:textId="77777777" w:rsidR="00E466CD" w:rsidRPr="006E7AA4" w:rsidRDefault="00E466CD" w:rsidP="005D5B06">
            <w:pPr>
              <w:pStyle w:val="TableCenter"/>
              <w:rPr>
                <w:sz w:val="18"/>
                <w:szCs w:val="18"/>
              </w:rPr>
            </w:pPr>
            <w:r w:rsidRPr="006E7AA4">
              <w:rPr>
                <w:sz w:val="18"/>
                <w:szCs w:val="18"/>
              </w:rPr>
              <w:t>174.1</w:t>
            </w:r>
          </w:p>
        </w:tc>
        <w:tc>
          <w:tcPr>
            <w:tcW w:w="470" w:type="pct"/>
            <w:shd w:val="clear" w:color="auto" w:fill="auto"/>
            <w:noWrap/>
            <w:vAlign w:val="bottom"/>
          </w:tcPr>
          <w:p w14:paraId="3597669A" w14:textId="77777777" w:rsidR="00E466CD" w:rsidRPr="006E7AA4" w:rsidRDefault="00E466CD" w:rsidP="005D5B06">
            <w:pPr>
              <w:pStyle w:val="TableCenter"/>
              <w:rPr>
                <w:sz w:val="18"/>
                <w:szCs w:val="18"/>
              </w:rPr>
            </w:pPr>
            <w:r w:rsidRPr="006E7AA4">
              <w:rPr>
                <w:sz w:val="18"/>
                <w:szCs w:val="18"/>
              </w:rPr>
              <w:t>1.3</w:t>
            </w:r>
          </w:p>
        </w:tc>
      </w:tr>
      <w:tr w:rsidR="00E466CD" w:rsidRPr="006E7AA4" w14:paraId="18B244F7" w14:textId="77777777" w:rsidTr="005D5B06">
        <w:trPr>
          <w:trHeight w:val="202"/>
        </w:trPr>
        <w:tc>
          <w:tcPr>
            <w:tcW w:w="736" w:type="pct"/>
            <w:vMerge/>
            <w:shd w:val="clear" w:color="auto" w:fill="auto"/>
            <w:hideMark/>
          </w:tcPr>
          <w:p w14:paraId="3ED593BD" w14:textId="77777777" w:rsidR="00E466CD" w:rsidRPr="008C62D4" w:rsidRDefault="00E466CD" w:rsidP="005D5B06">
            <w:pPr>
              <w:pStyle w:val="TableCenter"/>
            </w:pPr>
          </w:p>
        </w:tc>
        <w:tc>
          <w:tcPr>
            <w:tcW w:w="562" w:type="pct"/>
            <w:shd w:val="clear" w:color="auto" w:fill="auto"/>
            <w:noWrap/>
            <w:hideMark/>
          </w:tcPr>
          <w:p w14:paraId="229185A4" w14:textId="77777777" w:rsidR="00E466CD" w:rsidRPr="008C62D4" w:rsidRDefault="00E466CD" w:rsidP="005D5B06">
            <w:pPr>
              <w:pStyle w:val="TableLeft"/>
              <w:jc w:val="center"/>
              <w:rPr>
                <w:rFonts w:cs="Times New Roman"/>
                <w:sz w:val="18"/>
                <w:szCs w:val="18"/>
              </w:rPr>
            </w:pPr>
            <w:r w:rsidRPr="008C62D4">
              <w:rPr>
                <w:rFonts w:cs="Times New Roman"/>
                <w:sz w:val="18"/>
                <w:szCs w:val="18"/>
              </w:rPr>
              <w:t>1000</w:t>
            </w:r>
          </w:p>
        </w:tc>
        <w:tc>
          <w:tcPr>
            <w:tcW w:w="461" w:type="pct"/>
            <w:shd w:val="clear" w:color="auto" w:fill="auto"/>
            <w:noWrap/>
            <w:vAlign w:val="bottom"/>
          </w:tcPr>
          <w:p w14:paraId="43C09F19" w14:textId="77777777" w:rsidR="00E466CD" w:rsidRPr="006E7AA4" w:rsidRDefault="00E466CD" w:rsidP="005D5B06">
            <w:pPr>
              <w:pStyle w:val="TableCenter"/>
              <w:rPr>
                <w:sz w:val="18"/>
                <w:szCs w:val="18"/>
              </w:rPr>
            </w:pPr>
            <w:r w:rsidRPr="006E7AA4">
              <w:rPr>
                <w:sz w:val="18"/>
                <w:szCs w:val="18"/>
              </w:rPr>
              <w:t>8.3</w:t>
            </w:r>
          </w:p>
        </w:tc>
        <w:tc>
          <w:tcPr>
            <w:tcW w:w="462" w:type="pct"/>
            <w:shd w:val="clear" w:color="auto" w:fill="auto"/>
            <w:noWrap/>
            <w:vAlign w:val="bottom"/>
          </w:tcPr>
          <w:p w14:paraId="4FA4569A"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6E9B2796" w14:textId="77777777" w:rsidR="00E466CD" w:rsidRPr="006E7AA4" w:rsidRDefault="00E466CD" w:rsidP="005D5B06">
            <w:pPr>
              <w:pStyle w:val="TableCenter"/>
              <w:rPr>
                <w:sz w:val="18"/>
                <w:szCs w:val="18"/>
              </w:rPr>
            </w:pPr>
            <w:r w:rsidRPr="006E7AA4">
              <w:rPr>
                <w:sz w:val="18"/>
                <w:szCs w:val="18"/>
              </w:rPr>
              <w:t>0.2</w:t>
            </w:r>
          </w:p>
        </w:tc>
        <w:tc>
          <w:tcPr>
            <w:tcW w:w="461" w:type="pct"/>
            <w:shd w:val="clear" w:color="auto" w:fill="auto"/>
            <w:noWrap/>
            <w:vAlign w:val="bottom"/>
          </w:tcPr>
          <w:p w14:paraId="514A96EF" w14:textId="77777777" w:rsidR="00E466CD" w:rsidRPr="006E7AA4" w:rsidRDefault="00E466CD" w:rsidP="005D5B06">
            <w:pPr>
              <w:pStyle w:val="TableCenter"/>
              <w:rPr>
                <w:sz w:val="18"/>
                <w:szCs w:val="18"/>
              </w:rPr>
            </w:pPr>
            <w:r w:rsidRPr="006E7AA4">
              <w:rPr>
                <w:sz w:val="18"/>
                <w:szCs w:val="18"/>
              </w:rPr>
              <w:t>0.3</w:t>
            </w:r>
          </w:p>
        </w:tc>
        <w:tc>
          <w:tcPr>
            <w:tcW w:w="463" w:type="pct"/>
            <w:shd w:val="clear" w:color="auto" w:fill="auto"/>
            <w:vAlign w:val="bottom"/>
          </w:tcPr>
          <w:p w14:paraId="358D28F7" w14:textId="77777777" w:rsidR="00E466CD" w:rsidRPr="006E7AA4" w:rsidRDefault="00E466CD" w:rsidP="005D5B06">
            <w:pPr>
              <w:pStyle w:val="TableCenter"/>
              <w:rPr>
                <w:sz w:val="18"/>
                <w:szCs w:val="18"/>
              </w:rPr>
            </w:pPr>
            <w:r w:rsidRPr="006E7AA4">
              <w:rPr>
                <w:sz w:val="18"/>
                <w:szCs w:val="18"/>
              </w:rPr>
              <w:t>0.7</w:t>
            </w:r>
          </w:p>
        </w:tc>
        <w:tc>
          <w:tcPr>
            <w:tcW w:w="463" w:type="pct"/>
            <w:shd w:val="clear" w:color="auto" w:fill="auto"/>
            <w:noWrap/>
            <w:vAlign w:val="bottom"/>
          </w:tcPr>
          <w:p w14:paraId="036952EB" w14:textId="77777777" w:rsidR="00E466CD" w:rsidRPr="006E7AA4" w:rsidRDefault="00E466CD" w:rsidP="005D5B06">
            <w:pPr>
              <w:pStyle w:val="TableCenter"/>
              <w:rPr>
                <w:sz w:val="18"/>
                <w:szCs w:val="18"/>
              </w:rPr>
            </w:pPr>
            <w:r w:rsidRPr="006E7AA4">
              <w:rPr>
                <w:sz w:val="18"/>
                <w:szCs w:val="18"/>
              </w:rPr>
              <w:t>1.3</w:t>
            </w:r>
          </w:p>
        </w:tc>
        <w:tc>
          <w:tcPr>
            <w:tcW w:w="462" w:type="pct"/>
            <w:shd w:val="clear" w:color="auto" w:fill="auto"/>
            <w:noWrap/>
            <w:vAlign w:val="bottom"/>
          </w:tcPr>
          <w:p w14:paraId="7A9EA3E9" w14:textId="77777777" w:rsidR="00E466CD" w:rsidRPr="006E7AA4" w:rsidRDefault="00E466CD" w:rsidP="005D5B06">
            <w:pPr>
              <w:pStyle w:val="TableCenter"/>
              <w:rPr>
                <w:sz w:val="18"/>
                <w:szCs w:val="18"/>
              </w:rPr>
            </w:pPr>
            <w:r w:rsidRPr="006E7AA4">
              <w:rPr>
                <w:sz w:val="18"/>
                <w:szCs w:val="18"/>
              </w:rPr>
              <w:t>128.5</w:t>
            </w:r>
          </w:p>
        </w:tc>
        <w:tc>
          <w:tcPr>
            <w:tcW w:w="470" w:type="pct"/>
            <w:shd w:val="clear" w:color="auto" w:fill="auto"/>
            <w:noWrap/>
            <w:vAlign w:val="bottom"/>
          </w:tcPr>
          <w:p w14:paraId="330317BC" w14:textId="77777777" w:rsidR="00E466CD" w:rsidRPr="006E7AA4" w:rsidRDefault="00E466CD" w:rsidP="005D5B06">
            <w:pPr>
              <w:pStyle w:val="TableCenter"/>
              <w:rPr>
                <w:sz w:val="18"/>
                <w:szCs w:val="18"/>
              </w:rPr>
            </w:pPr>
            <w:r w:rsidRPr="006E7AA4">
              <w:rPr>
                <w:sz w:val="18"/>
                <w:szCs w:val="18"/>
              </w:rPr>
              <w:t>0.9</w:t>
            </w:r>
          </w:p>
        </w:tc>
      </w:tr>
      <w:tr w:rsidR="00E466CD" w:rsidRPr="006B7A77" w14:paraId="1C4B2178" w14:textId="77777777" w:rsidTr="005D5B06">
        <w:trPr>
          <w:trHeight w:val="202"/>
        </w:trPr>
        <w:tc>
          <w:tcPr>
            <w:tcW w:w="5000" w:type="pct"/>
            <w:gridSpan w:val="10"/>
            <w:tcBorders>
              <w:top w:val="single" w:sz="4" w:space="0" w:color="auto"/>
              <w:left w:val="nil"/>
              <w:bottom w:val="nil"/>
              <w:right w:val="nil"/>
            </w:tcBorders>
          </w:tcPr>
          <w:p w14:paraId="0A0C7E04" w14:textId="77777777" w:rsidR="00E466CD" w:rsidRPr="006B7A77" w:rsidRDefault="00E466CD" w:rsidP="005D5B06">
            <w:pPr>
              <w:pStyle w:val="TableLeft"/>
              <w:rPr>
                <w:rFonts w:cs="Times New Roman"/>
                <w:sz w:val="18"/>
                <w:szCs w:val="18"/>
              </w:rPr>
            </w:pPr>
            <w:r w:rsidRPr="006B7A77">
              <w:rPr>
                <w:sz w:val="18"/>
                <w:szCs w:val="18"/>
              </w:rPr>
              <w:t>Phosphate-buffered saline was diluted into blood at a concentration equivalent in volume to the amount of other monoclonal antibody additions.</w:t>
            </w:r>
            <w:r w:rsidRPr="006B7A77">
              <w:rPr>
                <w:sz w:val="18"/>
                <w:szCs w:val="18"/>
              </w:rPr>
              <w:br/>
            </w:r>
            <w:r>
              <w:rPr>
                <w:sz w:val="18"/>
                <w:szCs w:val="18"/>
              </w:rPr>
              <w:t>D</w:t>
            </w:r>
            <w:r w:rsidRPr="006B7A77">
              <w:rPr>
                <w:sz w:val="18"/>
                <w:szCs w:val="18"/>
              </w:rPr>
              <w:t xml:space="preserve">PBS = </w:t>
            </w:r>
            <w:r>
              <w:rPr>
                <w:sz w:val="18"/>
                <w:szCs w:val="18"/>
              </w:rPr>
              <w:t xml:space="preserve">Dulbecco’s </w:t>
            </w:r>
            <w:r w:rsidRPr="006B7A77">
              <w:rPr>
                <w:sz w:val="18"/>
                <w:szCs w:val="18"/>
              </w:rPr>
              <w:t>phosphate-buffered saline; IFNγ = interferon gamma; IL = interleukin; TNF-α = tumor necrosis factor alpha.</w:t>
            </w:r>
          </w:p>
        </w:tc>
      </w:tr>
    </w:tbl>
    <w:p w14:paraId="094FAD0C" w14:textId="77777777" w:rsidR="00E466CD" w:rsidRDefault="00E466CD" w:rsidP="00E466CD">
      <w:pPr>
        <w:pStyle w:val="Paragraph"/>
      </w:pPr>
    </w:p>
    <w:p w14:paraId="60BA1D3C" w14:textId="1912D0E6" w:rsidR="00DF4872" w:rsidRDefault="00DF4872">
      <w:pPr>
        <w:rPr>
          <w:rFonts w:ascii="Times New Roman" w:eastAsia="MS Gothic" w:hAnsi="Times New Roman" w:cs="Times New Roman"/>
          <w:sz w:val="24"/>
          <w:szCs w:val="24"/>
        </w:rPr>
      </w:pPr>
      <w:r>
        <w:br w:type="page"/>
      </w:r>
    </w:p>
    <w:p w14:paraId="01E4CF1E" w14:textId="77777777" w:rsidR="00DF4872" w:rsidRDefault="00DF4872" w:rsidP="00FF5CDE">
      <w:pPr>
        <w:pStyle w:val="Paragraph"/>
        <w:jc w:val="both"/>
      </w:pPr>
    </w:p>
    <w:p w14:paraId="5F0066EE" w14:textId="1F01E09A" w:rsidR="00DF4872" w:rsidRPr="00323456" w:rsidRDefault="00F33BF6" w:rsidP="00B16FAE">
      <w:pPr>
        <w:pStyle w:val="TableEndofTextTitle"/>
        <w:tabs>
          <w:tab w:val="clear" w:pos="1440"/>
          <w:tab w:val="left" w:pos="2880"/>
        </w:tabs>
        <w:ind w:left="2880" w:hanging="2880"/>
      </w:pPr>
      <w:bookmarkStart w:id="9" w:name="_ITBT_TABLE_S3_SUMMARY_OF_TK_PARAMET_1"/>
      <w:r>
        <w:t xml:space="preserve">Supplementary </w:t>
      </w:r>
      <w:r w:rsidR="00A01090">
        <w:t xml:space="preserve">Data </w:t>
      </w:r>
      <w:r w:rsidR="00DF4872">
        <w:t xml:space="preserve">Table S3 </w:t>
      </w:r>
      <w:r w:rsidR="00DF4872">
        <w:tab/>
        <w:t>Summary of TK Parameters Following Once Every Other Week Repeat Pembrolizumab Dose via IV in Cynomolgus Monkeys (6-month study)</w:t>
      </w:r>
    </w:p>
    <w:bookmarkEnd w:id="9"/>
    <w:p w14:paraId="2D799406" w14:textId="77777777" w:rsidR="00DF4872" w:rsidRPr="00B24E61" w:rsidRDefault="00DF4872" w:rsidP="00DF4872">
      <w:pPr>
        <w:pStyle w:val="ListEnd"/>
        <w:rPr>
          <w:rFonts w:eastAsiaTheme="minorEastAsia"/>
          <w:lang w:eastAsia="zh-CN"/>
        </w:rPr>
      </w:pPr>
    </w:p>
    <w:tbl>
      <w:tblPr>
        <w:tblStyle w:val="TableGrid10"/>
        <w:tblW w:w="0" w:type="auto"/>
        <w:tblInd w:w="108" w:type="dxa"/>
        <w:tblLayout w:type="fixed"/>
        <w:tblLook w:val="04A0" w:firstRow="1" w:lastRow="0" w:firstColumn="1" w:lastColumn="0" w:noHBand="0" w:noVBand="1"/>
      </w:tblPr>
      <w:tblGrid>
        <w:gridCol w:w="1350"/>
        <w:gridCol w:w="862"/>
        <w:gridCol w:w="862"/>
        <w:gridCol w:w="862"/>
        <w:gridCol w:w="862"/>
        <w:gridCol w:w="862"/>
        <w:gridCol w:w="862"/>
        <w:gridCol w:w="862"/>
        <w:gridCol w:w="862"/>
        <w:gridCol w:w="862"/>
      </w:tblGrid>
      <w:tr w:rsidR="00DF4872" w:rsidRPr="004F2BAA" w14:paraId="3CDEF523" w14:textId="77777777" w:rsidTr="00472973">
        <w:trPr>
          <w:trHeight w:val="284"/>
        </w:trPr>
        <w:tc>
          <w:tcPr>
            <w:tcW w:w="1350" w:type="dxa"/>
            <w:tcBorders>
              <w:top w:val="single" w:sz="4" w:space="0" w:color="auto"/>
              <w:left w:val="single" w:sz="4" w:space="0" w:color="auto"/>
              <w:bottom w:val="single" w:sz="4" w:space="0" w:color="auto"/>
              <w:right w:val="single" w:sz="4" w:space="0" w:color="auto"/>
            </w:tcBorders>
            <w:vAlign w:val="bottom"/>
          </w:tcPr>
          <w:p w14:paraId="2C3082AC" w14:textId="77777777" w:rsidR="00DF4872" w:rsidRPr="00897AAF" w:rsidRDefault="00DF4872" w:rsidP="00472973">
            <w:pPr>
              <w:keepNext/>
              <w:spacing w:before="60"/>
              <w:jc w:val="center"/>
              <w:rPr>
                <w:rFonts w:ascii="Times New Roman" w:hAnsi="Times New Roman" w:cs="Times New Roman"/>
                <w:b/>
                <w:sz w:val="18"/>
                <w:szCs w:val="18"/>
              </w:rPr>
            </w:pPr>
            <w:r w:rsidRPr="00897AAF">
              <w:rPr>
                <w:rFonts w:ascii="Times New Roman" w:hAnsi="Times New Roman" w:cs="Times New Roman"/>
                <w:b/>
                <w:sz w:val="18"/>
                <w:szCs w:val="18"/>
              </w:rPr>
              <w:t>Dosing day (number of doses)</w:t>
            </w:r>
          </w:p>
        </w:tc>
        <w:tc>
          <w:tcPr>
            <w:tcW w:w="2586" w:type="dxa"/>
            <w:gridSpan w:val="3"/>
            <w:tcBorders>
              <w:top w:val="single" w:sz="4" w:space="0" w:color="auto"/>
              <w:left w:val="single" w:sz="4" w:space="0" w:color="auto"/>
              <w:bottom w:val="single" w:sz="4" w:space="0" w:color="auto"/>
              <w:right w:val="single" w:sz="4" w:space="0" w:color="auto"/>
            </w:tcBorders>
            <w:vAlign w:val="bottom"/>
          </w:tcPr>
          <w:p w14:paraId="5C11C7D1" w14:textId="77777777" w:rsidR="00DF4872" w:rsidRPr="00897AAF" w:rsidRDefault="00DF4872" w:rsidP="00472973">
            <w:pPr>
              <w:keepNext/>
              <w:spacing w:before="60"/>
              <w:jc w:val="center"/>
              <w:rPr>
                <w:rFonts w:ascii="Times New Roman" w:hAnsi="Times New Roman" w:cs="Times New Roman"/>
                <w:b/>
                <w:sz w:val="18"/>
                <w:szCs w:val="18"/>
              </w:rPr>
            </w:pPr>
            <w:r w:rsidRPr="00897AAF">
              <w:rPr>
                <w:rFonts w:ascii="Times New Roman" w:hAnsi="Times New Roman" w:cs="Times New Roman"/>
                <w:b/>
                <w:sz w:val="18"/>
                <w:szCs w:val="18"/>
              </w:rPr>
              <w:t>Day 1 (1)</w:t>
            </w:r>
          </w:p>
        </w:tc>
        <w:tc>
          <w:tcPr>
            <w:tcW w:w="2586" w:type="dxa"/>
            <w:gridSpan w:val="3"/>
            <w:tcBorders>
              <w:top w:val="single" w:sz="4" w:space="0" w:color="auto"/>
              <w:left w:val="single" w:sz="4" w:space="0" w:color="auto"/>
              <w:bottom w:val="single" w:sz="4" w:space="0" w:color="auto"/>
              <w:right w:val="single" w:sz="4" w:space="0" w:color="auto"/>
            </w:tcBorders>
            <w:vAlign w:val="bottom"/>
          </w:tcPr>
          <w:p w14:paraId="312B73C5" w14:textId="77777777" w:rsidR="00DF4872" w:rsidRPr="00897AAF" w:rsidRDefault="00DF4872" w:rsidP="00472973">
            <w:pPr>
              <w:keepNext/>
              <w:spacing w:before="60"/>
              <w:jc w:val="center"/>
              <w:rPr>
                <w:rFonts w:ascii="Times New Roman" w:hAnsi="Times New Roman" w:cs="Times New Roman"/>
                <w:b/>
                <w:sz w:val="18"/>
                <w:szCs w:val="18"/>
              </w:rPr>
            </w:pPr>
            <w:r w:rsidRPr="00897AAF">
              <w:rPr>
                <w:rFonts w:ascii="Times New Roman" w:hAnsi="Times New Roman" w:cs="Times New Roman"/>
                <w:b/>
                <w:sz w:val="18"/>
                <w:szCs w:val="18"/>
              </w:rPr>
              <w:t>Day 71 (6)</w:t>
            </w:r>
          </w:p>
        </w:tc>
        <w:tc>
          <w:tcPr>
            <w:tcW w:w="2586" w:type="dxa"/>
            <w:gridSpan w:val="3"/>
            <w:tcBorders>
              <w:top w:val="single" w:sz="4" w:space="0" w:color="auto"/>
              <w:left w:val="single" w:sz="4" w:space="0" w:color="auto"/>
              <w:bottom w:val="single" w:sz="4" w:space="0" w:color="auto"/>
              <w:right w:val="single" w:sz="4" w:space="0" w:color="auto"/>
            </w:tcBorders>
            <w:vAlign w:val="bottom"/>
          </w:tcPr>
          <w:p w14:paraId="6B05140C" w14:textId="77777777" w:rsidR="00DF4872" w:rsidRPr="00897AAF" w:rsidRDefault="00DF4872" w:rsidP="00472973">
            <w:pPr>
              <w:keepNext/>
              <w:spacing w:before="60"/>
              <w:jc w:val="center"/>
              <w:rPr>
                <w:rFonts w:ascii="Times New Roman" w:hAnsi="Times New Roman" w:cs="Times New Roman"/>
                <w:b/>
                <w:sz w:val="18"/>
                <w:szCs w:val="18"/>
              </w:rPr>
            </w:pPr>
            <w:r w:rsidRPr="00897AAF">
              <w:rPr>
                <w:rFonts w:ascii="Times New Roman" w:hAnsi="Times New Roman" w:cs="Times New Roman"/>
                <w:b/>
                <w:sz w:val="18"/>
                <w:szCs w:val="18"/>
              </w:rPr>
              <w:t>Day 141 (11)</w:t>
            </w:r>
          </w:p>
        </w:tc>
      </w:tr>
      <w:tr w:rsidR="00DF4872" w:rsidRPr="004F2BAA" w14:paraId="77DDD8F5" w14:textId="77777777" w:rsidTr="00472973">
        <w:trPr>
          <w:trHeight w:val="304"/>
        </w:trPr>
        <w:tc>
          <w:tcPr>
            <w:tcW w:w="1350" w:type="dxa"/>
            <w:tcBorders>
              <w:top w:val="single" w:sz="4" w:space="0" w:color="auto"/>
              <w:left w:val="single" w:sz="4" w:space="0" w:color="auto"/>
              <w:bottom w:val="single" w:sz="4" w:space="0" w:color="auto"/>
              <w:right w:val="single" w:sz="4" w:space="0" w:color="auto"/>
            </w:tcBorders>
            <w:vAlign w:val="center"/>
          </w:tcPr>
          <w:p w14:paraId="506F2564" w14:textId="77777777" w:rsidR="00DF4872" w:rsidRPr="00897AAF" w:rsidRDefault="00DF4872" w:rsidP="00472973">
            <w:pPr>
              <w:spacing w:before="60"/>
              <w:rPr>
                <w:rFonts w:ascii="Times New Roman" w:hAnsi="Times New Roman" w:cs="Times New Roman"/>
                <w:sz w:val="18"/>
                <w:szCs w:val="18"/>
              </w:rPr>
            </w:pPr>
            <w:r w:rsidRPr="00897AAF">
              <w:rPr>
                <w:rFonts w:ascii="Times New Roman" w:hAnsi="Times New Roman" w:cs="Times New Roman"/>
                <w:sz w:val="18"/>
                <w:szCs w:val="18"/>
              </w:rPr>
              <w:t xml:space="preserve">Dose </w:t>
            </w:r>
            <w:r w:rsidRPr="00897AAF">
              <w:rPr>
                <w:rFonts w:ascii="Times New Roman" w:hAnsi="Times New Roman" w:cs="Times New Roman"/>
                <w:sz w:val="18"/>
                <w:szCs w:val="18"/>
                <w:vertAlign w:val="superscript"/>
              </w:rPr>
              <w:t>a</w:t>
            </w:r>
            <w:r w:rsidRPr="00897AAF">
              <w:rPr>
                <w:rFonts w:ascii="Times New Roman" w:hAnsi="Times New Roman" w:cs="Times New Roman"/>
                <w:sz w:val="18"/>
                <w:szCs w:val="18"/>
              </w:rPr>
              <w:t xml:space="preserve"> (mg/kg)</w:t>
            </w:r>
          </w:p>
        </w:tc>
        <w:tc>
          <w:tcPr>
            <w:tcW w:w="862" w:type="dxa"/>
            <w:tcBorders>
              <w:top w:val="single" w:sz="4" w:space="0" w:color="auto"/>
              <w:left w:val="single" w:sz="4" w:space="0" w:color="auto"/>
              <w:bottom w:val="single" w:sz="4" w:space="0" w:color="auto"/>
              <w:right w:val="single" w:sz="4" w:space="0" w:color="auto"/>
            </w:tcBorders>
            <w:vAlign w:val="center"/>
          </w:tcPr>
          <w:p w14:paraId="52FA59D3"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6</w:t>
            </w:r>
          </w:p>
        </w:tc>
        <w:tc>
          <w:tcPr>
            <w:tcW w:w="862" w:type="dxa"/>
            <w:tcBorders>
              <w:top w:val="single" w:sz="4" w:space="0" w:color="auto"/>
              <w:left w:val="single" w:sz="4" w:space="0" w:color="auto"/>
              <w:bottom w:val="single" w:sz="4" w:space="0" w:color="auto"/>
              <w:right w:val="single" w:sz="4" w:space="0" w:color="auto"/>
            </w:tcBorders>
            <w:vAlign w:val="center"/>
          </w:tcPr>
          <w:p w14:paraId="6954CE17"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40</w:t>
            </w:r>
          </w:p>
        </w:tc>
        <w:tc>
          <w:tcPr>
            <w:tcW w:w="862" w:type="dxa"/>
            <w:tcBorders>
              <w:top w:val="single" w:sz="4" w:space="0" w:color="auto"/>
              <w:left w:val="single" w:sz="4" w:space="0" w:color="auto"/>
              <w:bottom w:val="single" w:sz="4" w:space="0" w:color="auto"/>
              <w:right w:val="single" w:sz="4" w:space="0" w:color="auto"/>
            </w:tcBorders>
            <w:vAlign w:val="center"/>
          </w:tcPr>
          <w:p w14:paraId="75732B68"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200</w:t>
            </w:r>
          </w:p>
        </w:tc>
        <w:tc>
          <w:tcPr>
            <w:tcW w:w="862" w:type="dxa"/>
            <w:tcBorders>
              <w:top w:val="single" w:sz="4" w:space="0" w:color="auto"/>
              <w:left w:val="single" w:sz="4" w:space="0" w:color="auto"/>
              <w:bottom w:val="single" w:sz="4" w:space="0" w:color="auto"/>
              <w:right w:val="single" w:sz="4" w:space="0" w:color="auto"/>
            </w:tcBorders>
            <w:vAlign w:val="center"/>
          </w:tcPr>
          <w:p w14:paraId="5E5539ED"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6</w:t>
            </w:r>
          </w:p>
        </w:tc>
        <w:tc>
          <w:tcPr>
            <w:tcW w:w="862" w:type="dxa"/>
            <w:tcBorders>
              <w:top w:val="single" w:sz="4" w:space="0" w:color="auto"/>
              <w:left w:val="single" w:sz="4" w:space="0" w:color="auto"/>
              <w:bottom w:val="single" w:sz="4" w:space="0" w:color="auto"/>
              <w:right w:val="single" w:sz="4" w:space="0" w:color="auto"/>
            </w:tcBorders>
            <w:vAlign w:val="center"/>
          </w:tcPr>
          <w:p w14:paraId="069C30C3"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40</w:t>
            </w:r>
          </w:p>
        </w:tc>
        <w:tc>
          <w:tcPr>
            <w:tcW w:w="862" w:type="dxa"/>
            <w:tcBorders>
              <w:top w:val="single" w:sz="4" w:space="0" w:color="auto"/>
              <w:left w:val="single" w:sz="4" w:space="0" w:color="auto"/>
              <w:bottom w:val="single" w:sz="4" w:space="0" w:color="auto"/>
              <w:right w:val="single" w:sz="4" w:space="0" w:color="auto"/>
            </w:tcBorders>
            <w:vAlign w:val="center"/>
          </w:tcPr>
          <w:p w14:paraId="31075F64"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200</w:t>
            </w:r>
          </w:p>
        </w:tc>
        <w:tc>
          <w:tcPr>
            <w:tcW w:w="862" w:type="dxa"/>
            <w:tcBorders>
              <w:top w:val="single" w:sz="4" w:space="0" w:color="auto"/>
              <w:left w:val="single" w:sz="4" w:space="0" w:color="auto"/>
              <w:bottom w:val="single" w:sz="4" w:space="0" w:color="auto"/>
              <w:right w:val="single" w:sz="4" w:space="0" w:color="auto"/>
            </w:tcBorders>
            <w:vAlign w:val="center"/>
          </w:tcPr>
          <w:p w14:paraId="02E33BCD"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6</w:t>
            </w:r>
          </w:p>
        </w:tc>
        <w:tc>
          <w:tcPr>
            <w:tcW w:w="862" w:type="dxa"/>
            <w:tcBorders>
              <w:top w:val="single" w:sz="4" w:space="0" w:color="auto"/>
              <w:left w:val="single" w:sz="4" w:space="0" w:color="auto"/>
              <w:bottom w:val="single" w:sz="4" w:space="0" w:color="auto"/>
              <w:right w:val="single" w:sz="4" w:space="0" w:color="auto"/>
            </w:tcBorders>
            <w:vAlign w:val="center"/>
          </w:tcPr>
          <w:p w14:paraId="6279CAFD"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40</w:t>
            </w:r>
          </w:p>
        </w:tc>
        <w:tc>
          <w:tcPr>
            <w:tcW w:w="862" w:type="dxa"/>
            <w:tcBorders>
              <w:top w:val="single" w:sz="4" w:space="0" w:color="auto"/>
              <w:left w:val="single" w:sz="4" w:space="0" w:color="auto"/>
              <w:bottom w:val="single" w:sz="4" w:space="0" w:color="auto"/>
              <w:right w:val="single" w:sz="4" w:space="0" w:color="auto"/>
            </w:tcBorders>
            <w:vAlign w:val="center"/>
          </w:tcPr>
          <w:p w14:paraId="756D297F"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200</w:t>
            </w:r>
          </w:p>
        </w:tc>
      </w:tr>
      <w:tr w:rsidR="00DF4872" w:rsidRPr="004F2BAA" w14:paraId="3C78F093" w14:textId="77777777" w:rsidTr="00472973">
        <w:trPr>
          <w:trHeight w:val="304"/>
        </w:trPr>
        <w:tc>
          <w:tcPr>
            <w:tcW w:w="1350" w:type="dxa"/>
            <w:tcBorders>
              <w:top w:val="single" w:sz="4" w:space="0" w:color="auto"/>
              <w:left w:val="single" w:sz="4" w:space="0" w:color="auto"/>
              <w:bottom w:val="single" w:sz="4" w:space="0" w:color="auto"/>
              <w:right w:val="single" w:sz="4" w:space="0" w:color="auto"/>
            </w:tcBorders>
            <w:vAlign w:val="center"/>
          </w:tcPr>
          <w:p w14:paraId="14D91788" w14:textId="77777777" w:rsidR="00DF4872" w:rsidRPr="00897AAF" w:rsidRDefault="00DF4872" w:rsidP="00472973">
            <w:pPr>
              <w:spacing w:before="60"/>
              <w:rPr>
                <w:rFonts w:ascii="Times New Roman" w:hAnsi="Times New Roman" w:cs="Times New Roman"/>
                <w:sz w:val="18"/>
                <w:szCs w:val="18"/>
              </w:rPr>
            </w:pPr>
            <w:r w:rsidRPr="00897AAF">
              <w:rPr>
                <w:rFonts w:ascii="Times New Roman" w:hAnsi="Times New Roman" w:cs="Times New Roman"/>
                <w:sz w:val="18"/>
                <w:szCs w:val="18"/>
              </w:rPr>
              <w:t>C</w:t>
            </w:r>
            <w:r w:rsidRPr="00897AAF">
              <w:rPr>
                <w:rFonts w:ascii="Times New Roman" w:hAnsi="Times New Roman" w:cs="Times New Roman"/>
                <w:sz w:val="18"/>
                <w:szCs w:val="18"/>
                <w:vertAlign w:val="subscript"/>
              </w:rPr>
              <w:t>max</w:t>
            </w:r>
            <w:r w:rsidRPr="00897AAF">
              <w:rPr>
                <w:rFonts w:ascii="Times New Roman" w:hAnsi="Times New Roman" w:cs="Times New Roman"/>
                <w:sz w:val="18"/>
                <w:szCs w:val="18"/>
              </w:rPr>
              <w:t xml:space="preserve"> (µg/mL) </w:t>
            </w:r>
            <w:r w:rsidRPr="00897AAF">
              <w:rPr>
                <w:rFonts w:ascii="Times New Roman" w:hAnsi="Times New Roman" w:cs="Times New Roman"/>
                <w:sz w:val="18"/>
                <w:szCs w:val="18"/>
                <w:vertAlign w:val="superscript"/>
              </w:rPr>
              <w:t>b</w:t>
            </w:r>
          </w:p>
        </w:tc>
        <w:tc>
          <w:tcPr>
            <w:tcW w:w="862" w:type="dxa"/>
            <w:tcBorders>
              <w:top w:val="single" w:sz="4" w:space="0" w:color="auto"/>
              <w:left w:val="single" w:sz="4" w:space="0" w:color="auto"/>
              <w:bottom w:val="single" w:sz="4" w:space="0" w:color="auto"/>
              <w:right w:val="single" w:sz="4" w:space="0" w:color="auto"/>
            </w:tcBorders>
            <w:vAlign w:val="center"/>
          </w:tcPr>
          <w:p w14:paraId="67687EDE"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174 ± 7.72</w:t>
            </w:r>
          </w:p>
        </w:tc>
        <w:tc>
          <w:tcPr>
            <w:tcW w:w="862" w:type="dxa"/>
            <w:tcBorders>
              <w:top w:val="single" w:sz="4" w:space="0" w:color="auto"/>
              <w:left w:val="single" w:sz="4" w:space="0" w:color="auto"/>
              <w:bottom w:val="single" w:sz="4" w:space="0" w:color="auto"/>
              <w:right w:val="single" w:sz="4" w:space="0" w:color="auto"/>
            </w:tcBorders>
            <w:vAlign w:val="center"/>
          </w:tcPr>
          <w:p w14:paraId="2ED7E8E9"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1840 ± 216</w:t>
            </w:r>
          </w:p>
        </w:tc>
        <w:tc>
          <w:tcPr>
            <w:tcW w:w="862" w:type="dxa"/>
            <w:tcBorders>
              <w:top w:val="single" w:sz="4" w:space="0" w:color="auto"/>
              <w:left w:val="single" w:sz="4" w:space="0" w:color="auto"/>
              <w:bottom w:val="single" w:sz="4" w:space="0" w:color="auto"/>
              <w:right w:val="single" w:sz="4" w:space="0" w:color="auto"/>
            </w:tcBorders>
            <w:vAlign w:val="center"/>
          </w:tcPr>
          <w:p w14:paraId="2C0EF974"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7470 ± 529</w:t>
            </w:r>
          </w:p>
        </w:tc>
        <w:tc>
          <w:tcPr>
            <w:tcW w:w="862" w:type="dxa"/>
            <w:tcBorders>
              <w:top w:val="single" w:sz="4" w:space="0" w:color="auto"/>
              <w:left w:val="single" w:sz="4" w:space="0" w:color="auto"/>
              <w:bottom w:val="single" w:sz="4" w:space="0" w:color="auto"/>
              <w:right w:val="single" w:sz="4" w:space="0" w:color="auto"/>
            </w:tcBorders>
            <w:vAlign w:val="center"/>
          </w:tcPr>
          <w:p w14:paraId="5584A391"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215 ± 43.8</w:t>
            </w:r>
          </w:p>
        </w:tc>
        <w:tc>
          <w:tcPr>
            <w:tcW w:w="862" w:type="dxa"/>
            <w:tcBorders>
              <w:top w:val="single" w:sz="4" w:space="0" w:color="auto"/>
              <w:left w:val="single" w:sz="4" w:space="0" w:color="auto"/>
              <w:bottom w:val="single" w:sz="4" w:space="0" w:color="auto"/>
              <w:right w:val="single" w:sz="4" w:space="0" w:color="auto"/>
            </w:tcBorders>
            <w:vAlign w:val="center"/>
          </w:tcPr>
          <w:p w14:paraId="5C83D601"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1930 ± 93.8</w:t>
            </w:r>
          </w:p>
        </w:tc>
        <w:tc>
          <w:tcPr>
            <w:tcW w:w="862" w:type="dxa"/>
            <w:tcBorders>
              <w:top w:val="single" w:sz="4" w:space="0" w:color="auto"/>
              <w:left w:val="single" w:sz="4" w:space="0" w:color="auto"/>
              <w:bottom w:val="single" w:sz="4" w:space="0" w:color="auto"/>
              <w:right w:val="single" w:sz="4" w:space="0" w:color="auto"/>
            </w:tcBorders>
            <w:vAlign w:val="center"/>
          </w:tcPr>
          <w:p w14:paraId="48B5C685"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10,500 ± 489</w:t>
            </w:r>
          </w:p>
        </w:tc>
        <w:tc>
          <w:tcPr>
            <w:tcW w:w="862" w:type="dxa"/>
            <w:tcBorders>
              <w:top w:val="single" w:sz="4" w:space="0" w:color="auto"/>
              <w:left w:val="single" w:sz="4" w:space="0" w:color="auto"/>
              <w:bottom w:val="single" w:sz="4" w:space="0" w:color="auto"/>
              <w:right w:val="single" w:sz="4" w:space="0" w:color="auto"/>
            </w:tcBorders>
            <w:vAlign w:val="center"/>
          </w:tcPr>
          <w:p w14:paraId="008DB436"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224 ± 33.9</w:t>
            </w:r>
          </w:p>
        </w:tc>
        <w:tc>
          <w:tcPr>
            <w:tcW w:w="862" w:type="dxa"/>
            <w:tcBorders>
              <w:top w:val="single" w:sz="4" w:space="0" w:color="auto"/>
              <w:left w:val="single" w:sz="4" w:space="0" w:color="auto"/>
              <w:bottom w:val="single" w:sz="4" w:space="0" w:color="auto"/>
              <w:right w:val="single" w:sz="4" w:space="0" w:color="auto"/>
            </w:tcBorders>
            <w:vAlign w:val="center"/>
          </w:tcPr>
          <w:p w14:paraId="57473191"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1890 ± 180</w:t>
            </w:r>
          </w:p>
        </w:tc>
        <w:tc>
          <w:tcPr>
            <w:tcW w:w="862" w:type="dxa"/>
            <w:tcBorders>
              <w:top w:val="single" w:sz="4" w:space="0" w:color="auto"/>
              <w:left w:val="single" w:sz="4" w:space="0" w:color="auto"/>
              <w:bottom w:val="single" w:sz="4" w:space="0" w:color="auto"/>
              <w:right w:val="single" w:sz="4" w:space="0" w:color="auto"/>
            </w:tcBorders>
            <w:vAlign w:val="center"/>
          </w:tcPr>
          <w:p w14:paraId="6145591F"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10,400 ± 772</w:t>
            </w:r>
          </w:p>
        </w:tc>
      </w:tr>
      <w:tr w:rsidR="00DF4872" w:rsidRPr="004F2BAA" w14:paraId="6732037B" w14:textId="77777777" w:rsidTr="00472973">
        <w:trPr>
          <w:trHeight w:val="304"/>
        </w:trPr>
        <w:tc>
          <w:tcPr>
            <w:tcW w:w="1350" w:type="dxa"/>
            <w:tcBorders>
              <w:top w:val="single" w:sz="4" w:space="0" w:color="auto"/>
              <w:left w:val="single" w:sz="4" w:space="0" w:color="auto"/>
              <w:bottom w:val="single" w:sz="4" w:space="0" w:color="auto"/>
              <w:right w:val="single" w:sz="4" w:space="0" w:color="auto"/>
            </w:tcBorders>
            <w:vAlign w:val="center"/>
          </w:tcPr>
          <w:p w14:paraId="06B209FA" w14:textId="77777777" w:rsidR="00DF4872" w:rsidRPr="00897AAF" w:rsidRDefault="00DF4872" w:rsidP="00472973">
            <w:pPr>
              <w:spacing w:before="60"/>
              <w:rPr>
                <w:rFonts w:ascii="Times New Roman" w:hAnsi="Times New Roman" w:cs="Times New Roman"/>
                <w:sz w:val="18"/>
                <w:szCs w:val="18"/>
              </w:rPr>
            </w:pPr>
            <w:r w:rsidRPr="00897AAF">
              <w:rPr>
                <w:rFonts w:ascii="Times New Roman" w:hAnsi="Times New Roman" w:cs="Times New Roman"/>
                <w:sz w:val="18"/>
                <w:szCs w:val="18"/>
              </w:rPr>
              <w:t>T</w:t>
            </w:r>
            <w:r w:rsidRPr="00897AAF">
              <w:rPr>
                <w:rFonts w:ascii="Times New Roman" w:hAnsi="Times New Roman" w:cs="Times New Roman"/>
                <w:sz w:val="18"/>
                <w:szCs w:val="18"/>
                <w:vertAlign w:val="subscript"/>
              </w:rPr>
              <w:t>max</w:t>
            </w:r>
            <w:r w:rsidRPr="00897AAF">
              <w:rPr>
                <w:rFonts w:ascii="Times New Roman" w:hAnsi="Times New Roman" w:cs="Times New Roman"/>
                <w:sz w:val="18"/>
                <w:szCs w:val="18"/>
              </w:rPr>
              <w:t xml:space="preserve"> (hr) </w:t>
            </w:r>
            <w:r w:rsidRPr="00897AAF">
              <w:rPr>
                <w:rFonts w:ascii="Times New Roman" w:hAnsi="Times New Roman" w:cs="Times New Roman"/>
                <w:sz w:val="18"/>
                <w:szCs w:val="18"/>
                <w:vertAlign w:val="superscript"/>
              </w:rPr>
              <w:t>b</w:t>
            </w:r>
          </w:p>
        </w:tc>
        <w:tc>
          <w:tcPr>
            <w:tcW w:w="862" w:type="dxa"/>
            <w:tcBorders>
              <w:top w:val="single" w:sz="4" w:space="0" w:color="auto"/>
              <w:left w:val="single" w:sz="4" w:space="0" w:color="auto"/>
              <w:bottom w:val="single" w:sz="4" w:space="0" w:color="auto"/>
              <w:right w:val="single" w:sz="4" w:space="0" w:color="auto"/>
            </w:tcBorders>
            <w:vAlign w:val="center"/>
          </w:tcPr>
          <w:p w14:paraId="773575BD"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0.33 ± 0.083</w:t>
            </w:r>
          </w:p>
        </w:tc>
        <w:tc>
          <w:tcPr>
            <w:tcW w:w="862" w:type="dxa"/>
            <w:tcBorders>
              <w:top w:val="single" w:sz="4" w:space="0" w:color="auto"/>
              <w:left w:val="single" w:sz="4" w:space="0" w:color="auto"/>
              <w:bottom w:val="single" w:sz="4" w:space="0" w:color="auto"/>
              <w:right w:val="single" w:sz="4" w:space="0" w:color="auto"/>
            </w:tcBorders>
            <w:vAlign w:val="center"/>
          </w:tcPr>
          <w:p w14:paraId="58F2BD28"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1.6 ± 0.59</w:t>
            </w:r>
          </w:p>
        </w:tc>
        <w:tc>
          <w:tcPr>
            <w:tcW w:w="862" w:type="dxa"/>
            <w:tcBorders>
              <w:top w:val="single" w:sz="4" w:space="0" w:color="auto"/>
              <w:left w:val="single" w:sz="4" w:space="0" w:color="auto"/>
              <w:bottom w:val="single" w:sz="4" w:space="0" w:color="auto"/>
              <w:right w:val="single" w:sz="4" w:space="0" w:color="auto"/>
            </w:tcBorders>
            <w:vAlign w:val="center"/>
          </w:tcPr>
          <w:p w14:paraId="734F9E24"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4.8 ± 2.2</w:t>
            </w:r>
          </w:p>
        </w:tc>
        <w:tc>
          <w:tcPr>
            <w:tcW w:w="862" w:type="dxa"/>
            <w:tcBorders>
              <w:top w:val="single" w:sz="4" w:space="0" w:color="auto"/>
              <w:left w:val="single" w:sz="4" w:space="0" w:color="auto"/>
              <w:bottom w:val="single" w:sz="4" w:space="0" w:color="auto"/>
              <w:right w:val="single" w:sz="4" w:space="0" w:color="auto"/>
            </w:tcBorders>
            <w:vAlign w:val="center"/>
          </w:tcPr>
          <w:p w14:paraId="5072B986"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1.3 ± 0.58</w:t>
            </w:r>
          </w:p>
        </w:tc>
        <w:tc>
          <w:tcPr>
            <w:tcW w:w="862" w:type="dxa"/>
            <w:tcBorders>
              <w:top w:val="single" w:sz="4" w:space="0" w:color="auto"/>
              <w:left w:val="single" w:sz="4" w:space="0" w:color="auto"/>
              <w:bottom w:val="single" w:sz="4" w:space="0" w:color="auto"/>
              <w:right w:val="single" w:sz="4" w:space="0" w:color="auto"/>
            </w:tcBorders>
            <w:vAlign w:val="center"/>
          </w:tcPr>
          <w:p w14:paraId="5C4419A0"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2.0 ± 0.75</w:t>
            </w:r>
          </w:p>
        </w:tc>
        <w:tc>
          <w:tcPr>
            <w:tcW w:w="862" w:type="dxa"/>
            <w:tcBorders>
              <w:top w:val="single" w:sz="4" w:space="0" w:color="auto"/>
              <w:left w:val="single" w:sz="4" w:space="0" w:color="auto"/>
              <w:bottom w:val="single" w:sz="4" w:space="0" w:color="auto"/>
              <w:right w:val="single" w:sz="4" w:space="0" w:color="auto"/>
            </w:tcBorders>
            <w:vAlign w:val="center"/>
          </w:tcPr>
          <w:p w14:paraId="3B98080F"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0.55 ± 0.12</w:t>
            </w:r>
          </w:p>
        </w:tc>
        <w:tc>
          <w:tcPr>
            <w:tcW w:w="862" w:type="dxa"/>
            <w:tcBorders>
              <w:top w:val="single" w:sz="4" w:space="0" w:color="auto"/>
              <w:left w:val="single" w:sz="4" w:space="0" w:color="auto"/>
              <w:bottom w:val="single" w:sz="4" w:space="0" w:color="auto"/>
              <w:right w:val="single" w:sz="4" w:space="0" w:color="auto"/>
            </w:tcBorders>
            <w:vAlign w:val="center"/>
          </w:tcPr>
          <w:p w14:paraId="527A07BB"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0.25 ± 0.0</w:t>
            </w:r>
          </w:p>
        </w:tc>
        <w:tc>
          <w:tcPr>
            <w:tcW w:w="862" w:type="dxa"/>
            <w:tcBorders>
              <w:top w:val="single" w:sz="4" w:space="0" w:color="auto"/>
              <w:left w:val="single" w:sz="4" w:space="0" w:color="auto"/>
              <w:bottom w:val="single" w:sz="4" w:space="0" w:color="auto"/>
              <w:right w:val="single" w:sz="4" w:space="0" w:color="auto"/>
            </w:tcBorders>
            <w:vAlign w:val="center"/>
          </w:tcPr>
          <w:p w14:paraId="2E877A6F"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1.5 ± 0.56</w:t>
            </w:r>
          </w:p>
        </w:tc>
        <w:tc>
          <w:tcPr>
            <w:tcW w:w="862" w:type="dxa"/>
            <w:tcBorders>
              <w:top w:val="single" w:sz="4" w:space="0" w:color="auto"/>
              <w:left w:val="single" w:sz="4" w:space="0" w:color="auto"/>
              <w:bottom w:val="single" w:sz="4" w:space="0" w:color="auto"/>
              <w:right w:val="single" w:sz="4" w:space="0" w:color="auto"/>
            </w:tcBorders>
            <w:vAlign w:val="center"/>
          </w:tcPr>
          <w:p w14:paraId="1E70C493"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1.1 ± 0.55</w:t>
            </w:r>
          </w:p>
        </w:tc>
      </w:tr>
      <w:tr w:rsidR="00DF4872" w:rsidRPr="004F2BAA" w14:paraId="485A5A06" w14:textId="77777777" w:rsidTr="00472973">
        <w:trPr>
          <w:trHeight w:val="304"/>
        </w:trPr>
        <w:tc>
          <w:tcPr>
            <w:tcW w:w="1350" w:type="dxa"/>
            <w:tcBorders>
              <w:top w:val="single" w:sz="4" w:space="0" w:color="auto"/>
              <w:left w:val="single" w:sz="4" w:space="0" w:color="auto"/>
              <w:bottom w:val="single" w:sz="4" w:space="0" w:color="auto"/>
              <w:right w:val="single" w:sz="4" w:space="0" w:color="auto"/>
            </w:tcBorders>
            <w:vAlign w:val="center"/>
          </w:tcPr>
          <w:p w14:paraId="04BC7BD9" w14:textId="77777777" w:rsidR="00DF4872" w:rsidRPr="00897AAF" w:rsidRDefault="00DF4872" w:rsidP="00472973">
            <w:pPr>
              <w:spacing w:before="60"/>
              <w:rPr>
                <w:rFonts w:ascii="Times New Roman" w:hAnsi="Times New Roman" w:cs="Times New Roman"/>
                <w:sz w:val="18"/>
                <w:szCs w:val="18"/>
              </w:rPr>
            </w:pPr>
            <w:r w:rsidRPr="00897AAF">
              <w:rPr>
                <w:rFonts w:ascii="Times New Roman" w:hAnsi="Times New Roman" w:cs="Times New Roman"/>
                <w:sz w:val="18"/>
                <w:szCs w:val="18"/>
              </w:rPr>
              <w:t>AUC</w:t>
            </w:r>
            <w:r w:rsidRPr="00897AAF">
              <w:rPr>
                <w:rFonts w:ascii="Times New Roman" w:hAnsi="Times New Roman" w:cs="Times New Roman"/>
                <w:sz w:val="18"/>
                <w:szCs w:val="18"/>
                <w:vertAlign w:val="subscript"/>
              </w:rPr>
              <w:t xml:space="preserve">0-14 days </w:t>
            </w:r>
            <w:r w:rsidRPr="00897AAF">
              <w:rPr>
                <w:rFonts w:ascii="Times New Roman" w:hAnsi="Times New Roman" w:cs="Times New Roman"/>
                <w:sz w:val="18"/>
                <w:szCs w:val="18"/>
              </w:rPr>
              <w:t xml:space="preserve">(µg·day/mL) </w:t>
            </w:r>
            <w:r w:rsidRPr="00897AAF">
              <w:rPr>
                <w:rFonts w:ascii="Times New Roman" w:hAnsi="Times New Roman" w:cs="Times New Roman"/>
                <w:sz w:val="18"/>
                <w:szCs w:val="18"/>
                <w:vertAlign w:val="superscript"/>
              </w:rPr>
              <w:t>b</w:t>
            </w:r>
          </w:p>
        </w:tc>
        <w:tc>
          <w:tcPr>
            <w:tcW w:w="862" w:type="dxa"/>
            <w:tcBorders>
              <w:top w:val="single" w:sz="4" w:space="0" w:color="auto"/>
              <w:left w:val="single" w:sz="4" w:space="0" w:color="auto"/>
              <w:bottom w:val="single" w:sz="4" w:space="0" w:color="auto"/>
              <w:right w:val="single" w:sz="4" w:space="0" w:color="auto"/>
            </w:tcBorders>
            <w:vAlign w:val="center"/>
          </w:tcPr>
          <w:p w14:paraId="4DE7F877"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892 ± 34</w:t>
            </w:r>
          </w:p>
        </w:tc>
        <w:tc>
          <w:tcPr>
            <w:tcW w:w="862" w:type="dxa"/>
            <w:tcBorders>
              <w:top w:val="single" w:sz="4" w:space="0" w:color="auto"/>
              <w:left w:val="single" w:sz="4" w:space="0" w:color="auto"/>
              <w:bottom w:val="single" w:sz="4" w:space="0" w:color="auto"/>
              <w:right w:val="single" w:sz="4" w:space="0" w:color="auto"/>
            </w:tcBorders>
            <w:vAlign w:val="center"/>
          </w:tcPr>
          <w:p w14:paraId="5733D5C1"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7333</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458</w:t>
            </w:r>
          </w:p>
        </w:tc>
        <w:tc>
          <w:tcPr>
            <w:tcW w:w="862" w:type="dxa"/>
            <w:tcBorders>
              <w:top w:val="single" w:sz="4" w:space="0" w:color="auto"/>
              <w:left w:val="single" w:sz="4" w:space="0" w:color="auto"/>
              <w:bottom w:val="single" w:sz="4" w:space="0" w:color="auto"/>
              <w:right w:val="single" w:sz="4" w:space="0" w:color="auto"/>
            </w:tcBorders>
            <w:vAlign w:val="center"/>
          </w:tcPr>
          <w:p w14:paraId="7A9C35DC"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35333</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2517</w:t>
            </w:r>
          </w:p>
        </w:tc>
        <w:tc>
          <w:tcPr>
            <w:tcW w:w="862" w:type="dxa"/>
            <w:tcBorders>
              <w:top w:val="single" w:sz="4" w:space="0" w:color="auto"/>
              <w:left w:val="single" w:sz="4" w:space="0" w:color="auto"/>
              <w:bottom w:val="single" w:sz="4" w:space="0" w:color="auto"/>
              <w:right w:val="single" w:sz="4" w:space="0" w:color="auto"/>
            </w:tcBorders>
            <w:vAlign w:val="center"/>
          </w:tcPr>
          <w:p w14:paraId="55CB3693"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1004</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353</w:t>
            </w:r>
          </w:p>
        </w:tc>
        <w:tc>
          <w:tcPr>
            <w:tcW w:w="862" w:type="dxa"/>
            <w:tcBorders>
              <w:top w:val="single" w:sz="4" w:space="0" w:color="auto"/>
              <w:left w:val="single" w:sz="4" w:space="0" w:color="auto"/>
              <w:bottom w:val="single" w:sz="4" w:space="0" w:color="auto"/>
              <w:right w:val="single" w:sz="4" w:space="0" w:color="auto"/>
            </w:tcBorders>
            <w:vAlign w:val="center"/>
          </w:tcPr>
          <w:p w14:paraId="6FF996C4"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13042</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688</w:t>
            </w:r>
          </w:p>
        </w:tc>
        <w:tc>
          <w:tcPr>
            <w:tcW w:w="862" w:type="dxa"/>
            <w:tcBorders>
              <w:top w:val="single" w:sz="4" w:space="0" w:color="auto"/>
              <w:left w:val="single" w:sz="4" w:space="0" w:color="auto"/>
              <w:bottom w:val="single" w:sz="4" w:space="0" w:color="auto"/>
              <w:right w:val="single" w:sz="4" w:space="0" w:color="auto"/>
            </w:tcBorders>
            <w:vAlign w:val="center"/>
          </w:tcPr>
          <w:p w14:paraId="5519D696"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64167</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2463</w:t>
            </w:r>
          </w:p>
        </w:tc>
        <w:tc>
          <w:tcPr>
            <w:tcW w:w="862" w:type="dxa"/>
            <w:tcBorders>
              <w:top w:val="single" w:sz="4" w:space="0" w:color="auto"/>
              <w:left w:val="single" w:sz="4" w:space="0" w:color="auto"/>
              <w:bottom w:val="single" w:sz="4" w:space="0" w:color="auto"/>
              <w:right w:val="single" w:sz="4" w:space="0" w:color="auto"/>
            </w:tcBorders>
            <w:vAlign w:val="center"/>
          </w:tcPr>
          <w:p w14:paraId="5B4A1C38"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1200 ± 401</w:t>
            </w:r>
          </w:p>
        </w:tc>
        <w:tc>
          <w:tcPr>
            <w:tcW w:w="862" w:type="dxa"/>
            <w:tcBorders>
              <w:top w:val="single" w:sz="4" w:space="0" w:color="auto"/>
              <w:left w:val="single" w:sz="4" w:space="0" w:color="auto"/>
              <w:bottom w:val="single" w:sz="4" w:space="0" w:color="auto"/>
              <w:right w:val="single" w:sz="4" w:space="0" w:color="auto"/>
            </w:tcBorders>
            <w:vAlign w:val="center"/>
          </w:tcPr>
          <w:p w14:paraId="4529877B"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13417</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1125</w:t>
            </w:r>
          </w:p>
        </w:tc>
        <w:tc>
          <w:tcPr>
            <w:tcW w:w="862" w:type="dxa"/>
            <w:tcBorders>
              <w:top w:val="single" w:sz="4" w:space="0" w:color="auto"/>
              <w:left w:val="single" w:sz="4" w:space="0" w:color="auto"/>
              <w:bottom w:val="single" w:sz="4" w:space="0" w:color="auto"/>
              <w:right w:val="single" w:sz="4" w:space="0" w:color="auto"/>
            </w:tcBorders>
            <w:vAlign w:val="center"/>
          </w:tcPr>
          <w:p w14:paraId="653F4C2D"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67500</w:t>
            </w:r>
            <w:r>
              <w:rPr>
                <w:rFonts w:ascii="Times New Roman" w:hAnsi="Times New Roman" w:cs="Times New Roman"/>
                <w:sz w:val="18"/>
                <w:szCs w:val="18"/>
              </w:rPr>
              <w:t xml:space="preserve"> </w:t>
            </w:r>
            <w:r w:rsidRPr="00897AAF">
              <w:rPr>
                <w:rFonts w:ascii="Times New Roman" w:hAnsi="Times New Roman" w:cs="Times New Roman"/>
                <w:sz w:val="18"/>
                <w:szCs w:val="18"/>
              </w:rPr>
              <w:t>±</w:t>
            </w:r>
            <w:r>
              <w:rPr>
                <w:rFonts w:ascii="Times New Roman" w:hAnsi="Times New Roman" w:cs="Times New Roman"/>
                <w:sz w:val="18"/>
                <w:szCs w:val="18"/>
              </w:rPr>
              <w:t xml:space="preserve"> </w:t>
            </w:r>
            <w:r w:rsidRPr="00897AAF">
              <w:rPr>
                <w:rFonts w:ascii="Times New Roman" w:hAnsi="Times New Roman" w:cs="Times New Roman"/>
                <w:sz w:val="18"/>
                <w:szCs w:val="18"/>
              </w:rPr>
              <w:t>4458</w:t>
            </w:r>
          </w:p>
        </w:tc>
      </w:tr>
      <w:tr w:rsidR="00DF4872" w:rsidRPr="004F2BAA" w14:paraId="1D949783" w14:textId="77777777" w:rsidTr="00472973">
        <w:trPr>
          <w:trHeight w:val="304"/>
        </w:trPr>
        <w:tc>
          <w:tcPr>
            <w:tcW w:w="1350" w:type="dxa"/>
            <w:tcBorders>
              <w:top w:val="single" w:sz="4" w:space="0" w:color="auto"/>
              <w:left w:val="single" w:sz="4" w:space="0" w:color="auto"/>
              <w:bottom w:val="single" w:sz="4" w:space="0" w:color="auto"/>
              <w:right w:val="single" w:sz="4" w:space="0" w:color="auto"/>
            </w:tcBorders>
            <w:vAlign w:val="center"/>
          </w:tcPr>
          <w:p w14:paraId="4D3C85CD" w14:textId="77777777" w:rsidR="00DF4872" w:rsidRPr="00897AAF" w:rsidRDefault="00DF4872" w:rsidP="00472973">
            <w:pPr>
              <w:spacing w:before="60"/>
              <w:rPr>
                <w:rFonts w:ascii="Times New Roman" w:hAnsi="Times New Roman" w:cs="Times New Roman"/>
                <w:sz w:val="18"/>
                <w:szCs w:val="18"/>
              </w:rPr>
            </w:pPr>
            <w:r w:rsidRPr="00897AAF">
              <w:rPr>
                <w:rFonts w:ascii="Times New Roman" w:hAnsi="Times New Roman" w:cs="Times New Roman"/>
                <w:sz w:val="18"/>
                <w:szCs w:val="18"/>
              </w:rPr>
              <w:t>R</w:t>
            </w:r>
            <w:r>
              <w:rPr>
                <w:rFonts w:ascii="Times New Roman" w:hAnsi="Times New Roman" w:cs="Times New Roman"/>
                <w:sz w:val="18"/>
                <w:szCs w:val="18"/>
              </w:rPr>
              <w:t xml:space="preserve"> </w:t>
            </w:r>
            <w:r>
              <w:rPr>
                <w:rFonts w:ascii="Times New Roman" w:hAnsi="Times New Roman" w:cs="Times New Roman"/>
                <w:sz w:val="18"/>
                <w:szCs w:val="18"/>
                <w:vertAlign w:val="superscript"/>
              </w:rPr>
              <w:t>c</w:t>
            </w:r>
          </w:p>
        </w:tc>
        <w:tc>
          <w:tcPr>
            <w:tcW w:w="862" w:type="dxa"/>
            <w:tcBorders>
              <w:top w:val="single" w:sz="4" w:space="0" w:color="auto"/>
              <w:left w:val="single" w:sz="4" w:space="0" w:color="auto"/>
              <w:bottom w:val="single" w:sz="4" w:space="0" w:color="auto"/>
              <w:right w:val="single" w:sz="4" w:space="0" w:color="auto"/>
            </w:tcBorders>
            <w:vAlign w:val="center"/>
          </w:tcPr>
          <w:p w14:paraId="25E5D959"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NA</w:t>
            </w:r>
          </w:p>
        </w:tc>
        <w:tc>
          <w:tcPr>
            <w:tcW w:w="862" w:type="dxa"/>
            <w:tcBorders>
              <w:top w:val="single" w:sz="4" w:space="0" w:color="auto"/>
              <w:left w:val="single" w:sz="4" w:space="0" w:color="auto"/>
              <w:bottom w:val="single" w:sz="4" w:space="0" w:color="auto"/>
              <w:right w:val="single" w:sz="4" w:space="0" w:color="auto"/>
            </w:tcBorders>
            <w:vAlign w:val="center"/>
          </w:tcPr>
          <w:p w14:paraId="7DCFF6EE"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NA</w:t>
            </w:r>
          </w:p>
        </w:tc>
        <w:tc>
          <w:tcPr>
            <w:tcW w:w="862" w:type="dxa"/>
            <w:tcBorders>
              <w:top w:val="single" w:sz="4" w:space="0" w:color="auto"/>
              <w:left w:val="single" w:sz="4" w:space="0" w:color="auto"/>
              <w:bottom w:val="single" w:sz="4" w:space="0" w:color="auto"/>
              <w:right w:val="single" w:sz="4" w:space="0" w:color="auto"/>
            </w:tcBorders>
            <w:vAlign w:val="center"/>
          </w:tcPr>
          <w:p w14:paraId="2E41133B"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NA</w:t>
            </w:r>
          </w:p>
        </w:tc>
        <w:tc>
          <w:tcPr>
            <w:tcW w:w="862" w:type="dxa"/>
            <w:tcBorders>
              <w:top w:val="single" w:sz="4" w:space="0" w:color="auto"/>
              <w:left w:val="single" w:sz="4" w:space="0" w:color="auto"/>
              <w:bottom w:val="single" w:sz="4" w:space="0" w:color="auto"/>
              <w:right w:val="single" w:sz="4" w:space="0" w:color="auto"/>
            </w:tcBorders>
            <w:vAlign w:val="center"/>
          </w:tcPr>
          <w:p w14:paraId="118B8133"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1.13 (2.2)</w:t>
            </w:r>
          </w:p>
        </w:tc>
        <w:tc>
          <w:tcPr>
            <w:tcW w:w="862" w:type="dxa"/>
            <w:tcBorders>
              <w:top w:val="single" w:sz="4" w:space="0" w:color="auto"/>
              <w:left w:val="single" w:sz="4" w:space="0" w:color="auto"/>
              <w:bottom w:val="single" w:sz="4" w:space="0" w:color="auto"/>
              <w:right w:val="single" w:sz="4" w:space="0" w:color="auto"/>
            </w:tcBorders>
            <w:vAlign w:val="center"/>
          </w:tcPr>
          <w:p w14:paraId="2FE82EEF"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1.78</w:t>
            </w:r>
          </w:p>
        </w:tc>
        <w:tc>
          <w:tcPr>
            <w:tcW w:w="862" w:type="dxa"/>
            <w:tcBorders>
              <w:top w:val="single" w:sz="4" w:space="0" w:color="auto"/>
              <w:left w:val="single" w:sz="4" w:space="0" w:color="auto"/>
              <w:bottom w:val="single" w:sz="4" w:space="0" w:color="auto"/>
              <w:right w:val="single" w:sz="4" w:space="0" w:color="auto"/>
            </w:tcBorders>
            <w:vAlign w:val="center"/>
          </w:tcPr>
          <w:p w14:paraId="795D6382"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1.81</w:t>
            </w:r>
          </w:p>
        </w:tc>
        <w:tc>
          <w:tcPr>
            <w:tcW w:w="862" w:type="dxa"/>
            <w:tcBorders>
              <w:top w:val="single" w:sz="4" w:space="0" w:color="auto"/>
              <w:left w:val="single" w:sz="4" w:space="0" w:color="auto"/>
              <w:bottom w:val="single" w:sz="4" w:space="0" w:color="auto"/>
              <w:right w:val="single" w:sz="4" w:space="0" w:color="auto"/>
            </w:tcBorders>
            <w:vAlign w:val="center"/>
          </w:tcPr>
          <w:p w14:paraId="0EBF6685"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1.34 (2.69)</w:t>
            </w:r>
          </w:p>
        </w:tc>
        <w:tc>
          <w:tcPr>
            <w:tcW w:w="862" w:type="dxa"/>
            <w:tcBorders>
              <w:top w:val="single" w:sz="4" w:space="0" w:color="auto"/>
              <w:left w:val="single" w:sz="4" w:space="0" w:color="auto"/>
              <w:bottom w:val="single" w:sz="4" w:space="0" w:color="auto"/>
              <w:right w:val="single" w:sz="4" w:space="0" w:color="auto"/>
            </w:tcBorders>
            <w:vAlign w:val="center"/>
          </w:tcPr>
          <w:p w14:paraId="5FCCAC32"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1.83</w:t>
            </w:r>
          </w:p>
        </w:tc>
        <w:tc>
          <w:tcPr>
            <w:tcW w:w="862" w:type="dxa"/>
            <w:tcBorders>
              <w:top w:val="single" w:sz="4" w:space="0" w:color="auto"/>
              <w:left w:val="single" w:sz="4" w:space="0" w:color="auto"/>
              <w:bottom w:val="single" w:sz="4" w:space="0" w:color="auto"/>
              <w:right w:val="single" w:sz="4" w:space="0" w:color="auto"/>
            </w:tcBorders>
            <w:vAlign w:val="center"/>
          </w:tcPr>
          <w:p w14:paraId="49F6D6A0" w14:textId="77777777" w:rsidR="00DF4872" w:rsidRPr="00897AAF" w:rsidRDefault="00DF4872" w:rsidP="00472973">
            <w:pPr>
              <w:spacing w:before="60"/>
              <w:jc w:val="center"/>
              <w:rPr>
                <w:rFonts w:ascii="Times New Roman" w:hAnsi="Times New Roman" w:cs="Times New Roman"/>
                <w:sz w:val="18"/>
                <w:szCs w:val="18"/>
              </w:rPr>
            </w:pPr>
            <w:r w:rsidRPr="00897AAF">
              <w:rPr>
                <w:rFonts w:ascii="Times New Roman" w:hAnsi="Times New Roman" w:cs="Times New Roman"/>
                <w:sz w:val="18"/>
                <w:szCs w:val="18"/>
              </w:rPr>
              <w:t>1.91</w:t>
            </w:r>
          </w:p>
        </w:tc>
      </w:tr>
      <w:tr w:rsidR="00DF4872" w:rsidRPr="004F2BAA" w14:paraId="034084CD" w14:textId="77777777" w:rsidTr="00472973">
        <w:trPr>
          <w:trHeight w:val="284"/>
        </w:trPr>
        <w:tc>
          <w:tcPr>
            <w:tcW w:w="9108" w:type="dxa"/>
            <w:gridSpan w:val="10"/>
            <w:tcBorders>
              <w:top w:val="single" w:sz="4" w:space="0" w:color="auto"/>
              <w:left w:val="nil"/>
              <w:bottom w:val="nil"/>
              <w:right w:val="nil"/>
            </w:tcBorders>
          </w:tcPr>
          <w:p w14:paraId="688538D4" w14:textId="77777777" w:rsidR="00DF4872" w:rsidRDefault="00DF4872" w:rsidP="00472973">
            <w:pPr>
              <w:pStyle w:val="TableFootnoteLetter"/>
              <w:numPr>
                <w:ilvl w:val="0"/>
                <w:numId w:val="32"/>
              </w:numPr>
              <w:rPr>
                <w:sz w:val="18"/>
                <w:szCs w:val="18"/>
              </w:rPr>
            </w:pPr>
            <w:r w:rsidRPr="002A7DD5">
              <w:rPr>
                <w:sz w:val="18"/>
                <w:szCs w:val="18"/>
              </w:rPr>
              <w:t>Number of animals in a dose group : F=5, M=5</w:t>
            </w:r>
          </w:p>
          <w:p w14:paraId="59E21EB7" w14:textId="77777777" w:rsidR="00DF4872" w:rsidRDefault="00DF4872" w:rsidP="00472973">
            <w:pPr>
              <w:pStyle w:val="TableFootnoteLetter"/>
              <w:numPr>
                <w:ilvl w:val="0"/>
                <w:numId w:val="32"/>
              </w:numPr>
              <w:rPr>
                <w:sz w:val="18"/>
                <w:szCs w:val="18"/>
              </w:rPr>
            </w:pPr>
            <w:r w:rsidRPr="002A7DD5">
              <w:rPr>
                <w:sz w:val="18"/>
                <w:szCs w:val="18"/>
              </w:rPr>
              <w:t xml:space="preserve">Arithmetic mean ± </w:t>
            </w:r>
            <w:r>
              <w:rPr>
                <w:sz w:val="18"/>
                <w:szCs w:val="18"/>
              </w:rPr>
              <w:t>standard error of the mean</w:t>
            </w:r>
          </w:p>
          <w:p w14:paraId="52C13C6E" w14:textId="77777777" w:rsidR="00DF4872" w:rsidRPr="00D27800" w:rsidRDefault="00DF4872" w:rsidP="00472973">
            <w:pPr>
              <w:pStyle w:val="TableFootnoteLetter"/>
              <w:numPr>
                <w:ilvl w:val="0"/>
                <w:numId w:val="32"/>
              </w:numPr>
              <w:rPr>
                <w:sz w:val="18"/>
                <w:szCs w:val="18"/>
              </w:rPr>
            </w:pPr>
            <w:r w:rsidRPr="00D27800">
              <w:rPr>
                <w:sz w:val="18"/>
                <w:szCs w:val="18"/>
              </w:rPr>
              <w:t>AUC ratio: Day 71 R= AUC</w:t>
            </w:r>
            <w:r w:rsidRPr="00D27800">
              <w:rPr>
                <w:sz w:val="18"/>
                <w:szCs w:val="18"/>
                <w:vertAlign w:val="subscript"/>
              </w:rPr>
              <w:t>0-14days</w:t>
            </w:r>
            <w:r w:rsidRPr="00D27800">
              <w:rPr>
                <w:sz w:val="18"/>
                <w:szCs w:val="18"/>
              </w:rPr>
              <w:t xml:space="preserve"> of day 71 interval ÷</w:t>
            </w:r>
            <w:r>
              <w:rPr>
                <w:sz w:val="18"/>
                <w:szCs w:val="18"/>
              </w:rPr>
              <w:t xml:space="preserve"> </w:t>
            </w:r>
            <w:r w:rsidRPr="00D27800">
              <w:rPr>
                <w:sz w:val="18"/>
                <w:szCs w:val="18"/>
              </w:rPr>
              <w:t>AUC</w:t>
            </w:r>
            <w:r w:rsidRPr="00D27800">
              <w:rPr>
                <w:sz w:val="18"/>
                <w:szCs w:val="18"/>
                <w:vertAlign w:val="subscript"/>
              </w:rPr>
              <w:t>0-14days</w:t>
            </w:r>
            <w:r w:rsidRPr="00D27800">
              <w:rPr>
                <w:sz w:val="18"/>
                <w:szCs w:val="18"/>
              </w:rPr>
              <w:t xml:space="preserve"> of day 1 interval;</w:t>
            </w:r>
            <w:r>
              <w:rPr>
                <w:sz w:val="18"/>
                <w:szCs w:val="18"/>
              </w:rPr>
              <w:t xml:space="preserve"> </w:t>
            </w:r>
            <w:r w:rsidRPr="004F2BAA">
              <w:rPr>
                <w:sz w:val="18"/>
                <w:szCs w:val="18"/>
              </w:rPr>
              <w:t>Day 141 R=</w:t>
            </w:r>
            <w:r>
              <w:rPr>
                <w:sz w:val="18"/>
                <w:szCs w:val="18"/>
              </w:rPr>
              <w:t xml:space="preserve"> </w:t>
            </w:r>
            <w:r w:rsidRPr="00D27800">
              <w:rPr>
                <w:sz w:val="18"/>
                <w:szCs w:val="18"/>
              </w:rPr>
              <w:t>AUC</w:t>
            </w:r>
            <w:r w:rsidRPr="00D27800">
              <w:rPr>
                <w:sz w:val="18"/>
                <w:szCs w:val="18"/>
                <w:vertAlign w:val="subscript"/>
              </w:rPr>
              <w:t>0-14days</w:t>
            </w:r>
            <w:r>
              <w:rPr>
                <w:sz w:val="18"/>
                <w:szCs w:val="18"/>
                <w:vertAlign w:val="subscript"/>
              </w:rPr>
              <w:t xml:space="preserve"> </w:t>
            </w:r>
            <w:r w:rsidRPr="00D27800">
              <w:rPr>
                <w:sz w:val="18"/>
                <w:szCs w:val="18"/>
              </w:rPr>
              <w:t>of</w:t>
            </w:r>
            <w:r>
              <w:rPr>
                <w:sz w:val="18"/>
                <w:szCs w:val="18"/>
              </w:rPr>
              <w:t xml:space="preserve"> day 141 interval </w:t>
            </w:r>
            <w:r w:rsidRPr="004F2BAA">
              <w:rPr>
                <w:sz w:val="18"/>
                <w:szCs w:val="18"/>
              </w:rPr>
              <w:t>÷</w:t>
            </w:r>
            <w:r>
              <w:rPr>
                <w:sz w:val="18"/>
                <w:szCs w:val="18"/>
              </w:rPr>
              <w:t xml:space="preserve"> </w:t>
            </w:r>
            <w:r w:rsidRPr="00D27800">
              <w:rPr>
                <w:sz w:val="18"/>
                <w:szCs w:val="18"/>
              </w:rPr>
              <w:t>AUC</w:t>
            </w:r>
            <w:r w:rsidRPr="00D27800">
              <w:rPr>
                <w:sz w:val="18"/>
                <w:szCs w:val="18"/>
                <w:vertAlign w:val="subscript"/>
              </w:rPr>
              <w:t>0-14days</w:t>
            </w:r>
            <w:r w:rsidRPr="00D27800">
              <w:rPr>
                <w:sz w:val="18"/>
                <w:szCs w:val="18"/>
              </w:rPr>
              <w:t xml:space="preserve"> of day 1 interval</w:t>
            </w:r>
            <w:r>
              <w:rPr>
                <w:sz w:val="18"/>
                <w:szCs w:val="18"/>
              </w:rPr>
              <w:t>.</w:t>
            </w:r>
          </w:p>
          <w:p w14:paraId="3589D1C0" w14:textId="77777777" w:rsidR="00DF4872" w:rsidRPr="00D27800" w:rsidRDefault="00DF4872" w:rsidP="00472973">
            <w:pPr>
              <w:pStyle w:val="TableLeft"/>
              <w:rPr>
                <w:sz w:val="18"/>
                <w:szCs w:val="18"/>
              </w:rPr>
            </w:pPr>
            <w:r w:rsidRPr="00323456">
              <w:rPr>
                <w:sz w:val="18"/>
                <w:szCs w:val="18"/>
              </w:rPr>
              <w:t>AUC</w:t>
            </w:r>
            <w:r>
              <w:rPr>
                <w:sz w:val="18"/>
                <w:szCs w:val="18"/>
              </w:rPr>
              <w:t>=area under the concentration curve; C</w:t>
            </w:r>
            <w:r w:rsidRPr="00323456">
              <w:rPr>
                <w:sz w:val="18"/>
                <w:szCs w:val="18"/>
                <w:vertAlign w:val="subscript"/>
              </w:rPr>
              <w:t>max</w:t>
            </w:r>
            <w:r>
              <w:rPr>
                <w:sz w:val="18"/>
                <w:szCs w:val="18"/>
              </w:rPr>
              <w:t>=maximum concentration; hr=hours; NA=not applicable; TK=toxicokinetic; T</w:t>
            </w:r>
            <w:r w:rsidRPr="00323456">
              <w:rPr>
                <w:sz w:val="18"/>
                <w:szCs w:val="18"/>
                <w:vertAlign w:val="subscript"/>
              </w:rPr>
              <w:t>max</w:t>
            </w:r>
            <w:r>
              <w:rPr>
                <w:sz w:val="18"/>
                <w:szCs w:val="18"/>
              </w:rPr>
              <w:t>=time to maximum concentration.</w:t>
            </w:r>
          </w:p>
        </w:tc>
      </w:tr>
    </w:tbl>
    <w:p w14:paraId="1EA98857" w14:textId="3662B869" w:rsidR="00DF4872" w:rsidRDefault="00DF4872">
      <w:pPr>
        <w:rPr>
          <w:rFonts w:ascii="Times New Roman" w:eastAsia="MS Gothic" w:hAnsi="Times New Roman" w:cs="Arial"/>
          <w:b/>
          <w:bCs/>
          <w:iCs/>
          <w:sz w:val="24"/>
          <w:szCs w:val="26"/>
        </w:rPr>
      </w:pPr>
      <w:bookmarkStart w:id="10" w:name="_GoBack"/>
      <w:bookmarkEnd w:id="10"/>
    </w:p>
    <w:sectPr w:rsidR="00DF4872" w:rsidSect="002F5449">
      <w:foot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6A35" w14:textId="77777777" w:rsidR="006344BE" w:rsidRDefault="006344BE" w:rsidP="002F5449">
      <w:r>
        <w:separator/>
      </w:r>
    </w:p>
  </w:endnote>
  <w:endnote w:type="continuationSeparator" w:id="0">
    <w:p w14:paraId="73A6E2C2" w14:textId="77777777" w:rsidR="006344BE" w:rsidRDefault="006344BE" w:rsidP="002F5449">
      <w:r>
        <w:continuationSeparator/>
      </w:r>
    </w:p>
  </w:endnote>
  <w:endnote w:type="continuationNotice" w:id="1">
    <w:p w14:paraId="183AE784" w14:textId="77777777" w:rsidR="006344BE" w:rsidRDefault="00634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556404"/>
      <w:docPartObj>
        <w:docPartGallery w:val="Page Numbers (Bottom of Page)"/>
        <w:docPartUnique/>
      </w:docPartObj>
    </w:sdtPr>
    <w:sdtEndPr>
      <w:rPr>
        <w:noProof/>
      </w:rPr>
    </w:sdtEndPr>
    <w:sdtContent>
      <w:p w14:paraId="46C5036C" w14:textId="0584C2D2" w:rsidR="006344BE" w:rsidRDefault="006344B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B9E699D" w14:textId="77777777" w:rsidR="006344BE" w:rsidRDefault="0063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EC04" w14:textId="77777777" w:rsidR="006344BE" w:rsidRDefault="006344BE" w:rsidP="002F5449">
      <w:r>
        <w:separator/>
      </w:r>
    </w:p>
  </w:footnote>
  <w:footnote w:type="continuationSeparator" w:id="0">
    <w:p w14:paraId="6853DB73" w14:textId="77777777" w:rsidR="006344BE" w:rsidRDefault="006344BE" w:rsidP="002F5449">
      <w:r>
        <w:continuationSeparator/>
      </w:r>
    </w:p>
  </w:footnote>
  <w:footnote w:type="continuationNotice" w:id="1">
    <w:p w14:paraId="3189D883" w14:textId="77777777" w:rsidR="006344BE" w:rsidRDefault="006344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464"/>
    <w:multiLevelType w:val="hybridMultilevel"/>
    <w:tmpl w:val="C1CAE68A"/>
    <w:name w:val="WWH32"/>
    <w:lvl w:ilvl="0" w:tplc="6E729B94">
      <w:start w:val="1"/>
      <w:numFmt w:val="decimal"/>
      <w:lvlText w:val="%1.0"/>
      <w:lvlJc w:val="left"/>
      <w:pPr>
        <w:ind w:left="720" w:hanging="360"/>
      </w:pPr>
      <w:rPr>
        <w:rFonts w:eastAsia="MS Gothic" w:cs="Times New Roman" w:hint="eastAsia"/>
        <w:b/>
        <w:i w:val="0"/>
        <w:caps w:val="0"/>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050D"/>
    <w:multiLevelType w:val="singleLevel"/>
    <w:tmpl w:val="5A5867F0"/>
    <w:lvl w:ilvl="0">
      <w:start w:val="1"/>
      <w:numFmt w:val="lowerLetter"/>
      <w:pStyle w:val="TableFootnoteLetter"/>
      <w:lvlText w:val="%1"/>
      <w:lvlJc w:val="left"/>
      <w:pPr>
        <w:tabs>
          <w:tab w:val="num" w:pos="360"/>
        </w:tabs>
        <w:ind w:left="360" w:hanging="360"/>
      </w:pPr>
      <w:rPr>
        <w:rFonts w:ascii="Times New Roman" w:hAnsi="Times New Roman" w:cs="Times New Roman"/>
        <w:b w:val="0"/>
        <w:i w:val="0"/>
        <w:caps w:val="0"/>
        <w:sz w:val="24"/>
        <w:u w:val="none"/>
        <w:vertAlign w:val="superscript"/>
      </w:rPr>
    </w:lvl>
  </w:abstractNum>
  <w:abstractNum w:abstractNumId="2" w15:restartNumberingAfterBreak="0">
    <w:nsid w:val="06A05ED6"/>
    <w:multiLevelType w:val="singleLevel"/>
    <w:tmpl w:val="E7D0ACE4"/>
    <w:name w:val="WWll2"/>
    <w:lvl w:ilvl="0">
      <w:start w:val="1"/>
      <w:numFmt w:val="lowerLetter"/>
      <w:pStyle w:val="ListLetter2"/>
      <w:lvlText w:val="%1."/>
      <w:lvlJc w:val="left"/>
      <w:pPr>
        <w:tabs>
          <w:tab w:val="num" w:pos="720"/>
        </w:tabs>
        <w:ind w:left="720" w:hanging="360"/>
      </w:pPr>
      <w:rPr>
        <w:rFonts w:ascii="Times New Roman" w:hAnsi="Times New Roman" w:cs="Times New Roman"/>
        <w:b w:val="0"/>
        <w:i w:val="0"/>
        <w:caps w:val="0"/>
        <w:sz w:val="24"/>
        <w:u w:val="none"/>
        <w:vertAlign w:val="baseline"/>
      </w:rPr>
    </w:lvl>
  </w:abstractNum>
  <w:abstractNum w:abstractNumId="3" w15:restartNumberingAfterBreak="0">
    <w:nsid w:val="12352114"/>
    <w:multiLevelType w:val="singleLevel"/>
    <w:tmpl w:val="43D84152"/>
    <w:name w:val="WWln2"/>
    <w:lvl w:ilvl="0">
      <w:start w:val="1"/>
      <w:numFmt w:val="decimal"/>
      <w:pStyle w:val="ListNumber2"/>
      <w:lvlText w:val="%1."/>
      <w:lvlJc w:val="left"/>
      <w:pPr>
        <w:tabs>
          <w:tab w:val="num" w:pos="720"/>
        </w:tabs>
        <w:ind w:left="720" w:hanging="360"/>
      </w:pPr>
      <w:rPr>
        <w:rFonts w:ascii="Times New Roman" w:hAnsi="Times New Roman" w:cs="Times New Roman"/>
        <w:b w:val="0"/>
        <w:i w:val="0"/>
        <w:caps w:val="0"/>
        <w:sz w:val="24"/>
        <w:u w:val="none"/>
        <w:vertAlign w:val="baseline"/>
      </w:rPr>
    </w:lvl>
  </w:abstractNum>
  <w:abstractNum w:abstractNumId="4" w15:restartNumberingAfterBreak="0">
    <w:nsid w:val="15551DFF"/>
    <w:multiLevelType w:val="hybridMultilevel"/>
    <w:tmpl w:val="2C7CF5A2"/>
    <w:name w:val="SPRIlb4"/>
    <w:lvl w:ilvl="0" w:tplc="2788F12E">
      <w:start w:val="1"/>
      <w:numFmt w:val="bullet"/>
      <w:lvlText w:val="•"/>
      <w:lvlJc w:val="left"/>
      <w:pPr>
        <w:tabs>
          <w:tab w:val="num" w:pos="360"/>
        </w:tabs>
        <w:ind w:left="360" w:hanging="360"/>
      </w:pPr>
      <w:rPr>
        <w:rFonts w:ascii="Arial" w:hAnsi="Arial" w:hint="default"/>
        <w:b w:val="0"/>
        <w:bCs w:val="0"/>
        <w:i w:val="0"/>
        <w:iCs w:val="0"/>
        <w:caps w:val="0"/>
        <w:sz w:val="32"/>
        <w:szCs w:val="32"/>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6397D"/>
    <w:multiLevelType w:val="hybridMultilevel"/>
    <w:tmpl w:val="A350CA8A"/>
    <w:name w:val="WWtfl2"/>
    <w:lvl w:ilvl="0" w:tplc="B7B2BF5A">
      <w:start w:val="1"/>
      <w:numFmt w:val="decimal"/>
      <w:pStyle w:val="Attachment"/>
      <w:lvlText w:val="Attachment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83DDE"/>
    <w:multiLevelType w:val="singleLevel"/>
    <w:tmpl w:val="EF902DA6"/>
    <w:name w:val="WWre"/>
    <w:lvl w:ilvl="0">
      <w:start w:val="48"/>
      <w:numFmt w:val="decimal"/>
      <w:pStyle w:val="References"/>
      <w:lvlText w:val="%1."/>
      <w:lvlJc w:val="left"/>
      <w:pPr>
        <w:tabs>
          <w:tab w:val="num" w:pos="360"/>
        </w:tabs>
        <w:ind w:left="360" w:hanging="360"/>
      </w:pPr>
      <w:rPr>
        <w:rFonts w:ascii="Times New Roman" w:hAnsi="Times New Roman" w:cs="Times New Roman" w:hint="default"/>
        <w:b w:val="0"/>
        <w:i w:val="0"/>
        <w:caps w:val="0"/>
        <w:sz w:val="24"/>
        <w:u w:val="none"/>
        <w:vertAlign w:val="baseline"/>
      </w:rPr>
    </w:lvl>
  </w:abstractNum>
  <w:abstractNum w:abstractNumId="7" w15:restartNumberingAfterBreak="0">
    <w:nsid w:val="182862AA"/>
    <w:multiLevelType w:val="multilevel"/>
    <w:tmpl w:val="A6048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DD4932"/>
    <w:multiLevelType w:val="singleLevel"/>
    <w:tmpl w:val="F37A28DE"/>
    <w:lvl w:ilvl="0">
      <w:start w:val="1"/>
      <w:numFmt w:val="decimal"/>
      <w:pStyle w:val="ListNumber"/>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9" w15:restartNumberingAfterBreak="0">
    <w:nsid w:val="2B62003F"/>
    <w:multiLevelType w:val="hybridMultilevel"/>
    <w:tmpl w:val="8C2C0AD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444E85"/>
    <w:multiLevelType w:val="multilevel"/>
    <w:tmpl w:val="005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C5285"/>
    <w:multiLevelType w:val="singleLevel"/>
    <w:tmpl w:val="FBF203EA"/>
    <w:name w:val="WWat"/>
    <w:lvl w:ilvl="0">
      <w:start w:val="1"/>
      <w:numFmt w:val="decimal"/>
      <w:pStyle w:val="Appendix"/>
      <w:lvlText w:val="Appendix %1"/>
      <w:lvlJc w:val="left"/>
      <w:pPr>
        <w:tabs>
          <w:tab w:val="num" w:pos="2160"/>
        </w:tabs>
        <w:ind w:left="2160" w:hanging="2160"/>
      </w:pPr>
      <w:rPr>
        <w:rFonts w:ascii="Times New Roman" w:hAnsi="Times New Roman" w:cs="Times New Roman"/>
        <w:b/>
        <w:i w:val="0"/>
        <w:caps w:val="0"/>
        <w:sz w:val="24"/>
        <w:u w:val="none"/>
        <w:vertAlign w:val="baseline"/>
      </w:rPr>
    </w:lvl>
  </w:abstractNum>
  <w:abstractNum w:abstractNumId="12" w15:restartNumberingAfterBreak="0">
    <w:nsid w:val="345F5416"/>
    <w:multiLevelType w:val="hybridMultilevel"/>
    <w:tmpl w:val="0CAE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3ED7"/>
    <w:multiLevelType w:val="singleLevel"/>
    <w:tmpl w:val="DD443536"/>
    <w:name w:val="WWlb"/>
    <w:lvl w:ilvl="0">
      <w:start w:val="1"/>
      <w:numFmt w:val="bullet"/>
      <w:pStyle w:val="ListBullet"/>
      <w:lvlText w:val="•"/>
      <w:lvlJc w:val="left"/>
      <w:pPr>
        <w:tabs>
          <w:tab w:val="num" w:pos="360"/>
        </w:tabs>
        <w:ind w:left="360" w:hanging="360"/>
      </w:pPr>
      <w:rPr>
        <w:rFonts w:ascii="Times New Roman" w:hAnsi="Times New Roman" w:cs="Times New Roman"/>
        <w:b w:val="0"/>
        <w:i w:val="0"/>
        <w:caps w:val="0"/>
        <w:sz w:val="32"/>
        <w:u w:val="none"/>
        <w:vertAlign w:val="baseline"/>
      </w:rPr>
    </w:lvl>
  </w:abstractNum>
  <w:abstractNum w:abstractNumId="14" w15:restartNumberingAfterBreak="0">
    <w:nsid w:val="436A007F"/>
    <w:multiLevelType w:val="singleLevel"/>
    <w:tmpl w:val="525ABFFC"/>
    <w:name w:val="WWlb3"/>
    <w:lvl w:ilvl="0">
      <w:start w:val="1"/>
      <w:numFmt w:val="bullet"/>
      <w:pStyle w:val="ListBullet3"/>
      <w:lvlText w:val="◦"/>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15" w15:restartNumberingAfterBreak="0">
    <w:nsid w:val="454359E9"/>
    <w:multiLevelType w:val="multilevel"/>
    <w:tmpl w:val="F0E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425B3"/>
    <w:multiLevelType w:val="singleLevel"/>
    <w:tmpl w:val="AB849776"/>
    <w:lvl w:ilvl="0">
      <w:start w:val="1"/>
      <w:numFmt w:val="decimal"/>
      <w:pStyle w:val="TableFootnote"/>
      <w:lvlText w:val="%1"/>
      <w:lvlJc w:val="left"/>
      <w:pPr>
        <w:tabs>
          <w:tab w:val="num" w:pos="360"/>
        </w:tabs>
        <w:ind w:left="360" w:hanging="360"/>
      </w:pPr>
      <w:rPr>
        <w:rFonts w:ascii="Times New Roman" w:hAnsi="Times New Roman" w:cs="Times New Roman"/>
        <w:b w:val="0"/>
        <w:i w:val="0"/>
        <w:caps w:val="0"/>
        <w:sz w:val="24"/>
        <w:u w:val="none"/>
        <w:vertAlign w:val="superscript"/>
      </w:rPr>
    </w:lvl>
  </w:abstractNum>
  <w:abstractNum w:abstractNumId="17" w15:restartNumberingAfterBreak="0">
    <w:nsid w:val="48D8394E"/>
    <w:multiLevelType w:val="singleLevel"/>
    <w:tmpl w:val="E744D392"/>
    <w:name w:val="WWll3"/>
    <w:lvl w:ilvl="0">
      <w:start w:val="1"/>
      <w:numFmt w:val="lowerLetter"/>
      <w:pStyle w:val="ListLetter3"/>
      <w:lvlText w:val="%1."/>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18" w15:restartNumberingAfterBreak="0">
    <w:nsid w:val="4EA00B1C"/>
    <w:multiLevelType w:val="singleLevel"/>
    <w:tmpl w:val="F302152E"/>
    <w:name w:val="WWln3"/>
    <w:lvl w:ilvl="0">
      <w:start w:val="1"/>
      <w:numFmt w:val="decimal"/>
      <w:pStyle w:val="ListNumber3"/>
      <w:lvlText w:val="%1."/>
      <w:lvlJc w:val="left"/>
      <w:pPr>
        <w:tabs>
          <w:tab w:val="num" w:pos="1080"/>
        </w:tabs>
        <w:ind w:left="1080" w:hanging="360"/>
      </w:pPr>
      <w:rPr>
        <w:rFonts w:ascii="Times New Roman" w:hAnsi="Times New Roman" w:cs="Times New Roman"/>
        <w:b w:val="0"/>
        <w:i w:val="0"/>
        <w:caps w:val="0"/>
        <w:sz w:val="24"/>
        <w:u w:val="none"/>
        <w:vertAlign w:val="baseline"/>
      </w:rPr>
    </w:lvl>
  </w:abstractNum>
  <w:abstractNum w:abstractNumId="19" w15:restartNumberingAfterBreak="0">
    <w:nsid w:val="5851676F"/>
    <w:multiLevelType w:val="hybridMultilevel"/>
    <w:tmpl w:val="AB08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A6331"/>
    <w:multiLevelType w:val="singleLevel"/>
    <w:tmpl w:val="05D8A548"/>
    <w:name w:val="WWtfl"/>
    <w:lvl w:ilvl="0">
      <w:start w:val="1"/>
      <w:numFmt w:val="lowerLetter"/>
      <w:lvlText w:val="%1"/>
      <w:lvlJc w:val="left"/>
      <w:pPr>
        <w:tabs>
          <w:tab w:val="num" w:pos="360"/>
        </w:tabs>
        <w:ind w:left="360" w:hanging="360"/>
      </w:pPr>
      <w:rPr>
        <w:rFonts w:ascii="Times New Roman" w:hAnsi="Times New Roman" w:cs="Times New Roman"/>
        <w:b w:val="0"/>
        <w:i w:val="0"/>
        <w:caps w:val="0"/>
        <w:sz w:val="20"/>
        <w:u w:val="none"/>
        <w:vertAlign w:val="superscript"/>
      </w:rPr>
    </w:lvl>
  </w:abstractNum>
  <w:abstractNum w:abstractNumId="21" w15:restartNumberingAfterBreak="0">
    <w:nsid w:val="600F71FA"/>
    <w:multiLevelType w:val="singleLevel"/>
    <w:tmpl w:val="44888DAC"/>
    <w:name w:val="WWll"/>
    <w:lvl w:ilvl="0">
      <w:start w:val="1"/>
      <w:numFmt w:val="lowerLetter"/>
      <w:pStyle w:val="ListLetter"/>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22" w15:restartNumberingAfterBreak="0">
    <w:nsid w:val="65C459C3"/>
    <w:multiLevelType w:val="multilevel"/>
    <w:tmpl w:val="0409001D"/>
    <w:styleLink w:val="1ai"/>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76030E"/>
    <w:multiLevelType w:val="multilevel"/>
    <w:tmpl w:val="761E00E0"/>
    <w:name w:val="WWH"/>
    <w:lvl w:ilvl="0">
      <w:start w:val="1"/>
      <w:numFmt w:val="decimal"/>
      <w:lvlRestart w:val="0"/>
      <w:pStyle w:val="Heading1"/>
      <w:lvlText w:val="%1"/>
      <w:lvlJc w:val="left"/>
      <w:pPr>
        <w:tabs>
          <w:tab w:val="num" w:pos="480"/>
        </w:tabs>
        <w:ind w:left="480" w:hanging="480"/>
      </w:pPr>
      <w:rPr>
        <w:rFonts w:ascii="Times New Roman" w:hAnsi="Times New Roman" w:cs="Times New Roman" w:hint="default"/>
        <w:b/>
        <w:i w:val="0"/>
        <w:caps/>
        <w:smallCaps w:val="0"/>
        <w:sz w:val="24"/>
        <w:u w:val="none"/>
        <w:vertAlign w:val="baseline"/>
      </w:rPr>
    </w:lvl>
    <w:lvl w:ilvl="1">
      <w:start w:val="1"/>
      <w:numFmt w:val="decimal"/>
      <w:pStyle w:val="Heading2"/>
      <w:lvlText w:val="%1.%2"/>
      <w:lvlJc w:val="left"/>
      <w:pPr>
        <w:tabs>
          <w:tab w:val="num" w:pos="720"/>
        </w:tabs>
        <w:ind w:left="720" w:hanging="720"/>
      </w:pPr>
      <w:rPr>
        <w:rFonts w:ascii="Times New Roman" w:hAnsi="Times New Roman" w:cs="Times New Roman"/>
        <w:b/>
        <w:i w:val="0"/>
        <w:caps w:val="0"/>
        <w:sz w:val="24"/>
        <w:u w:val="none"/>
        <w:vertAlign w:val="baseline"/>
      </w:rPr>
    </w:lvl>
    <w:lvl w:ilvl="2">
      <w:start w:val="1"/>
      <w:numFmt w:val="decimal"/>
      <w:pStyle w:val="Heading3"/>
      <w:lvlText w:val="%1.%2.%3"/>
      <w:lvlJc w:val="left"/>
      <w:pPr>
        <w:tabs>
          <w:tab w:val="num" w:pos="960"/>
        </w:tabs>
        <w:ind w:left="960" w:hanging="960"/>
      </w:pPr>
      <w:rPr>
        <w:rFonts w:ascii="Times New Roman" w:hAnsi="Times New Roman" w:cs="Times New Roman"/>
        <w:b/>
        <w:i w:val="0"/>
        <w:caps w:val="0"/>
        <w:sz w:val="24"/>
        <w:u w:val="none"/>
        <w:vertAlign w:val="baseline"/>
      </w:rPr>
    </w:lvl>
    <w:lvl w:ilvl="3">
      <w:start w:val="1"/>
      <w:numFmt w:val="decimal"/>
      <w:pStyle w:val="Heading4"/>
      <w:lvlText w:val="%1.%2.%3.%4"/>
      <w:lvlJc w:val="left"/>
      <w:pPr>
        <w:tabs>
          <w:tab w:val="num" w:pos="1200"/>
        </w:tabs>
        <w:ind w:left="1200" w:hanging="1200"/>
      </w:pPr>
      <w:rPr>
        <w:rFonts w:ascii="Times New Roman" w:hAnsi="Times New Roman" w:cs="Times New Roman"/>
        <w:b/>
        <w:i w:val="0"/>
        <w:caps w:val="0"/>
        <w:sz w:val="24"/>
        <w:u w:val="none"/>
        <w:vertAlign w:val="baseline"/>
      </w:rPr>
    </w:lvl>
    <w:lvl w:ilvl="4">
      <w:start w:val="1"/>
      <w:numFmt w:val="none"/>
      <w:pStyle w:val="Heading5"/>
      <w:suff w:val="nothing"/>
      <w:lvlText w:val=""/>
      <w:lvlJc w:val="left"/>
      <w:pPr>
        <w:tabs>
          <w:tab w:val="num" w:pos="1440"/>
        </w:tabs>
        <w:ind w:left="1440" w:hanging="1440"/>
      </w:pPr>
      <w:rPr>
        <w:rFonts w:ascii="Times New Roman" w:hAnsi="Times New Roman" w:cs="Times New Roman"/>
        <w:b/>
        <w:i w:val="0"/>
        <w:caps w:val="0"/>
        <w:sz w:val="24"/>
        <w:u w:val="none"/>
        <w:vertAlign w:val="baseline"/>
      </w:rPr>
    </w:lvl>
    <w:lvl w:ilvl="5">
      <w:start w:val="1"/>
      <w:numFmt w:val="none"/>
      <w:pStyle w:val="Heading6"/>
      <w:suff w:val="nothing"/>
      <w:lvlText w:val=""/>
      <w:lvlJc w:val="left"/>
      <w:pPr>
        <w:tabs>
          <w:tab w:val="num" w:pos="1680"/>
        </w:tabs>
        <w:ind w:left="1680" w:hanging="1680"/>
      </w:pPr>
      <w:rPr>
        <w:rFonts w:ascii="Times New Roman" w:hAnsi="Times New Roman" w:cs="Times New Roman"/>
        <w:b/>
        <w:i w:val="0"/>
        <w:caps w:val="0"/>
        <w:sz w:val="24"/>
        <w:u w:val="none"/>
        <w:vertAlign w:val="baseline"/>
      </w:rPr>
    </w:lvl>
    <w:lvl w:ilvl="6">
      <w:start w:val="1"/>
      <w:numFmt w:val="none"/>
      <w:pStyle w:val="Heading7"/>
      <w:suff w:val="nothing"/>
      <w:lvlText w:val=""/>
      <w:lvlJc w:val="left"/>
      <w:pPr>
        <w:tabs>
          <w:tab w:val="num" w:pos="1920"/>
        </w:tabs>
        <w:ind w:left="1920" w:hanging="1920"/>
      </w:pPr>
      <w:rPr>
        <w:rFonts w:ascii="Times New Roman" w:hAnsi="Times New Roman" w:cs="Times New Roman"/>
        <w:b/>
        <w:i w:val="0"/>
        <w:caps w:val="0"/>
        <w:sz w:val="24"/>
        <w:u w:val="none"/>
        <w:vertAlign w:val="baseline"/>
      </w:rPr>
    </w:lvl>
    <w:lvl w:ilvl="7">
      <w:start w:val="1"/>
      <w:numFmt w:val="none"/>
      <w:pStyle w:val="Heading8"/>
      <w:suff w:val="nothing"/>
      <w:lvlText w:val=""/>
      <w:lvlJc w:val="left"/>
      <w:pPr>
        <w:tabs>
          <w:tab w:val="num" w:pos="2160"/>
        </w:tabs>
        <w:ind w:left="2160" w:hanging="2160"/>
      </w:pPr>
      <w:rPr>
        <w:rFonts w:ascii="Times New Roman" w:hAnsi="Times New Roman" w:cs="Times New Roman"/>
        <w:b/>
        <w:i w:val="0"/>
        <w:caps w:val="0"/>
        <w:sz w:val="24"/>
        <w:u w:val="none"/>
        <w:vertAlign w:val="baseline"/>
      </w:rPr>
    </w:lvl>
    <w:lvl w:ilvl="8">
      <w:start w:val="1"/>
      <w:numFmt w:val="none"/>
      <w:pStyle w:val="Heading9"/>
      <w:suff w:val="nothing"/>
      <w:lvlText w:val=""/>
      <w:lvlJc w:val="left"/>
      <w:pPr>
        <w:tabs>
          <w:tab w:val="num" w:pos="2400"/>
        </w:tabs>
        <w:ind w:left="2400" w:hanging="2400"/>
      </w:pPr>
      <w:rPr>
        <w:rFonts w:ascii="Times New Roman" w:hAnsi="Times New Roman" w:cs="Times New Roman"/>
        <w:b/>
        <w:i w:val="0"/>
        <w:caps w:val="0"/>
        <w:sz w:val="24"/>
        <w:u w:val="none"/>
        <w:vertAlign w:val="baseline"/>
      </w:rPr>
    </w:lvl>
  </w:abstractNum>
  <w:abstractNum w:abstractNumId="24" w15:restartNumberingAfterBreak="0">
    <w:nsid w:val="6E021128"/>
    <w:multiLevelType w:val="multilevel"/>
    <w:tmpl w:val="04090023"/>
    <w:styleLink w:val="ArticleSection"/>
    <w:lvl w:ilvl="0">
      <w:start w:val="1"/>
      <w:numFmt w:val="upperRoman"/>
      <w:lvlText w:val="Article %1."/>
      <w:lvlJc w:val="left"/>
      <w:pPr>
        <w:tabs>
          <w:tab w:val="num" w:pos="1800"/>
        </w:tabs>
        <w:ind w:left="0" w:firstLine="0"/>
      </w:pPr>
      <w:rPr>
        <w:rFonts w:ascii="Times New Roman" w:hAnsi="Times New Roman"/>
        <w:sz w:val="24"/>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8517E47"/>
    <w:multiLevelType w:val="multilevel"/>
    <w:tmpl w:val="040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9993A86"/>
    <w:multiLevelType w:val="singleLevel"/>
    <w:tmpl w:val="4FDC1108"/>
    <w:name w:val="WWlb2"/>
    <w:lvl w:ilvl="0">
      <w:start w:val="1"/>
      <w:numFmt w:val="bullet"/>
      <w:pStyle w:val="ListBullet2"/>
      <w:lvlText w:val="-"/>
      <w:lvlJc w:val="left"/>
      <w:pPr>
        <w:tabs>
          <w:tab w:val="num" w:pos="720"/>
        </w:tabs>
        <w:ind w:left="720" w:hanging="360"/>
      </w:pPr>
      <w:rPr>
        <w:rFonts w:ascii="Times New Roman" w:hAnsi="Times New Roman" w:cs="Times New Roman"/>
        <w:b w:val="0"/>
        <w:i w:val="0"/>
        <w:caps w:val="0"/>
        <w:sz w:val="24"/>
        <w:u w:val="none"/>
        <w:vertAlign w:val="baseline"/>
      </w:rPr>
    </w:lvl>
  </w:abstractNum>
  <w:num w:numId="1">
    <w:abstractNumId w:val="1"/>
  </w:num>
  <w:num w:numId="2">
    <w:abstractNumId w:val="3"/>
  </w:num>
  <w:num w:numId="3">
    <w:abstractNumId w:val="18"/>
  </w:num>
  <w:num w:numId="4">
    <w:abstractNumId w:val="2"/>
  </w:num>
  <w:num w:numId="5">
    <w:abstractNumId w:val="17"/>
  </w:num>
  <w:num w:numId="6">
    <w:abstractNumId w:val="25"/>
  </w:num>
  <w:num w:numId="7">
    <w:abstractNumId w:val="22"/>
  </w:num>
  <w:num w:numId="8">
    <w:abstractNumId w:val="24"/>
  </w:num>
  <w:num w:numId="9">
    <w:abstractNumId w:val="5"/>
  </w:num>
  <w:num w:numId="10">
    <w:abstractNumId w:val="13"/>
  </w:num>
  <w:num w:numId="11">
    <w:abstractNumId w:val="26"/>
  </w:num>
  <w:num w:numId="12">
    <w:abstractNumId w:val="14"/>
  </w:num>
  <w:num w:numId="13">
    <w:abstractNumId w:val="11"/>
  </w:num>
  <w:num w:numId="14">
    <w:abstractNumId w:val="21"/>
  </w:num>
  <w:num w:numId="15">
    <w:abstractNumId w:val="8"/>
  </w:num>
  <w:num w:numId="16">
    <w:abstractNumId w:val="6"/>
  </w:num>
  <w:num w:numId="17">
    <w:abstractNumId w:val="16"/>
  </w:num>
  <w:num w:numId="18">
    <w:abstractNumId w:val="23"/>
  </w:num>
  <w:num w:numId="19">
    <w:abstractNumId w:val="15"/>
  </w:num>
  <w:num w:numId="20">
    <w:abstractNumId w:val="1"/>
    <w:lvlOverride w:ilvl="0">
      <w:startOverride w:val="1"/>
    </w:lvlOverride>
  </w:num>
  <w:num w:numId="21">
    <w:abstractNumId w:val="12"/>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9"/>
  </w:num>
  <w:num w:numId="26">
    <w:abstractNumId w:val="10"/>
  </w:num>
  <w:num w:numId="27">
    <w:abstractNumId w:val="4"/>
  </w:num>
  <w:num w:numId="28">
    <w:abstractNumId w:val="0"/>
  </w:num>
  <w:num w:numId="29">
    <w:abstractNumId w:val="1"/>
    <w:lvlOverride w:ilvl="0">
      <w:startOverride w:val="1"/>
    </w:lvlOverride>
  </w:num>
  <w:num w:numId="30">
    <w:abstractNumId w:val="20"/>
  </w:num>
  <w:num w:numId="31">
    <w:abstractNumId w:val="1"/>
    <w:lvlOverride w:ilvl="0">
      <w:startOverride w:val="1"/>
    </w:lvlOverride>
  </w:num>
  <w:num w:numId="32">
    <w:abstractNumId w:val="1"/>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0"/>
  <w:characterSpacingControl w:val="doNotCompress"/>
  <w:hdrShapeDefaults>
    <o:shapedefaults v:ext="edit" spidmax="1986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endixPageHiding" w:val="0"/>
    <w:docVar w:name="CaptionContinued" w:val="(continued)"/>
    <w:docVar w:name="CaptionIndent" w:val="1"/>
    <w:docVar w:name="CaptionNumberMethod" w:val="1"/>
    <w:docVar w:name="CaptionSeparator" w:val="1"/>
    <w:docVar w:name="CaptionStyle" w:val="0"/>
    <w:docVar w:name="CitationStyle" w:val="3"/>
    <w:docVar w:name="ContentTemplateDate" w:val="3/13/2019 12:00:00 AM"/>
    <w:docVar w:name="CurrentVersion" w:val="3.1"/>
    <w:docVar w:name="CustomBullet" w:val="CustomType-Bullet|StyleName-List Bullet|SchemaID-1|Code-WW|Suffix-lb|NumberStyle-23|IndentValue-0|ParaStyleName--49|IsSuperscripted-False|BulletCharacter-8226|FontName-|FontSize-16|;CustomType-Bullet|StyleName-List Bullet 2|SchemaID-1|Code-WW|Suffix-lb2|NumberStyle-23|IndentValue-0|ParaStyleName--55|IsSuperscripted-False|BulletCharacter-45|FontName-|FontSize-|;CustomType-Bullet|StyleName-List Bullet 3|SchemaID-1|Code-WW|Suffix-lb3|NumberStyle-23|IndentValue-0|ParaStyleName--56|IsSuperscripted-False|BulletCharacter-9702|FontName-|FontSize-|;"/>
    <w:docVar w:name="CustomListTemplate" w:val="ISIWriter"/>
    <w:docVar w:name="CustomNumber" w:val="CustomType-Number|StyleName-Appendix|SchemaID-1|Code-WW|Suffix-at|NumberStyle-0|IndentValue-0|ParaStyleName-Appendix|PictureString-1, 2, 3|CustomFormat-Appendix %1|Separator-0|Superscript-False|NumberPosition-Left|SingleNumbered-1|;CustomType-Number|StyleName-List Letter|SchemaID-1|Code-WW|Suffix-ll|NumberStyle-4|IndentValue-0|ParaStyleName-List Letter|PictureString-a, b, c|CustomFormat-%1.|Separator-0|Superscript-False|NumberPosition-Left|SingleNumbered-0|;CustomType-Number|StyleName-List Letter 2|SchemaID-1|Code-WW|Suffix-ll2|NumberStyle-4|IndentValue-0|ParaStyleName-List Letter 2|PictureString-a, b, c|CustomFormat-%1.|Separator-0|Superscript-False|NumberPosition-Left|SingleNumbered-0|;CustomType-Number|StyleName-List Letter 3|SchemaID-1|Code-WW|Suffix-ll3|NumberStyle-4|IndentValue-0|ParaStyleName-List Letter 3|PictureString-a, b, c|CustomFormat-%1.|Separator-0|Superscript-False|NumberPosition-Left|SingleNumbered-0|;CustomType-Number|StyleName-List Number|SchemaID-1|Code-WW|Suffix-ln|NumberStyle-0|IndentValue-0|ParaStyleName--50|PictureString-1, 2, 3|CustomFormat-%1.|Separator-0|Superscript-False|NumberPosition-Left|SingleNumbered-0|;CustomType-Number|StyleName-List Number 2|SchemaID-1|Code-WW|Suffix-ln2|NumberStyle-0|IndentValue-0|ParaStyleName--59|PictureString-1, 2, 3|CustomFormat-%1.|Separator-0|Superscript-False|NumberPosition-Left|SingleNumbered-0|;CustomType-Number|StyleName-List Number 3|SchemaID-1|Code-WW|Suffix-ln3|NumberStyle-0|IndentValue-0|ParaStyleName--60|PictureString-1, 2, 3|CustomFormat-%1.|Separator-0|Superscript-False|NumberPosition-Left|SingleNumbered-0|;CustomType-Number|StyleName-References|SchemaID-1|Code-WW|Suffix-re|NumberStyle-0|IndentValue-0|ParaStyleName-References|PictureString-1, 2, 3|CustomFormat-%1.|Separator-0|Superscript-False|NumberPosition-Left|SingleNumbered-0|;CustomType-Number|StyleName-Table Footnote|SchemaID-1|Code-WW|Suffix-tf|NumberStyle-0|IndentValue-0|ParaStyleName-Table Footnote|PictureString-1, 2, 3|CustomFormat-%1|Separator-0|Superscript-True|NumberPosition-Left|SingleNumbered-0|;CustomType-Number|StyleName-Table Footnote Letter|SchemaID-1|Code-WW|Suffix-tfl|NumberStyle-4|IndentValue-0|ParaStyleName-Table Footnote Letter|PictureString-a, b, c|CustomFormat-%1|Separator-0|Superscript-True|NumberPosition-Left|SingleNumbered-0|;"/>
    <w:docVar w:name="CustomOutline" w:val="CustomType-Outline|StyleName-Heading 1|SchemaID-1|Code-WW|Suffix-H|NumberStyle-0|IndentValue-0|ParaStyleName--2|LinkLevel-1|PictureString-1, 2, 3|CustomFormat-%1|FontName-|IsLegal-0|Separator-0|NumberPosition-Left|;CustomType-Outline|StyleName-Heading 2|SchemaID-1|Code-WW|Suffix-H|NumberStyle-0|IndentValue-0|ParaStyleName--3|LinkLevel-2|PictureString-1, 2, 3|CustomFormat-%1.%2|FontName-|IsLegal-0|Separator-0|NumberPosition-Left|;CustomType-Outline|StyleName-Heading 3|SchemaID-1|Code-WW|Suffix-H|NumberStyle-0|IndentValue-0|ParaStyleName--4|LinkLevel-3|PictureString-1, 2, 3|CustomFormat-%1.%2.%3|FontName-|IsLegal-0|Separator-0|NumberPosition-Left|;CustomType-Outline|StyleName-Heading 4|SchemaID-1|Code-WW|Suffix-H|NumberStyle-0|IndentValue-0|ParaStyleName--5|LinkLevel-4|PictureString-1, 2, 3|CustomFormat-%1.%2.%3.%4|FontName-|IsLegal-0|Separator-0|NumberPosition-Left|;CustomType-Outline|StyleName-Heading 5|SchemaID-1|Code-WW|Suffix-H|NumberStyle-0|IndentValue-0|ParaStyleName--6|LinkLevel-5|PictureString-1, 2, 3|CustomFormat-%1.%2.%3.%4.%5|FontName-|IsLegal-0|Separator-0|NumberPosition-Left|;CustomType-Outline|StyleName-Heading 6|SchemaID-1|Code-WW|Suffix-H|NumberStyle-0|IndentValue-0|ParaStyleName--7|LinkLevel-6|PictureString-1, 2, 3|CustomFormat-%1.%2.%3.%4.%5.%6|FontName-|IsLegal-0|Separator-0|NumberPosition-Left|;CustomType-Outline|StyleName-Heading 7|SchemaID-1|Code-WW|Suffix-H|NumberStyle-0|IndentValue-0|ParaStyleName--8|LinkLevel-7|PictureString-1, 2, 3|CustomFormat-%1.%2.%3.%4.%5.%6.%7|FontName-|IsLegal-0|Separator-0|NumberPosition-Left|;CustomType-Outline|StyleName-Heading 8|SchemaID-1|Code-WW|Suffix-H|NumberStyle-0|IndentValue-0|ParaStyleName--9|LinkLevel-8|PictureString-1, 2, 3|CustomFormat-%1.%2.%3.%4.%5.%6.%7.%8|FontName-|IsLegal-0|Separator-0|NumberPosition-Left|;CustomType-Outline|StyleName-Heading 9|SchemaID-1|Code-WW|Suffix-H|NumberStyle-0|IndentValue-0|ParaStyleName--10|LinkLevel-9|PictureString-1, 2, 3|CustomFormat-%1.%2.%3.%4.%5.%6.%7.%8.%9|FontName-|IsLegal-0|Separator-0|NumberPosition-Left|;"/>
    <w:docVar w:name="CustomStyleMenuScheme" w:val="ISIWriter"/>
    <w:docVar w:name="DateFormat" w:val="dd MMMM yyyy"/>
    <w:docVar w:name="DefaultTableFont" w:val="Times New Roman"/>
    <w:docVar w:name="DefaultTableFontSize" w:val="9"/>
    <w:docVar w:name="DefaultTableMajGridSize" w:val="12"/>
    <w:docVar w:name="DefaultTableMajLineType" w:val="1"/>
    <w:docVar w:name="DefaultTableMinGridSize" w:val="6"/>
    <w:docVar w:name="DefaultTableMinLineType" w:val="1"/>
    <w:docVar w:name="FieldList" w:val="|"/>
    <w:docVar w:name="FigureCaptionAbove" w:val="1"/>
    <w:docVar w:name="HeadingLevels" w:val="4"/>
    <w:docVar w:name="IsCustomized" w:val="YES"/>
    <w:docVar w:name="LinkStyle" w:val="1"/>
    <w:docVar w:name="LinkTo" w:val="0"/>
    <w:docVar w:name="LinkType" w:val="Table"/>
    <w:docVar w:name="NoIndentIncrease" w:val="0"/>
    <w:docVar w:name="PeriodAfter" w:val="0"/>
    <w:docVar w:name="RefListStyle" w:val="2"/>
    <w:docVar w:name="SiteTemplate" w:val="C:\Program Files (x86)\Merck Template\ISIWriter Site Template.doc"/>
    <w:docVar w:name="SuppressPrefix" w:val="0"/>
    <w:docVar w:name="TableAlign" w:val="2"/>
    <w:docVar w:name="TableBodyCellStyle" w:val="Table Center"/>
    <w:docVar w:name="TableCaptionAsRow" w:val="1"/>
    <w:docVar w:name="TableColumnHeadingStyle" w:val="Table Head"/>
    <w:docVar w:name="TableFootnoteType" w:val="Number"/>
    <w:docVar w:name="TableGridOption" w:val="AboveBelow"/>
    <w:docVar w:name="TableLockedSettings" w:val="1"/>
    <w:docVar w:name="TableRowHeadingStyle" w:val="Table Left"/>
    <w:docVar w:name="TOCCaption" w:val="Table Of Contents"/>
    <w:docVar w:name="UnlinkObjects" w:val="0"/>
  </w:docVars>
  <w:rsids>
    <w:rsidRoot w:val="00D6116E"/>
    <w:rsid w:val="00000A61"/>
    <w:rsid w:val="0000108C"/>
    <w:rsid w:val="000022BE"/>
    <w:rsid w:val="000044AE"/>
    <w:rsid w:val="00004EE1"/>
    <w:rsid w:val="000077DC"/>
    <w:rsid w:val="00010133"/>
    <w:rsid w:val="00011E42"/>
    <w:rsid w:val="000137E6"/>
    <w:rsid w:val="000150F1"/>
    <w:rsid w:val="0001735D"/>
    <w:rsid w:val="000178E4"/>
    <w:rsid w:val="00017DBE"/>
    <w:rsid w:val="0002035D"/>
    <w:rsid w:val="0002453F"/>
    <w:rsid w:val="00026DF7"/>
    <w:rsid w:val="00027EB5"/>
    <w:rsid w:val="0003047D"/>
    <w:rsid w:val="00030541"/>
    <w:rsid w:val="0003077A"/>
    <w:rsid w:val="00030BF6"/>
    <w:rsid w:val="00032916"/>
    <w:rsid w:val="000338FF"/>
    <w:rsid w:val="000344AC"/>
    <w:rsid w:val="00034C00"/>
    <w:rsid w:val="00035B8F"/>
    <w:rsid w:val="00040046"/>
    <w:rsid w:val="00041708"/>
    <w:rsid w:val="00041DC2"/>
    <w:rsid w:val="0005055C"/>
    <w:rsid w:val="00051F86"/>
    <w:rsid w:val="000531BD"/>
    <w:rsid w:val="00053E4A"/>
    <w:rsid w:val="00054A0A"/>
    <w:rsid w:val="00055270"/>
    <w:rsid w:val="0005690F"/>
    <w:rsid w:val="00056E27"/>
    <w:rsid w:val="00060F50"/>
    <w:rsid w:val="00062751"/>
    <w:rsid w:val="0006347C"/>
    <w:rsid w:val="00063C04"/>
    <w:rsid w:val="00063F77"/>
    <w:rsid w:val="00064EC1"/>
    <w:rsid w:val="000669B6"/>
    <w:rsid w:val="000702B5"/>
    <w:rsid w:val="00071737"/>
    <w:rsid w:val="00071C8B"/>
    <w:rsid w:val="00073E02"/>
    <w:rsid w:val="00073E50"/>
    <w:rsid w:val="00074384"/>
    <w:rsid w:val="00076027"/>
    <w:rsid w:val="00076961"/>
    <w:rsid w:val="00080A05"/>
    <w:rsid w:val="00083447"/>
    <w:rsid w:val="000876B2"/>
    <w:rsid w:val="00087899"/>
    <w:rsid w:val="00091BEC"/>
    <w:rsid w:val="00092913"/>
    <w:rsid w:val="00092966"/>
    <w:rsid w:val="00093186"/>
    <w:rsid w:val="000950E1"/>
    <w:rsid w:val="00096B8C"/>
    <w:rsid w:val="000A1CE3"/>
    <w:rsid w:val="000A238A"/>
    <w:rsid w:val="000A2779"/>
    <w:rsid w:val="000A32EB"/>
    <w:rsid w:val="000A3399"/>
    <w:rsid w:val="000A41F7"/>
    <w:rsid w:val="000A47CF"/>
    <w:rsid w:val="000A6263"/>
    <w:rsid w:val="000A6995"/>
    <w:rsid w:val="000A6A1B"/>
    <w:rsid w:val="000B0CAD"/>
    <w:rsid w:val="000B22F2"/>
    <w:rsid w:val="000B2DC1"/>
    <w:rsid w:val="000B3166"/>
    <w:rsid w:val="000B3F80"/>
    <w:rsid w:val="000B4C35"/>
    <w:rsid w:val="000B4FAF"/>
    <w:rsid w:val="000B5168"/>
    <w:rsid w:val="000B5B8C"/>
    <w:rsid w:val="000B5BFD"/>
    <w:rsid w:val="000B6BA0"/>
    <w:rsid w:val="000B786F"/>
    <w:rsid w:val="000C2048"/>
    <w:rsid w:val="000C658E"/>
    <w:rsid w:val="000C72C0"/>
    <w:rsid w:val="000C77C5"/>
    <w:rsid w:val="000D045E"/>
    <w:rsid w:val="000D0B5C"/>
    <w:rsid w:val="000D1D23"/>
    <w:rsid w:val="000D22DC"/>
    <w:rsid w:val="000D3DC3"/>
    <w:rsid w:val="000D707A"/>
    <w:rsid w:val="000D7574"/>
    <w:rsid w:val="000E0705"/>
    <w:rsid w:val="000E2771"/>
    <w:rsid w:val="000E33CD"/>
    <w:rsid w:val="000E4C10"/>
    <w:rsid w:val="000E5AB2"/>
    <w:rsid w:val="000E7150"/>
    <w:rsid w:val="000F177D"/>
    <w:rsid w:val="000F22FE"/>
    <w:rsid w:val="000F47F2"/>
    <w:rsid w:val="00100058"/>
    <w:rsid w:val="001003A1"/>
    <w:rsid w:val="00100830"/>
    <w:rsid w:val="00100CFE"/>
    <w:rsid w:val="00100DE8"/>
    <w:rsid w:val="00102486"/>
    <w:rsid w:val="00102EE7"/>
    <w:rsid w:val="001044DC"/>
    <w:rsid w:val="00105AAD"/>
    <w:rsid w:val="001107D3"/>
    <w:rsid w:val="001108A9"/>
    <w:rsid w:val="001108C7"/>
    <w:rsid w:val="00111F39"/>
    <w:rsid w:val="00112B17"/>
    <w:rsid w:val="00114EF2"/>
    <w:rsid w:val="00115A37"/>
    <w:rsid w:val="00115AE0"/>
    <w:rsid w:val="001200EB"/>
    <w:rsid w:val="00120A58"/>
    <w:rsid w:val="00120B44"/>
    <w:rsid w:val="00122365"/>
    <w:rsid w:val="001238A1"/>
    <w:rsid w:val="001248FC"/>
    <w:rsid w:val="00125BC1"/>
    <w:rsid w:val="00131443"/>
    <w:rsid w:val="00131FCD"/>
    <w:rsid w:val="00132BE7"/>
    <w:rsid w:val="001345E5"/>
    <w:rsid w:val="001351AA"/>
    <w:rsid w:val="00135E6D"/>
    <w:rsid w:val="001364BF"/>
    <w:rsid w:val="00137B50"/>
    <w:rsid w:val="0014053D"/>
    <w:rsid w:val="00141D66"/>
    <w:rsid w:val="00142F5F"/>
    <w:rsid w:val="00143E01"/>
    <w:rsid w:val="001441DF"/>
    <w:rsid w:val="00144310"/>
    <w:rsid w:val="00150086"/>
    <w:rsid w:val="00153674"/>
    <w:rsid w:val="001549F0"/>
    <w:rsid w:val="00156969"/>
    <w:rsid w:val="00157CDF"/>
    <w:rsid w:val="00161045"/>
    <w:rsid w:val="00161DD4"/>
    <w:rsid w:val="00162BD8"/>
    <w:rsid w:val="001662AC"/>
    <w:rsid w:val="00171410"/>
    <w:rsid w:val="00171B56"/>
    <w:rsid w:val="00171BC4"/>
    <w:rsid w:val="00171C41"/>
    <w:rsid w:val="00173714"/>
    <w:rsid w:val="00180CCB"/>
    <w:rsid w:val="00181AB1"/>
    <w:rsid w:val="00183D6C"/>
    <w:rsid w:val="00184D98"/>
    <w:rsid w:val="00187529"/>
    <w:rsid w:val="00191B29"/>
    <w:rsid w:val="00191E28"/>
    <w:rsid w:val="0019421C"/>
    <w:rsid w:val="00194994"/>
    <w:rsid w:val="001979F4"/>
    <w:rsid w:val="001A19AB"/>
    <w:rsid w:val="001A27F0"/>
    <w:rsid w:val="001A34DC"/>
    <w:rsid w:val="001A3CF0"/>
    <w:rsid w:val="001A4AC6"/>
    <w:rsid w:val="001A5270"/>
    <w:rsid w:val="001A6C98"/>
    <w:rsid w:val="001B3A82"/>
    <w:rsid w:val="001B4858"/>
    <w:rsid w:val="001B4FEC"/>
    <w:rsid w:val="001C21AA"/>
    <w:rsid w:val="001C37C4"/>
    <w:rsid w:val="001C4822"/>
    <w:rsid w:val="001C4DF5"/>
    <w:rsid w:val="001C5263"/>
    <w:rsid w:val="001D05D5"/>
    <w:rsid w:val="001D0A01"/>
    <w:rsid w:val="001D0D47"/>
    <w:rsid w:val="001D0F78"/>
    <w:rsid w:val="001D2DE5"/>
    <w:rsid w:val="001D3B8F"/>
    <w:rsid w:val="001D3F07"/>
    <w:rsid w:val="001D47C5"/>
    <w:rsid w:val="001E0B22"/>
    <w:rsid w:val="001E13FF"/>
    <w:rsid w:val="001E2A09"/>
    <w:rsid w:val="001E73C6"/>
    <w:rsid w:val="001E7681"/>
    <w:rsid w:val="001E77C2"/>
    <w:rsid w:val="001F00CA"/>
    <w:rsid w:val="001F034F"/>
    <w:rsid w:val="001F1603"/>
    <w:rsid w:val="001F21B3"/>
    <w:rsid w:val="001F2E33"/>
    <w:rsid w:val="001F38E1"/>
    <w:rsid w:val="001F44F8"/>
    <w:rsid w:val="001F4BC0"/>
    <w:rsid w:val="001F4F28"/>
    <w:rsid w:val="001F66EB"/>
    <w:rsid w:val="001F6FD4"/>
    <w:rsid w:val="001F77C4"/>
    <w:rsid w:val="00200F8D"/>
    <w:rsid w:val="0020164D"/>
    <w:rsid w:val="0020568A"/>
    <w:rsid w:val="00206C70"/>
    <w:rsid w:val="00210032"/>
    <w:rsid w:val="0021041E"/>
    <w:rsid w:val="002105DD"/>
    <w:rsid w:val="002110CF"/>
    <w:rsid w:val="00212E32"/>
    <w:rsid w:val="0021393F"/>
    <w:rsid w:val="00214E64"/>
    <w:rsid w:val="00215E97"/>
    <w:rsid w:val="002210FB"/>
    <w:rsid w:val="00222CD8"/>
    <w:rsid w:val="00224765"/>
    <w:rsid w:val="00225866"/>
    <w:rsid w:val="002263E8"/>
    <w:rsid w:val="002264FE"/>
    <w:rsid w:val="00227A3E"/>
    <w:rsid w:val="00231A6D"/>
    <w:rsid w:val="00231C39"/>
    <w:rsid w:val="00231F93"/>
    <w:rsid w:val="002320AB"/>
    <w:rsid w:val="00234C29"/>
    <w:rsid w:val="0023730B"/>
    <w:rsid w:val="00237C67"/>
    <w:rsid w:val="00237F56"/>
    <w:rsid w:val="00240701"/>
    <w:rsid w:val="00243149"/>
    <w:rsid w:val="0024333A"/>
    <w:rsid w:val="0024758F"/>
    <w:rsid w:val="002476A8"/>
    <w:rsid w:val="002476AF"/>
    <w:rsid w:val="0025144B"/>
    <w:rsid w:val="00253724"/>
    <w:rsid w:val="0025503E"/>
    <w:rsid w:val="00257482"/>
    <w:rsid w:val="002578B8"/>
    <w:rsid w:val="00261847"/>
    <w:rsid w:val="0026353A"/>
    <w:rsid w:val="0026427A"/>
    <w:rsid w:val="00264747"/>
    <w:rsid w:val="00264F4E"/>
    <w:rsid w:val="0026553A"/>
    <w:rsid w:val="00265EA8"/>
    <w:rsid w:val="00266143"/>
    <w:rsid w:val="002675E2"/>
    <w:rsid w:val="00272834"/>
    <w:rsid w:val="002728E2"/>
    <w:rsid w:val="00274FCE"/>
    <w:rsid w:val="002814E8"/>
    <w:rsid w:val="00282667"/>
    <w:rsid w:val="00283733"/>
    <w:rsid w:val="002841CB"/>
    <w:rsid w:val="00286229"/>
    <w:rsid w:val="00286B05"/>
    <w:rsid w:val="00287EBE"/>
    <w:rsid w:val="00290377"/>
    <w:rsid w:val="0029135B"/>
    <w:rsid w:val="00292057"/>
    <w:rsid w:val="0029361A"/>
    <w:rsid w:val="0029451C"/>
    <w:rsid w:val="00295E05"/>
    <w:rsid w:val="00297736"/>
    <w:rsid w:val="002A0F41"/>
    <w:rsid w:val="002A0FDD"/>
    <w:rsid w:val="002A4DBD"/>
    <w:rsid w:val="002B14CC"/>
    <w:rsid w:val="002B39C7"/>
    <w:rsid w:val="002B3E02"/>
    <w:rsid w:val="002B54CC"/>
    <w:rsid w:val="002C0300"/>
    <w:rsid w:val="002C1833"/>
    <w:rsid w:val="002C27F9"/>
    <w:rsid w:val="002C2C4B"/>
    <w:rsid w:val="002C3372"/>
    <w:rsid w:val="002C3597"/>
    <w:rsid w:val="002C3CBA"/>
    <w:rsid w:val="002C54AE"/>
    <w:rsid w:val="002C6DDE"/>
    <w:rsid w:val="002C79A6"/>
    <w:rsid w:val="002D16C5"/>
    <w:rsid w:val="002D27F0"/>
    <w:rsid w:val="002D51B9"/>
    <w:rsid w:val="002E115F"/>
    <w:rsid w:val="002E23E1"/>
    <w:rsid w:val="002E3944"/>
    <w:rsid w:val="002E3B74"/>
    <w:rsid w:val="002E4267"/>
    <w:rsid w:val="002E5520"/>
    <w:rsid w:val="002E660D"/>
    <w:rsid w:val="002E719A"/>
    <w:rsid w:val="002F0F13"/>
    <w:rsid w:val="002F1A39"/>
    <w:rsid w:val="002F3FCF"/>
    <w:rsid w:val="002F4337"/>
    <w:rsid w:val="002F4D3C"/>
    <w:rsid w:val="002F5449"/>
    <w:rsid w:val="002F5737"/>
    <w:rsid w:val="002F781D"/>
    <w:rsid w:val="002F7924"/>
    <w:rsid w:val="002F7AE7"/>
    <w:rsid w:val="003004DE"/>
    <w:rsid w:val="0030099E"/>
    <w:rsid w:val="00300B4B"/>
    <w:rsid w:val="00300C02"/>
    <w:rsid w:val="00301DFD"/>
    <w:rsid w:val="003020D6"/>
    <w:rsid w:val="00305E27"/>
    <w:rsid w:val="00306A41"/>
    <w:rsid w:val="00306A48"/>
    <w:rsid w:val="00310C4F"/>
    <w:rsid w:val="00312414"/>
    <w:rsid w:val="003144A2"/>
    <w:rsid w:val="00315598"/>
    <w:rsid w:val="003159D4"/>
    <w:rsid w:val="00322AE8"/>
    <w:rsid w:val="00322BD2"/>
    <w:rsid w:val="00323456"/>
    <w:rsid w:val="003236A7"/>
    <w:rsid w:val="00323817"/>
    <w:rsid w:val="00323F48"/>
    <w:rsid w:val="00325003"/>
    <w:rsid w:val="00325B61"/>
    <w:rsid w:val="00326C8A"/>
    <w:rsid w:val="00327D25"/>
    <w:rsid w:val="00327DB2"/>
    <w:rsid w:val="003308C4"/>
    <w:rsid w:val="003312FA"/>
    <w:rsid w:val="00332B84"/>
    <w:rsid w:val="00333952"/>
    <w:rsid w:val="003341D2"/>
    <w:rsid w:val="003344C1"/>
    <w:rsid w:val="00335690"/>
    <w:rsid w:val="003379EE"/>
    <w:rsid w:val="0034155A"/>
    <w:rsid w:val="003428DB"/>
    <w:rsid w:val="00343054"/>
    <w:rsid w:val="00344BDD"/>
    <w:rsid w:val="00346B99"/>
    <w:rsid w:val="003471F9"/>
    <w:rsid w:val="0035024C"/>
    <w:rsid w:val="0035305B"/>
    <w:rsid w:val="00353BCA"/>
    <w:rsid w:val="00354528"/>
    <w:rsid w:val="00354651"/>
    <w:rsid w:val="00357F57"/>
    <w:rsid w:val="0036093C"/>
    <w:rsid w:val="00360CE4"/>
    <w:rsid w:val="00364943"/>
    <w:rsid w:val="00366D1B"/>
    <w:rsid w:val="00366F7A"/>
    <w:rsid w:val="00372435"/>
    <w:rsid w:val="00373C20"/>
    <w:rsid w:val="00373C43"/>
    <w:rsid w:val="003741F4"/>
    <w:rsid w:val="00375349"/>
    <w:rsid w:val="0037782C"/>
    <w:rsid w:val="003778F3"/>
    <w:rsid w:val="00381CC3"/>
    <w:rsid w:val="00382F0F"/>
    <w:rsid w:val="00383C40"/>
    <w:rsid w:val="00383C9D"/>
    <w:rsid w:val="0038568B"/>
    <w:rsid w:val="00385CAA"/>
    <w:rsid w:val="00385E22"/>
    <w:rsid w:val="003877DE"/>
    <w:rsid w:val="003905DB"/>
    <w:rsid w:val="00392014"/>
    <w:rsid w:val="003923FC"/>
    <w:rsid w:val="003978B0"/>
    <w:rsid w:val="003A0F22"/>
    <w:rsid w:val="003A1E48"/>
    <w:rsid w:val="003A3205"/>
    <w:rsid w:val="003A6125"/>
    <w:rsid w:val="003A7AEC"/>
    <w:rsid w:val="003B5FC9"/>
    <w:rsid w:val="003B62AF"/>
    <w:rsid w:val="003B7559"/>
    <w:rsid w:val="003C02BB"/>
    <w:rsid w:val="003C2417"/>
    <w:rsid w:val="003C3332"/>
    <w:rsid w:val="003C4422"/>
    <w:rsid w:val="003C4C8C"/>
    <w:rsid w:val="003C50C5"/>
    <w:rsid w:val="003C55B3"/>
    <w:rsid w:val="003C6843"/>
    <w:rsid w:val="003C74BF"/>
    <w:rsid w:val="003D3F7D"/>
    <w:rsid w:val="003D4B1C"/>
    <w:rsid w:val="003D51B5"/>
    <w:rsid w:val="003D5C89"/>
    <w:rsid w:val="003D6027"/>
    <w:rsid w:val="003D66D2"/>
    <w:rsid w:val="003D72AF"/>
    <w:rsid w:val="003E0B9D"/>
    <w:rsid w:val="003E3C31"/>
    <w:rsid w:val="003E6D91"/>
    <w:rsid w:val="003E733D"/>
    <w:rsid w:val="003F0DA2"/>
    <w:rsid w:val="003F16E5"/>
    <w:rsid w:val="003F230C"/>
    <w:rsid w:val="003F3E73"/>
    <w:rsid w:val="003F5784"/>
    <w:rsid w:val="003F6B29"/>
    <w:rsid w:val="003F7949"/>
    <w:rsid w:val="00401F56"/>
    <w:rsid w:val="00403463"/>
    <w:rsid w:val="004035E1"/>
    <w:rsid w:val="0040471B"/>
    <w:rsid w:val="00404E79"/>
    <w:rsid w:val="00405A6D"/>
    <w:rsid w:val="00405D56"/>
    <w:rsid w:val="00405EF2"/>
    <w:rsid w:val="00406C83"/>
    <w:rsid w:val="00413B5D"/>
    <w:rsid w:val="00413C25"/>
    <w:rsid w:val="004147A9"/>
    <w:rsid w:val="00420D7B"/>
    <w:rsid w:val="00422820"/>
    <w:rsid w:val="004249C0"/>
    <w:rsid w:val="0042529C"/>
    <w:rsid w:val="00426DE8"/>
    <w:rsid w:val="00427536"/>
    <w:rsid w:val="0042769E"/>
    <w:rsid w:val="004278AF"/>
    <w:rsid w:val="00430825"/>
    <w:rsid w:val="004418A0"/>
    <w:rsid w:val="0044397D"/>
    <w:rsid w:val="004478BE"/>
    <w:rsid w:val="00447B63"/>
    <w:rsid w:val="004531D7"/>
    <w:rsid w:val="00455E6D"/>
    <w:rsid w:val="00460DE2"/>
    <w:rsid w:val="00460E58"/>
    <w:rsid w:val="0046132D"/>
    <w:rsid w:val="00462973"/>
    <w:rsid w:val="0046358C"/>
    <w:rsid w:val="004643D3"/>
    <w:rsid w:val="00465710"/>
    <w:rsid w:val="00465A91"/>
    <w:rsid w:val="00465F11"/>
    <w:rsid w:val="00466BAE"/>
    <w:rsid w:val="0046755D"/>
    <w:rsid w:val="0047144E"/>
    <w:rsid w:val="00472973"/>
    <w:rsid w:val="00473AE1"/>
    <w:rsid w:val="00473FC9"/>
    <w:rsid w:val="0047481F"/>
    <w:rsid w:val="00475CC0"/>
    <w:rsid w:val="00477640"/>
    <w:rsid w:val="00477684"/>
    <w:rsid w:val="0048088F"/>
    <w:rsid w:val="00480DDD"/>
    <w:rsid w:val="004818F8"/>
    <w:rsid w:val="004854A6"/>
    <w:rsid w:val="00485ED3"/>
    <w:rsid w:val="00485F27"/>
    <w:rsid w:val="00487C99"/>
    <w:rsid w:val="00491398"/>
    <w:rsid w:val="00494937"/>
    <w:rsid w:val="004979E0"/>
    <w:rsid w:val="004A0808"/>
    <w:rsid w:val="004A2B86"/>
    <w:rsid w:val="004A416F"/>
    <w:rsid w:val="004A4335"/>
    <w:rsid w:val="004A4DB0"/>
    <w:rsid w:val="004A76AC"/>
    <w:rsid w:val="004A77A8"/>
    <w:rsid w:val="004A7F73"/>
    <w:rsid w:val="004B0037"/>
    <w:rsid w:val="004B0760"/>
    <w:rsid w:val="004B0F0C"/>
    <w:rsid w:val="004B19B2"/>
    <w:rsid w:val="004B1F82"/>
    <w:rsid w:val="004B1FF2"/>
    <w:rsid w:val="004B3CEC"/>
    <w:rsid w:val="004B4FAE"/>
    <w:rsid w:val="004B553A"/>
    <w:rsid w:val="004B6C2D"/>
    <w:rsid w:val="004C0676"/>
    <w:rsid w:val="004C0AF7"/>
    <w:rsid w:val="004C1EAD"/>
    <w:rsid w:val="004C2105"/>
    <w:rsid w:val="004C29A2"/>
    <w:rsid w:val="004C3872"/>
    <w:rsid w:val="004C41F7"/>
    <w:rsid w:val="004C751C"/>
    <w:rsid w:val="004C7ABA"/>
    <w:rsid w:val="004D273C"/>
    <w:rsid w:val="004D36E0"/>
    <w:rsid w:val="004D6826"/>
    <w:rsid w:val="004D719C"/>
    <w:rsid w:val="004D7614"/>
    <w:rsid w:val="004D7D98"/>
    <w:rsid w:val="004E3B1A"/>
    <w:rsid w:val="004E53BB"/>
    <w:rsid w:val="004F04B2"/>
    <w:rsid w:val="004F1810"/>
    <w:rsid w:val="004F2827"/>
    <w:rsid w:val="004F2E7A"/>
    <w:rsid w:val="004F47EF"/>
    <w:rsid w:val="004F504E"/>
    <w:rsid w:val="004F5E2F"/>
    <w:rsid w:val="004F63D2"/>
    <w:rsid w:val="004F6BF1"/>
    <w:rsid w:val="004F7262"/>
    <w:rsid w:val="004F72AB"/>
    <w:rsid w:val="004F7FCB"/>
    <w:rsid w:val="00500211"/>
    <w:rsid w:val="00500DE1"/>
    <w:rsid w:val="00500F75"/>
    <w:rsid w:val="005012BA"/>
    <w:rsid w:val="00501425"/>
    <w:rsid w:val="005030E1"/>
    <w:rsid w:val="0050433D"/>
    <w:rsid w:val="00505B9A"/>
    <w:rsid w:val="005064A6"/>
    <w:rsid w:val="00506F3F"/>
    <w:rsid w:val="00510AA2"/>
    <w:rsid w:val="00513BA9"/>
    <w:rsid w:val="005149FB"/>
    <w:rsid w:val="005234CF"/>
    <w:rsid w:val="00525442"/>
    <w:rsid w:val="0052577B"/>
    <w:rsid w:val="005264AB"/>
    <w:rsid w:val="0052791A"/>
    <w:rsid w:val="00527EFD"/>
    <w:rsid w:val="00527FD5"/>
    <w:rsid w:val="00530307"/>
    <w:rsid w:val="00534048"/>
    <w:rsid w:val="005344B1"/>
    <w:rsid w:val="00534FF0"/>
    <w:rsid w:val="00535286"/>
    <w:rsid w:val="0053636B"/>
    <w:rsid w:val="005418C9"/>
    <w:rsid w:val="005418E6"/>
    <w:rsid w:val="005426B1"/>
    <w:rsid w:val="0054315E"/>
    <w:rsid w:val="00544BF9"/>
    <w:rsid w:val="0054615F"/>
    <w:rsid w:val="005465ED"/>
    <w:rsid w:val="00546D3D"/>
    <w:rsid w:val="00547DF3"/>
    <w:rsid w:val="00551064"/>
    <w:rsid w:val="00551A69"/>
    <w:rsid w:val="00552A02"/>
    <w:rsid w:val="00554053"/>
    <w:rsid w:val="00554D3E"/>
    <w:rsid w:val="00554EA7"/>
    <w:rsid w:val="00555449"/>
    <w:rsid w:val="00560480"/>
    <w:rsid w:val="00560A42"/>
    <w:rsid w:val="00560C15"/>
    <w:rsid w:val="00561F44"/>
    <w:rsid w:val="0056308C"/>
    <w:rsid w:val="0056536F"/>
    <w:rsid w:val="00566736"/>
    <w:rsid w:val="005669AA"/>
    <w:rsid w:val="00567A2A"/>
    <w:rsid w:val="0057067F"/>
    <w:rsid w:val="005768DD"/>
    <w:rsid w:val="005778BE"/>
    <w:rsid w:val="00577B31"/>
    <w:rsid w:val="00577EE7"/>
    <w:rsid w:val="00580A6A"/>
    <w:rsid w:val="00580E91"/>
    <w:rsid w:val="00581A68"/>
    <w:rsid w:val="00581AD6"/>
    <w:rsid w:val="0058529E"/>
    <w:rsid w:val="005861B6"/>
    <w:rsid w:val="00587D2F"/>
    <w:rsid w:val="00587E36"/>
    <w:rsid w:val="0059072C"/>
    <w:rsid w:val="005940E0"/>
    <w:rsid w:val="0059588B"/>
    <w:rsid w:val="00596034"/>
    <w:rsid w:val="00597258"/>
    <w:rsid w:val="005A0B1C"/>
    <w:rsid w:val="005A223C"/>
    <w:rsid w:val="005A326E"/>
    <w:rsid w:val="005A41E6"/>
    <w:rsid w:val="005A6165"/>
    <w:rsid w:val="005A657B"/>
    <w:rsid w:val="005A7940"/>
    <w:rsid w:val="005B01E6"/>
    <w:rsid w:val="005B1245"/>
    <w:rsid w:val="005B18E8"/>
    <w:rsid w:val="005B20E8"/>
    <w:rsid w:val="005B55A2"/>
    <w:rsid w:val="005B6F77"/>
    <w:rsid w:val="005C1292"/>
    <w:rsid w:val="005C21C9"/>
    <w:rsid w:val="005C3C5A"/>
    <w:rsid w:val="005D06F9"/>
    <w:rsid w:val="005D16B4"/>
    <w:rsid w:val="005D1CF3"/>
    <w:rsid w:val="005D26A7"/>
    <w:rsid w:val="005D2A31"/>
    <w:rsid w:val="005D3AD9"/>
    <w:rsid w:val="005D48C0"/>
    <w:rsid w:val="005D4B21"/>
    <w:rsid w:val="005D5B06"/>
    <w:rsid w:val="005D5EAE"/>
    <w:rsid w:val="005D6B99"/>
    <w:rsid w:val="005D7BC3"/>
    <w:rsid w:val="005E1C21"/>
    <w:rsid w:val="005E326E"/>
    <w:rsid w:val="005E34B0"/>
    <w:rsid w:val="005E4F6E"/>
    <w:rsid w:val="005E5640"/>
    <w:rsid w:val="005E6E7F"/>
    <w:rsid w:val="005E7DBE"/>
    <w:rsid w:val="005F046E"/>
    <w:rsid w:val="005F1DE6"/>
    <w:rsid w:val="005F325C"/>
    <w:rsid w:val="005F347B"/>
    <w:rsid w:val="005F35AF"/>
    <w:rsid w:val="005F45F2"/>
    <w:rsid w:val="005F622F"/>
    <w:rsid w:val="005F7260"/>
    <w:rsid w:val="0060014E"/>
    <w:rsid w:val="0060141F"/>
    <w:rsid w:val="00602879"/>
    <w:rsid w:val="006038B0"/>
    <w:rsid w:val="00603D00"/>
    <w:rsid w:val="00604E09"/>
    <w:rsid w:val="00605CDB"/>
    <w:rsid w:val="00605D29"/>
    <w:rsid w:val="00606D47"/>
    <w:rsid w:val="00607440"/>
    <w:rsid w:val="006104DB"/>
    <w:rsid w:val="0061089F"/>
    <w:rsid w:val="00613A60"/>
    <w:rsid w:val="00613C51"/>
    <w:rsid w:val="0061448A"/>
    <w:rsid w:val="00615C98"/>
    <w:rsid w:val="00616B20"/>
    <w:rsid w:val="00616E7D"/>
    <w:rsid w:val="00617D47"/>
    <w:rsid w:val="00620B8D"/>
    <w:rsid w:val="00622595"/>
    <w:rsid w:val="00623D44"/>
    <w:rsid w:val="00624AF6"/>
    <w:rsid w:val="00624C8E"/>
    <w:rsid w:val="00625AEF"/>
    <w:rsid w:val="00625EC5"/>
    <w:rsid w:val="00627DA9"/>
    <w:rsid w:val="006309A4"/>
    <w:rsid w:val="0063101F"/>
    <w:rsid w:val="0063131F"/>
    <w:rsid w:val="006319B2"/>
    <w:rsid w:val="00631D38"/>
    <w:rsid w:val="00632194"/>
    <w:rsid w:val="00632FCD"/>
    <w:rsid w:val="006343BE"/>
    <w:rsid w:val="006344BE"/>
    <w:rsid w:val="006355CE"/>
    <w:rsid w:val="00636068"/>
    <w:rsid w:val="006366FA"/>
    <w:rsid w:val="0063726A"/>
    <w:rsid w:val="00641A7C"/>
    <w:rsid w:val="00643A49"/>
    <w:rsid w:val="00644B96"/>
    <w:rsid w:val="00645191"/>
    <w:rsid w:val="00645C9D"/>
    <w:rsid w:val="00645F3C"/>
    <w:rsid w:val="00646937"/>
    <w:rsid w:val="00646B06"/>
    <w:rsid w:val="00647B87"/>
    <w:rsid w:val="00650ADB"/>
    <w:rsid w:val="00652109"/>
    <w:rsid w:val="00652967"/>
    <w:rsid w:val="00653006"/>
    <w:rsid w:val="00654786"/>
    <w:rsid w:val="00655C1E"/>
    <w:rsid w:val="00657132"/>
    <w:rsid w:val="0065720E"/>
    <w:rsid w:val="006577FD"/>
    <w:rsid w:val="00657BFB"/>
    <w:rsid w:val="006625CE"/>
    <w:rsid w:val="00662CCA"/>
    <w:rsid w:val="00662F1D"/>
    <w:rsid w:val="00663E70"/>
    <w:rsid w:val="006656FF"/>
    <w:rsid w:val="0066646D"/>
    <w:rsid w:val="006666D6"/>
    <w:rsid w:val="00666D4D"/>
    <w:rsid w:val="00667B00"/>
    <w:rsid w:val="0067277F"/>
    <w:rsid w:val="00673409"/>
    <w:rsid w:val="00675426"/>
    <w:rsid w:val="006766A3"/>
    <w:rsid w:val="006775C5"/>
    <w:rsid w:val="00677A57"/>
    <w:rsid w:val="00682D88"/>
    <w:rsid w:val="00683258"/>
    <w:rsid w:val="00683417"/>
    <w:rsid w:val="006847C4"/>
    <w:rsid w:val="00687203"/>
    <w:rsid w:val="00690FB9"/>
    <w:rsid w:val="0069119A"/>
    <w:rsid w:val="00691E75"/>
    <w:rsid w:val="006927F4"/>
    <w:rsid w:val="0069449D"/>
    <w:rsid w:val="00695290"/>
    <w:rsid w:val="00695402"/>
    <w:rsid w:val="0069739D"/>
    <w:rsid w:val="006974F9"/>
    <w:rsid w:val="006A021C"/>
    <w:rsid w:val="006A0967"/>
    <w:rsid w:val="006A1952"/>
    <w:rsid w:val="006A295D"/>
    <w:rsid w:val="006A3087"/>
    <w:rsid w:val="006A30D2"/>
    <w:rsid w:val="006A4B64"/>
    <w:rsid w:val="006B0822"/>
    <w:rsid w:val="006B1559"/>
    <w:rsid w:val="006B41DC"/>
    <w:rsid w:val="006B50F1"/>
    <w:rsid w:val="006B78A0"/>
    <w:rsid w:val="006B7CF7"/>
    <w:rsid w:val="006C166D"/>
    <w:rsid w:val="006C2425"/>
    <w:rsid w:val="006C4BB6"/>
    <w:rsid w:val="006C5041"/>
    <w:rsid w:val="006C50BB"/>
    <w:rsid w:val="006C5C78"/>
    <w:rsid w:val="006C614E"/>
    <w:rsid w:val="006C6D69"/>
    <w:rsid w:val="006D1327"/>
    <w:rsid w:val="006D1601"/>
    <w:rsid w:val="006D16CF"/>
    <w:rsid w:val="006D3D44"/>
    <w:rsid w:val="006D6273"/>
    <w:rsid w:val="006D65DD"/>
    <w:rsid w:val="006E0997"/>
    <w:rsid w:val="006E15BC"/>
    <w:rsid w:val="006E372A"/>
    <w:rsid w:val="006E58CD"/>
    <w:rsid w:val="006E6C0E"/>
    <w:rsid w:val="006E7AA4"/>
    <w:rsid w:val="006F26FB"/>
    <w:rsid w:val="006F3218"/>
    <w:rsid w:val="006F38D3"/>
    <w:rsid w:val="006F4470"/>
    <w:rsid w:val="006F48D5"/>
    <w:rsid w:val="006F6009"/>
    <w:rsid w:val="006F6237"/>
    <w:rsid w:val="006F6B34"/>
    <w:rsid w:val="00702854"/>
    <w:rsid w:val="00706166"/>
    <w:rsid w:val="00706F3E"/>
    <w:rsid w:val="00707BD8"/>
    <w:rsid w:val="00711D8E"/>
    <w:rsid w:val="00712E0A"/>
    <w:rsid w:val="007134CD"/>
    <w:rsid w:val="007142E2"/>
    <w:rsid w:val="00714ED6"/>
    <w:rsid w:val="007155C2"/>
    <w:rsid w:val="00723E84"/>
    <w:rsid w:val="0072424F"/>
    <w:rsid w:val="007263CA"/>
    <w:rsid w:val="0072645F"/>
    <w:rsid w:val="00727D8E"/>
    <w:rsid w:val="00730C55"/>
    <w:rsid w:val="00732575"/>
    <w:rsid w:val="00734EC2"/>
    <w:rsid w:val="00735AD6"/>
    <w:rsid w:val="00737095"/>
    <w:rsid w:val="007376C1"/>
    <w:rsid w:val="00742707"/>
    <w:rsid w:val="00744366"/>
    <w:rsid w:val="007447F0"/>
    <w:rsid w:val="00745A4A"/>
    <w:rsid w:val="00746276"/>
    <w:rsid w:val="00746A33"/>
    <w:rsid w:val="00750E9F"/>
    <w:rsid w:val="00752134"/>
    <w:rsid w:val="00756398"/>
    <w:rsid w:val="00760437"/>
    <w:rsid w:val="00761521"/>
    <w:rsid w:val="00763599"/>
    <w:rsid w:val="007654D3"/>
    <w:rsid w:val="00770815"/>
    <w:rsid w:val="00770825"/>
    <w:rsid w:val="00770B63"/>
    <w:rsid w:val="0077263A"/>
    <w:rsid w:val="00773DA1"/>
    <w:rsid w:val="007766B6"/>
    <w:rsid w:val="00777896"/>
    <w:rsid w:val="00780046"/>
    <w:rsid w:val="007803F8"/>
    <w:rsid w:val="00781B0B"/>
    <w:rsid w:val="007820B3"/>
    <w:rsid w:val="00782B2D"/>
    <w:rsid w:val="00783EED"/>
    <w:rsid w:val="00784A2E"/>
    <w:rsid w:val="007869CE"/>
    <w:rsid w:val="00787C75"/>
    <w:rsid w:val="00790193"/>
    <w:rsid w:val="007921FA"/>
    <w:rsid w:val="0079285F"/>
    <w:rsid w:val="00792AA2"/>
    <w:rsid w:val="0079613C"/>
    <w:rsid w:val="00797A2F"/>
    <w:rsid w:val="007A079D"/>
    <w:rsid w:val="007A093F"/>
    <w:rsid w:val="007A1218"/>
    <w:rsid w:val="007A437C"/>
    <w:rsid w:val="007A48FC"/>
    <w:rsid w:val="007A4A18"/>
    <w:rsid w:val="007A6B28"/>
    <w:rsid w:val="007A6E13"/>
    <w:rsid w:val="007A6F1A"/>
    <w:rsid w:val="007A6F99"/>
    <w:rsid w:val="007A7235"/>
    <w:rsid w:val="007B1B7C"/>
    <w:rsid w:val="007B1D0F"/>
    <w:rsid w:val="007B2E99"/>
    <w:rsid w:val="007B30DC"/>
    <w:rsid w:val="007B4342"/>
    <w:rsid w:val="007B43F7"/>
    <w:rsid w:val="007B462F"/>
    <w:rsid w:val="007B531E"/>
    <w:rsid w:val="007B6E38"/>
    <w:rsid w:val="007B709B"/>
    <w:rsid w:val="007B7A4A"/>
    <w:rsid w:val="007C2A96"/>
    <w:rsid w:val="007C4A27"/>
    <w:rsid w:val="007C5D10"/>
    <w:rsid w:val="007C65C2"/>
    <w:rsid w:val="007C7998"/>
    <w:rsid w:val="007C79D6"/>
    <w:rsid w:val="007C7D58"/>
    <w:rsid w:val="007D0210"/>
    <w:rsid w:val="007D11EE"/>
    <w:rsid w:val="007D3D0A"/>
    <w:rsid w:val="007D519C"/>
    <w:rsid w:val="007D602E"/>
    <w:rsid w:val="007D67D2"/>
    <w:rsid w:val="007D6A6C"/>
    <w:rsid w:val="007E0B81"/>
    <w:rsid w:val="007E166C"/>
    <w:rsid w:val="007E1793"/>
    <w:rsid w:val="007E1C50"/>
    <w:rsid w:val="007E4FBC"/>
    <w:rsid w:val="007E55CD"/>
    <w:rsid w:val="007E59FF"/>
    <w:rsid w:val="007E6E38"/>
    <w:rsid w:val="007E7746"/>
    <w:rsid w:val="007E7873"/>
    <w:rsid w:val="007F0F38"/>
    <w:rsid w:val="007F1E65"/>
    <w:rsid w:val="007F2048"/>
    <w:rsid w:val="007F6578"/>
    <w:rsid w:val="007F67C7"/>
    <w:rsid w:val="007F6827"/>
    <w:rsid w:val="008016D1"/>
    <w:rsid w:val="008035B0"/>
    <w:rsid w:val="008057C4"/>
    <w:rsid w:val="00806CB2"/>
    <w:rsid w:val="00810688"/>
    <w:rsid w:val="00810A2B"/>
    <w:rsid w:val="0081107E"/>
    <w:rsid w:val="00811A0C"/>
    <w:rsid w:val="00813D2C"/>
    <w:rsid w:val="008173E9"/>
    <w:rsid w:val="00817B0C"/>
    <w:rsid w:val="00824DE8"/>
    <w:rsid w:val="008325C6"/>
    <w:rsid w:val="008338F0"/>
    <w:rsid w:val="00834CBD"/>
    <w:rsid w:val="0083509A"/>
    <w:rsid w:val="00835DE1"/>
    <w:rsid w:val="0084030C"/>
    <w:rsid w:val="008408B6"/>
    <w:rsid w:val="00841C29"/>
    <w:rsid w:val="00841EA4"/>
    <w:rsid w:val="00842951"/>
    <w:rsid w:val="00843622"/>
    <w:rsid w:val="008438FD"/>
    <w:rsid w:val="008456DB"/>
    <w:rsid w:val="0084655C"/>
    <w:rsid w:val="00847121"/>
    <w:rsid w:val="008474A8"/>
    <w:rsid w:val="00850401"/>
    <w:rsid w:val="008514D8"/>
    <w:rsid w:val="0085254F"/>
    <w:rsid w:val="00852B07"/>
    <w:rsid w:val="00852E15"/>
    <w:rsid w:val="00855E1C"/>
    <w:rsid w:val="00857CBE"/>
    <w:rsid w:val="008606AB"/>
    <w:rsid w:val="0086156D"/>
    <w:rsid w:val="00863AEA"/>
    <w:rsid w:val="008646A2"/>
    <w:rsid w:val="00865309"/>
    <w:rsid w:val="00871049"/>
    <w:rsid w:val="008738D6"/>
    <w:rsid w:val="00875871"/>
    <w:rsid w:val="00877D3C"/>
    <w:rsid w:val="00877D43"/>
    <w:rsid w:val="00880D88"/>
    <w:rsid w:val="008827E2"/>
    <w:rsid w:val="00883815"/>
    <w:rsid w:val="0088506A"/>
    <w:rsid w:val="0088550B"/>
    <w:rsid w:val="00890979"/>
    <w:rsid w:val="00890A04"/>
    <w:rsid w:val="00890ECC"/>
    <w:rsid w:val="0089426B"/>
    <w:rsid w:val="008947D6"/>
    <w:rsid w:val="00894F1A"/>
    <w:rsid w:val="008953C9"/>
    <w:rsid w:val="0089757C"/>
    <w:rsid w:val="00897AAF"/>
    <w:rsid w:val="008A30E3"/>
    <w:rsid w:val="008A3B91"/>
    <w:rsid w:val="008A3D4F"/>
    <w:rsid w:val="008A57D0"/>
    <w:rsid w:val="008A5981"/>
    <w:rsid w:val="008A62C2"/>
    <w:rsid w:val="008B015E"/>
    <w:rsid w:val="008B0BCD"/>
    <w:rsid w:val="008B0F70"/>
    <w:rsid w:val="008B0FD8"/>
    <w:rsid w:val="008B1527"/>
    <w:rsid w:val="008B211F"/>
    <w:rsid w:val="008B38C3"/>
    <w:rsid w:val="008C1F62"/>
    <w:rsid w:val="008C2746"/>
    <w:rsid w:val="008C2D02"/>
    <w:rsid w:val="008C2D91"/>
    <w:rsid w:val="008C35C9"/>
    <w:rsid w:val="008C5193"/>
    <w:rsid w:val="008C5C62"/>
    <w:rsid w:val="008C6361"/>
    <w:rsid w:val="008C6B5D"/>
    <w:rsid w:val="008D08B9"/>
    <w:rsid w:val="008D1869"/>
    <w:rsid w:val="008D1EDA"/>
    <w:rsid w:val="008D1FC4"/>
    <w:rsid w:val="008D269A"/>
    <w:rsid w:val="008D481A"/>
    <w:rsid w:val="008D4AC3"/>
    <w:rsid w:val="008D5B4A"/>
    <w:rsid w:val="008E2879"/>
    <w:rsid w:val="008E38E4"/>
    <w:rsid w:val="008E6C0E"/>
    <w:rsid w:val="008F0AF2"/>
    <w:rsid w:val="008F1496"/>
    <w:rsid w:val="008F20C1"/>
    <w:rsid w:val="008F312A"/>
    <w:rsid w:val="008F3774"/>
    <w:rsid w:val="008F59DB"/>
    <w:rsid w:val="008F5BFE"/>
    <w:rsid w:val="008F6544"/>
    <w:rsid w:val="008F720D"/>
    <w:rsid w:val="0090126E"/>
    <w:rsid w:val="009018E6"/>
    <w:rsid w:val="0090550A"/>
    <w:rsid w:val="00910506"/>
    <w:rsid w:val="009105FE"/>
    <w:rsid w:val="0091321A"/>
    <w:rsid w:val="00913922"/>
    <w:rsid w:val="009146A0"/>
    <w:rsid w:val="00914C8B"/>
    <w:rsid w:val="00915189"/>
    <w:rsid w:val="00916CF9"/>
    <w:rsid w:val="009214E5"/>
    <w:rsid w:val="009216EC"/>
    <w:rsid w:val="00921957"/>
    <w:rsid w:val="00923588"/>
    <w:rsid w:val="009253B1"/>
    <w:rsid w:val="00925735"/>
    <w:rsid w:val="00926104"/>
    <w:rsid w:val="00927F12"/>
    <w:rsid w:val="00931ABD"/>
    <w:rsid w:val="00932699"/>
    <w:rsid w:val="009337C0"/>
    <w:rsid w:val="00934EAA"/>
    <w:rsid w:val="009353FB"/>
    <w:rsid w:val="009361F4"/>
    <w:rsid w:val="0094181C"/>
    <w:rsid w:val="00943F7C"/>
    <w:rsid w:val="009446C2"/>
    <w:rsid w:val="0094588E"/>
    <w:rsid w:val="00945B00"/>
    <w:rsid w:val="009503BB"/>
    <w:rsid w:val="009509CE"/>
    <w:rsid w:val="00951A37"/>
    <w:rsid w:val="00956396"/>
    <w:rsid w:val="009605D6"/>
    <w:rsid w:val="0096189B"/>
    <w:rsid w:val="00961BB8"/>
    <w:rsid w:val="00962B02"/>
    <w:rsid w:val="009645EA"/>
    <w:rsid w:val="0096468F"/>
    <w:rsid w:val="00966DBE"/>
    <w:rsid w:val="00970A33"/>
    <w:rsid w:val="00970B72"/>
    <w:rsid w:val="00971248"/>
    <w:rsid w:val="00971701"/>
    <w:rsid w:val="00971E9A"/>
    <w:rsid w:val="009720FD"/>
    <w:rsid w:val="00973C65"/>
    <w:rsid w:val="00976394"/>
    <w:rsid w:val="00976FA4"/>
    <w:rsid w:val="009805E9"/>
    <w:rsid w:val="00980DBB"/>
    <w:rsid w:val="00982023"/>
    <w:rsid w:val="009847F5"/>
    <w:rsid w:val="00984F92"/>
    <w:rsid w:val="009852EF"/>
    <w:rsid w:val="00987049"/>
    <w:rsid w:val="00987703"/>
    <w:rsid w:val="00987FAA"/>
    <w:rsid w:val="00994DE8"/>
    <w:rsid w:val="00994F5E"/>
    <w:rsid w:val="009A1C2F"/>
    <w:rsid w:val="009A36E7"/>
    <w:rsid w:val="009A4647"/>
    <w:rsid w:val="009A52E4"/>
    <w:rsid w:val="009A6D38"/>
    <w:rsid w:val="009A72E5"/>
    <w:rsid w:val="009B038A"/>
    <w:rsid w:val="009B1D40"/>
    <w:rsid w:val="009B1F59"/>
    <w:rsid w:val="009B2B01"/>
    <w:rsid w:val="009B2F6B"/>
    <w:rsid w:val="009B38EB"/>
    <w:rsid w:val="009B3C3C"/>
    <w:rsid w:val="009B6D02"/>
    <w:rsid w:val="009B73AE"/>
    <w:rsid w:val="009C011E"/>
    <w:rsid w:val="009C1475"/>
    <w:rsid w:val="009C3F3F"/>
    <w:rsid w:val="009C45E4"/>
    <w:rsid w:val="009C471E"/>
    <w:rsid w:val="009C6B3B"/>
    <w:rsid w:val="009C6C54"/>
    <w:rsid w:val="009D4FB9"/>
    <w:rsid w:val="009D6F7F"/>
    <w:rsid w:val="009E31C8"/>
    <w:rsid w:val="009E3714"/>
    <w:rsid w:val="009E44D3"/>
    <w:rsid w:val="009E4607"/>
    <w:rsid w:val="009E52CD"/>
    <w:rsid w:val="009E60EC"/>
    <w:rsid w:val="009E690F"/>
    <w:rsid w:val="009E72C8"/>
    <w:rsid w:val="009E7876"/>
    <w:rsid w:val="009F002E"/>
    <w:rsid w:val="009F2279"/>
    <w:rsid w:val="009F329E"/>
    <w:rsid w:val="009F49D5"/>
    <w:rsid w:val="009F4BBC"/>
    <w:rsid w:val="009F50D5"/>
    <w:rsid w:val="009F52C4"/>
    <w:rsid w:val="009F5775"/>
    <w:rsid w:val="009F5D0E"/>
    <w:rsid w:val="009F74C6"/>
    <w:rsid w:val="00A0104A"/>
    <w:rsid w:val="00A01090"/>
    <w:rsid w:val="00A01A95"/>
    <w:rsid w:val="00A01D28"/>
    <w:rsid w:val="00A063F5"/>
    <w:rsid w:val="00A07746"/>
    <w:rsid w:val="00A07A13"/>
    <w:rsid w:val="00A1160B"/>
    <w:rsid w:val="00A12EC4"/>
    <w:rsid w:val="00A1538F"/>
    <w:rsid w:val="00A16DCC"/>
    <w:rsid w:val="00A172BF"/>
    <w:rsid w:val="00A17D01"/>
    <w:rsid w:val="00A23A20"/>
    <w:rsid w:val="00A26050"/>
    <w:rsid w:val="00A26DB4"/>
    <w:rsid w:val="00A26DF9"/>
    <w:rsid w:val="00A33297"/>
    <w:rsid w:val="00A34481"/>
    <w:rsid w:val="00A34E39"/>
    <w:rsid w:val="00A4251B"/>
    <w:rsid w:val="00A42DB9"/>
    <w:rsid w:val="00A44E3B"/>
    <w:rsid w:val="00A46076"/>
    <w:rsid w:val="00A5026E"/>
    <w:rsid w:val="00A52E54"/>
    <w:rsid w:val="00A54FF0"/>
    <w:rsid w:val="00A55EB3"/>
    <w:rsid w:val="00A572A1"/>
    <w:rsid w:val="00A57BF0"/>
    <w:rsid w:val="00A6197D"/>
    <w:rsid w:val="00A61AA8"/>
    <w:rsid w:val="00A62161"/>
    <w:rsid w:val="00A625E3"/>
    <w:rsid w:val="00A656AF"/>
    <w:rsid w:val="00A672FF"/>
    <w:rsid w:val="00A67743"/>
    <w:rsid w:val="00A70FAC"/>
    <w:rsid w:val="00A715CD"/>
    <w:rsid w:val="00A71C20"/>
    <w:rsid w:val="00A72400"/>
    <w:rsid w:val="00A72D18"/>
    <w:rsid w:val="00A74F0D"/>
    <w:rsid w:val="00A75F10"/>
    <w:rsid w:val="00A766A4"/>
    <w:rsid w:val="00A804B3"/>
    <w:rsid w:val="00A83086"/>
    <w:rsid w:val="00A872B5"/>
    <w:rsid w:val="00A900A3"/>
    <w:rsid w:val="00A90C29"/>
    <w:rsid w:val="00A95E84"/>
    <w:rsid w:val="00A973E0"/>
    <w:rsid w:val="00A9769B"/>
    <w:rsid w:val="00AA1DE7"/>
    <w:rsid w:val="00AA25DA"/>
    <w:rsid w:val="00AA33DB"/>
    <w:rsid w:val="00AA47FD"/>
    <w:rsid w:val="00AA53A0"/>
    <w:rsid w:val="00AA6B0F"/>
    <w:rsid w:val="00AA6E9C"/>
    <w:rsid w:val="00AB143C"/>
    <w:rsid w:val="00AB1805"/>
    <w:rsid w:val="00AB182C"/>
    <w:rsid w:val="00AB25DB"/>
    <w:rsid w:val="00AB2605"/>
    <w:rsid w:val="00AB298F"/>
    <w:rsid w:val="00AB491D"/>
    <w:rsid w:val="00AB5934"/>
    <w:rsid w:val="00AB7CE2"/>
    <w:rsid w:val="00AC06D5"/>
    <w:rsid w:val="00AC3B97"/>
    <w:rsid w:val="00AC4E12"/>
    <w:rsid w:val="00AC5BF9"/>
    <w:rsid w:val="00AD0680"/>
    <w:rsid w:val="00AD2FBE"/>
    <w:rsid w:val="00AD32D5"/>
    <w:rsid w:val="00AD3B5D"/>
    <w:rsid w:val="00AD5904"/>
    <w:rsid w:val="00AE1051"/>
    <w:rsid w:val="00AE138D"/>
    <w:rsid w:val="00AE23B7"/>
    <w:rsid w:val="00AE5B05"/>
    <w:rsid w:val="00AE5D29"/>
    <w:rsid w:val="00AE6A25"/>
    <w:rsid w:val="00AE6D7C"/>
    <w:rsid w:val="00AF0A71"/>
    <w:rsid w:val="00AF0F44"/>
    <w:rsid w:val="00AF2B13"/>
    <w:rsid w:val="00AF45AB"/>
    <w:rsid w:val="00B027E7"/>
    <w:rsid w:val="00B05DEC"/>
    <w:rsid w:val="00B10FA2"/>
    <w:rsid w:val="00B12801"/>
    <w:rsid w:val="00B13096"/>
    <w:rsid w:val="00B13DF3"/>
    <w:rsid w:val="00B15AAD"/>
    <w:rsid w:val="00B16FAE"/>
    <w:rsid w:val="00B22694"/>
    <w:rsid w:val="00B234EA"/>
    <w:rsid w:val="00B24E61"/>
    <w:rsid w:val="00B2571A"/>
    <w:rsid w:val="00B25E85"/>
    <w:rsid w:val="00B27164"/>
    <w:rsid w:val="00B27659"/>
    <w:rsid w:val="00B3086E"/>
    <w:rsid w:val="00B3331A"/>
    <w:rsid w:val="00B36AC7"/>
    <w:rsid w:val="00B42114"/>
    <w:rsid w:val="00B42EF7"/>
    <w:rsid w:val="00B42FFA"/>
    <w:rsid w:val="00B4404E"/>
    <w:rsid w:val="00B472BF"/>
    <w:rsid w:val="00B476D9"/>
    <w:rsid w:val="00B47AD7"/>
    <w:rsid w:val="00B5132E"/>
    <w:rsid w:val="00B5335A"/>
    <w:rsid w:val="00B535DF"/>
    <w:rsid w:val="00B5493C"/>
    <w:rsid w:val="00B55249"/>
    <w:rsid w:val="00B55717"/>
    <w:rsid w:val="00B5600F"/>
    <w:rsid w:val="00B56455"/>
    <w:rsid w:val="00B569DE"/>
    <w:rsid w:val="00B5714A"/>
    <w:rsid w:val="00B572EA"/>
    <w:rsid w:val="00B60D36"/>
    <w:rsid w:val="00B6329B"/>
    <w:rsid w:val="00B643B1"/>
    <w:rsid w:val="00B644D6"/>
    <w:rsid w:val="00B7069C"/>
    <w:rsid w:val="00B70E7C"/>
    <w:rsid w:val="00B72296"/>
    <w:rsid w:val="00B72454"/>
    <w:rsid w:val="00B72AB2"/>
    <w:rsid w:val="00B72FE1"/>
    <w:rsid w:val="00B81753"/>
    <w:rsid w:val="00B8252B"/>
    <w:rsid w:val="00B85C55"/>
    <w:rsid w:val="00B86154"/>
    <w:rsid w:val="00B8632D"/>
    <w:rsid w:val="00B91500"/>
    <w:rsid w:val="00B918BE"/>
    <w:rsid w:val="00B932FD"/>
    <w:rsid w:val="00B93564"/>
    <w:rsid w:val="00B937C1"/>
    <w:rsid w:val="00B94003"/>
    <w:rsid w:val="00B941EB"/>
    <w:rsid w:val="00B954AA"/>
    <w:rsid w:val="00B955B7"/>
    <w:rsid w:val="00B9681A"/>
    <w:rsid w:val="00B96AE8"/>
    <w:rsid w:val="00B970D5"/>
    <w:rsid w:val="00B97F59"/>
    <w:rsid w:val="00BA0E84"/>
    <w:rsid w:val="00BA172D"/>
    <w:rsid w:val="00BA21AC"/>
    <w:rsid w:val="00BA4183"/>
    <w:rsid w:val="00BA4A0A"/>
    <w:rsid w:val="00BA53E9"/>
    <w:rsid w:val="00BA78AF"/>
    <w:rsid w:val="00BB0511"/>
    <w:rsid w:val="00BB09A5"/>
    <w:rsid w:val="00BB1B4B"/>
    <w:rsid w:val="00BB48A2"/>
    <w:rsid w:val="00BB563A"/>
    <w:rsid w:val="00BB7642"/>
    <w:rsid w:val="00BB7A71"/>
    <w:rsid w:val="00BC2714"/>
    <w:rsid w:val="00BC37E5"/>
    <w:rsid w:val="00BC6E26"/>
    <w:rsid w:val="00BD0E1D"/>
    <w:rsid w:val="00BD187B"/>
    <w:rsid w:val="00BD2317"/>
    <w:rsid w:val="00BD3AAB"/>
    <w:rsid w:val="00BD7FC1"/>
    <w:rsid w:val="00BE116D"/>
    <w:rsid w:val="00BE17BB"/>
    <w:rsid w:val="00BE2CCE"/>
    <w:rsid w:val="00BE4CEA"/>
    <w:rsid w:val="00BE4E15"/>
    <w:rsid w:val="00BE5914"/>
    <w:rsid w:val="00BE5F99"/>
    <w:rsid w:val="00BE6673"/>
    <w:rsid w:val="00BF0DFD"/>
    <w:rsid w:val="00BF1ABC"/>
    <w:rsid w:val="00BF2B19"/>
    <w:rsid w:val="00BF2B60"/>
    <w:rsid w:val="00BF3561"/>
    <w:rsid w:val="00BF6C65"/>
    <w:rsid w:val="00C03EC2"/>
    <w:rsid w:val="00C049D9"/>
    <w:rsid w:val="00C0516C"/>
    <w:rsid w:val="00C052AC"/>
    <w:rsid w:val="00C05841"/>
    <w:rsid w:val="00C0615D"/>
    <w:rsid w:val="00C07BCE"/>
    <w:rsid w:val="00C10025"/>
    <w:rsid w:val="00C10945"/>
    <w:rsid w:val="00C10D3E"/>
    <w:rsid w:val="00C1279D"/>
    <w:rsid w:val="00C13905"/>
    <w:rsid w:val="00C15D21"/>
    <w:rsid w:val="00C1634A"/>
    <w:rsid w:val="00C171D2"/>
    <w:rsid w:val="00C17E4A"/>
    <w:rsid w:val="00C2188C"/>
    <w:rsid w:val="00C220C0"/>
    <w:rsid w:val="00C22501"/>
    <w:rsid w:val="00C2344A"/>
    <w:rsid w:val="00C25060"/>
    <w:rsid w:val="00C27057"/>
    <w:rsid w:val="00C27219"/>
    <w:rsid w:val="00C27E2C"/>
    <w:rsid w:val="00C3289A"/>
    <w:rsid w:val="00C36815"/>
    <w:rsid w:val="00C36CB6"/>
    <w:rsid w:val="00C37D4A"/>
    <w:rsid w:val="00C43581"/>
    <w:rsid w:val="00C44137"/>
    <w:rsid w:val="00C4527C"/>
    <w:rsid w:val="00C45840"/>
    <w:rsid w:val="00C52A73"/>
    <w:rsid w:val="00C534F8"/>
    <w:rsid w:val="00C554A0"/>
    <w:rsid w:val="00C555F9"/>
    <w:rsid w:val="00C57FFB"/>
    <w:rsid w:val="00C60878"/>
    <w:rsid w:val="00C60DC9"/>
    <w:rsid w:val="00C61F5F"/>
    <w:rsid w:val="00C6287C"/>
    <w:rsid w:val="00C62B72"/>
    <w:rsid w:val="00C62F23"/>
    <w:rsid w:val="00C653A2"/>
    <w:rsid w:val="00C6706D"/>
    <w:rsid w:val="00C737D6"/>
    <w:rsid w:val="00C7494C"/>
    <w:rsid w:val="00C753F7"/>
    <w:rsid w:val="00C75A57"/>
    <w:rsid w:val="00C75A72"/>
    <w:rsid w:val="00C774B2"/>
    <w:rsid w:val="00C775E6"/>
    <w:rsid w:val="00C81152"/>
    <w:rsid w:val="00C81194"/>
    <w:rsid w:val="00C8120E"/>
    <w:rsid w:val="00C818CA"/>
    <w:rsid w:val="00C832B9"/>
    <w:rsid w:val="00C85614"/>
    <w:rsid w:val="00C86387"/>
    <w:rsid w:val="00C86E92"/>
    <w:rsid w:val="00C8760F"/>
    <w:rsid w:val="00C87A1E"/>
    <w:rsid w:val="00C9610C"/>
    <w:rsid w:val="00C96794"/>
    <w:rsid w:val="00C96D85"/>
    <w:rsid w:val="00CA018D"/>
    <w:rsid w:val="00CA168F"/>
    <w:rsid w:val="00CA1EC0"/>
    <w:rsid w:val="00CA2474"/>
    <w:rsid w:val="00CA6257"/>
    <w:rsid w:val="00CA688D"/>
    <w:rsid w:val="00CA77C1"/>
    <w:rsid w:val="00CB06A3"/>
    <w:rsid w:val="00CB2E92"/>
    <w:rsid w:val="00CB3FDF"/>
    <w:rsid w:val="00CB5C38"/>
    <w:rsid w:val="00CC0392"/>
    <w:rsid w:val="00CC3890"/>
    <w:rsid w:val="00CC7B85"/>
    <w:rsid w:val="00CD0F8B"/>
    <w:rsid w:val="00CD26EE"/>
    <w:rsid w:val="00CD684D"/>
    <w:rsid w:val="00CE067F"/>
    <w:rsid w:val="00CE1266"/>
    <w:rsid w:val="00CE1525"/>
    <w:rsid w:val="00CE2744"/>
    <w:rsid w:val="00CE33D7"/>
    <w:rsid w:val="00CE41C1"/>
    <w:rsid w:val="00CE67F0"/>
    <w:rsid w:val="00CF3429"/>
    <w:rsid w:val="00CF47E0"/>
    <w:rsid w:val="00CF48F4"/>
    <w:rsid w:val="00CF4C94"/>
    <w:rsid w:val="00CF5249"/>
    <w:rsid w:val="00CF65BD"/>
    <w:rsid w:val="00CF6611"/>
    <w:rsid w:val="00CF6BA6"/>
    <w:rsid w:val="00D01F83"/>
    <w:rsid w:val="00D03056"/>
    <w:rsid w:val="00D03743"/>
    <w:rsid w:val="00D04134"/>
    <w:rsid w:val="00D07924"/>
    <w:rsid w:val="00D1060E"/>
    <w:rsid w:val="00D121AA"/>
    <w:rsid w:val="00D12D4D"/>
    <w:rsid w:val="00D175A9"/>
    <w:rsid w:val="00D17ADA"/>
    <w:rsid w:val="00D2270B"/>
    <w:rsid w:val="00D23BA4"/>
    <w:rsid w:val="00D25561"/>
    <w:rsid w:val="00D262FF"/>
    <w:rsid w:val="00D27491"/>
    <w:rsid w:val="00D27800"/>
    <w:rsid w:val="00D30449"/>
    <w:rsid w:val="00D30AAF"/>
    <w:rsid w:val="00D31F24"/>
    <w:rsid w:val="00D32540"/>
    <w:rsid w:val="00D33433"/>
    <w:rsid w:val="00D33887"/>
    <w:rsid w:val="00D3476C"/>
    <w:rsid w:val="00D3649D"/>
    <w:rsid w:val="00D36D68"/>
    <w:rsid w:val="00D37232"/>
    <w:rsid w:val="00D379D6"/>
    <w:rsid w:val="00D432A0"/>
    <w:rsid w:val="00D435F8"/>
    <w:rsid w:val="00D43A27"/>
    <w:rsid w:val="00D44DC6"/>
    <w:rsid w:val="00D46DEF"/>
    <w:rsid w:val="00D51322"/>
    <w:rsid w:val="00D543D0"/>
    <w:rsid w:val="00D54694"/>
    <w:rsid w:val="00D55209"/>
    <w:rsid w:val="00D56D3B"/>
    <w:rsid w:val="00D60782"/>
    <w:rsid w:val="00D60C26"/>
    <w:rsid w:val="00D6116E"/>
    <w:rsid w:val="00D61176"/>
    <w:rsid w:val="00D61283"/>
    <w:rsid w:val="00D61510"/>
    <w:rsid w:val="00D618F8"/>
    <w:rsid w:val="00D62B57"/>
    <w:rsid w:val="00D637C5"/>
    <w:rsid w:val="00D64427"/>
    <w:rsid w:val="00D6506F"/>
    <w:rsid w:val="00D673CD"/>
    <w:rsid w:val="00D74888"/>
    <w:rsid w:val="00D74C57"/>
    <w:rsid w:val="00D77BAF"/>
    <w:rsid w:val="00D81D6B"/>
    <w:rsid w:val="00D84418"/>
    <w:rsid w:val="00D84968"/>
    <w:rsid w:val="00D86092"/>
    <w:rsid w:val="00D879FF"/>
    <w:rsid w:val="00D911DD"/>
    <w:rsid w:val="00D91586"/>
    <w:rsid w:val="00D916EC"/>
    <w:rsid w:val="00D91A92"/>
    <w:rsid w:val="00D928FF"/>
    <w:rsid w:val="00D93D38"/>
    <w:rsid w:val="00D9446F"/>
    <w:rsid w:val="00D963AA"/>
    <w:rsid w:val="00DA0127"/>
    <w:rsid w:val="00DA1038"/>
    <w:rsid w:val="00DA1AAF"/>
    <w:rsid w:val="00DA2B0D"/>
    <w:rsid w:val="00DA307B"/>
    <w:rsid w:val="00DA5567"/>
    <w:rsid w:val="00DA5B49"/>
    <w:rsid w:val="00DA6526"/>
    <w:rsid w:val="00DA6836"/>
    <w:rsid w:val="00DA6F05"/>
    <w:rsid w:val="00DA7591"/>
    <w:rsid w:val="00DB3A58"/>
    <w:rsid w:val="00DB51B9"/>
    <w:rsid w:val="00DB5F18"/>
    <w:rsid w:val="00DB6B5A"/>
    <w:rsid w:val="00DB7546"/>
    <w:rsid w:val="00DC095B"/>
    <w:rsid w:val="00DC0EAC"/>
    <w:rsid w:val="00DC2582"/>
    <w:rsid w:val="00DC2BF4"/>
    <w:rsid w:val="00DC3BC0"/>
    <w:rsid w:val="00DC4228"/>
    <w:rsid w:val="00DC462A"/>
    <w:rsid w:val="00DC468D"/>
    <w:rsid w:val="00DC7D4D"/>
    <w:rsid w:val="00DD0126"/>
    <w:rsid w:val="00DD1B94"/>
    <w:rsid w:val="00DD2BBE"/>
    <w:rsid w:val="00DD4894"/>
    <w:rsid w:val="00DD739D"/>
    <w:rsid w:val="00DE0843"/>
    <w:rsid w:val="00DE1884"/>
    <w:rsid w:val="00DE21D5"/>
    <w:rsid w:val="00DE2624"/>
    <w:rsid w:val="00DE3B1C"/>
    <w:rsid w:val="00DE42E1"/>
    <w:rsid w:val="00DE57DE"/>
    <w:rsid w:val="00DE743E"/>
    <w:rsid w:val="00DF036E"/>
    <w:rsid w:val="00DF09B3"/>
    <w:rsid w:val="00DF1783"/>
    <w:rsid w:val="00DF33F3"/>
    <w:rsid w:val="00DF4872"/>
    <w:rsid w:val="00DF786B"/>
    <w:rsid w:val="00E01844"/>
    <w:rsid w:val="00E01EFA"/>
    <w:rsid w:val="00E03A47"/>
    <w:rsid w:val="00E044F6"/>
    <w:rsid w:val="00E047E0"/>
    <w:rsid w:val="00E04E62"/>
    <w:rsid w:val="00E05F60"/>
    <w:rsid w:val="00E062D0"/>
    <w:rsid w:val="00E0685E"/>
    <w:rsid w:val="00E11841"/>
    <w:rsid w:val="00E1254C"/>
    <w:rsid w:val="00E12C54"/>
    <w:rsid w:val="00E12F02"/>
    <w:rsid w:val="00E139A3"/>
    <w:rsid w:val="00E13FB9"/>
    <w:rsid w:val="00E15272"/>
    <w:rsid w:val="00E170B9"/>
    <w:rsid w:val="00E171AB"/>
    <w:rsid w:val="00E20FE4"/>
    <w:rsid w:val="00E25E02"/>
    <w:rsid w:val="00E26786"/>
    <w:rsid w:val="00E26C57"/>
    <w:rsid w:val="00E32D27"/>
    <w:rsid w:val="00E3350E"/>
    <w:rsid w:val="00E335DF"/>
    <w:rsid w:val="00E33A5A"/>
    <w:rsid w:val="00E3499A"/>
    <w:rsid w:val="00E35110"/>
    <w:rsid w:val="00E35486"/>
    <w:rsid w:val="00E35A32"/>
    <w:rsid w:val="00E3774F"/>
    <w:rsid w:val="00E402FD"/>
    <w:rsid w:val="00E41230"/>
    <w:rsid w:val="00E42202"/>
    <w:rsid w:val="00E431BB"/>
    <w:rsid w:val="00E436A1"/>
    <w:rsid w:val="00E43863"/>
    <w:rsid w:val="00E439C3"/>
    <w:rsid w:val="00E44305"/>
    <w:rsid w:val="00E466CD"/>
    <w:rsid w:val="00E47388"/>
    <w:rsid w:val="00E50987"/>
    <w:rsid w:val="00E51A10"/>
    <w:rsid w:val="00E522F9"/>
    <w:rsid w:val="00E544B2"/>
    <w:rsid w:val="00E62F05"/>
    <w:rsid w:val="00E63854"/>
    <w:rsid w:val="00E63BC0"/>
    <w:rsid w:val="00E63FB9"/>
    <w:rsid w:val="00E64C87"/>
    <w:rsid w:val="00E657C3"/>
    <w:rsid w:val="00E7173D"/>
    <w:rsid w:val="00E7680D"/>
    <w:rsid w:val="00E7725D"/>
    <w:rsid w:val="00E81370"/>
    <w:rsid w:val="00E834D1"/>
    <w:rsid w:val="00E836F1"/>
    <w:rsid w:val="00E91864"/>
    <w:rsid w:val="00E91E32"/>
    <w:rsid w:val="00E957C8"/>
    <w:rsid w:val="00E97160"/>
    <w:rsid w:val="00E97C25"/>
    <w:rsid w:val="00EA1789"/>
    <w:rsid w:val="00EA49B4"/>
    <w:rsid w:val="00EA56D8"/>
    <w:rsid w:val="00EA5E52"/>
    <w:rsid w:val="00EB20F1"/>
    <w:rsid w:val="00EB3C7A"/>
    <w:rsid w:val="00EB55B1"/>
    <w:rsid w:val="00EB5F40"/>
    <w:rsid w:val="00EB7710"/>
    <w:rsid w:val="00EB7990"/>
    <w:rsid w:val="00EC07E1"/>
    <w:rsid w:val="00EC10B4"/>
    <w:rsid w:val="00EC27CD"/>
    <w:rsid w:val="00EC38A3"/>
    <w:rsid w:val="00EC5339"/>
    <w:rsid w:val="00EC5911"/>
    <w:rsid w:val="00ED1F8F"/>
    <w:rsid w:val="00ED3367"/>
    <w:rsid w:val="00ED59EA"/>
    <w:rsid w:val="00ED6933"/>
    <w:rsid w:val="00ED6C95"/>
    <w:rsid w:val="00ED7C4B"/>
    <w:rsid w:val="00ED7E9C"/>
    <w:rsid w:val="00EE0413"/>
    <w:rsid w:val="00EE2277"/>
    <w:rsid w:val="00EE24C8"/>
    <w:rsid w:val="00EE4A8C"/>
    <w:rsid w:val="00EE5C1E"/>
    <w:rsid w:val="00EE6004"/>
    <w:rsid w:val="00EE6F6D"/>
    <w:rsid w:val="00EF0BBE"/>
    <w:rsid w:val="00EF1B6D"/>
    <w:rsid w:val="00EF3893"/>
    <w:rsid w:val="00EF3B3F"/>
    <w:rsid w:val="00EF417F"/>
    <w:rsid w:val="00EF47C7"/>
    <w:rsid w:val="00EF51D1"/>
    <w:rsid w:val="00EF629A"/>
    <w:rsid w:val="00EF7FB0"/>
    <w:rsid w:val="00F00112"/>
    <w:rsid w:val="00F00B54"/>
    <w:rsid w:val="00F0112B"/>
    <w:rsid w:val="00F022C6"/>
    <w:rsid w:val="00F03B89"/>
    <w:rsid w:val="00F04FA9"/>
    <w:rsid w:val="00F0529D"/>
    <w:rsid w:val="00F071F7"/>
    <w:rsid w:val="00F0798E"/>
    <w:rsid w:val="00F10FBC"/>
    <w:rsid w:val="00F118EC"/>
    <w:rsid w:val="00F17896"/>
    <w:rsid w:val="00F20B38"/>
    <w:rsid w:val="00F21848"/>
    <w:rsid w:val="00F237AB"/>
    <w:rsid w:val="00F24B55"/>
    <w:rsid w:val="00F25514"/>
    <w:rsid w:val="00F256E0"/>
    <w:rsid w:val="00F26BB5"/>
    <w:rsid w:val="00F26DFF"/>
    <w:rsid w:val="00F27B11"/>
    <w:rsid w:val="00F3135F"/>
    <w:rsid w:val="00F329DB"/>
    <w:rsid w:val="00F33BF6"/>
    <w:rsid w:val="00F34031"/>
    <w:rsid w:val="00F352BF"/>
    <w:rsid w:val="00F3599A"/>
    <w:rsid w:val="00F3611A"/>
    <w:rsid w:val="00F4219B"/>
    <w:rsid w:val="00F44F30"/>
    <w:rsid w:val="00F45C6C"/>
    <w:rsid w:val="00F46237"/>
    <w:rsid w:val="00F46455"/>
    <w:rsid w:val="00F46B4A"/>
    <w:rsid w:val="00F479D4"/>
    <w:rsid w:val="00F52436"/>
    <w:rsid w:val="00F52CBD"/>
    <w:rsid w:val="00F53F8E"/>
    <w:rsid w:val="00F54112"/>
    <w:rsid w:val="00F558BB"/>
    <w:rsid w:val="00F55B85"/>
    <w:rsid w:val="00F60B16"/>
    <w:rsid w:val="00F6104C"/>
    <w:rsid w:val="00F6118C"/>
    <w:rsid w:val="00F61E36"/>
    <w:rsid w:val="00F620D9"/>
    <w:rsid w:val="00F63F9B"/>
    <w:rsid w:val="00F64068"/>
    <w:rsid w:val="00F64E9B"/>
    <w:rsid w:val="00F6518E"/>
    <w:rsid w:val="00F6598F"/>
    <w:rsid w:val="00F66EDF"/>
    <w:rsid w:val="00F714AA"/>
    <w:rsid w:val="00F72444"/>
    <w:rsid w:val="00F762C0"/>
    <w:rsid w:val="00F775E8"/>
    <w:rsid w:val="00F80351"/>
    <w:rsid w:val="00F80903"/>
    <w:rsid w:val="00F80D10"/>
    <w:rsid w:val="00F83BC8"/>
    <w:rsid w:val="00F85450"/>
    <w:rsid w:val="00F8577B"/>
    <w:rsid w:val="00F87574"/>
    <w:rsid w:val="00F87EF3"/>
    <w:rsid w:val="00F9075A"/>
    <w:rsid w:val="00F90F3F"/>
    <w:rsid w:val="00F92D1E"/>
    <w:rsid w:val="00F92DF5"/>
    <w:rsid w:val="00F936F8"/>
    <w:rsid w:val="00F93FE8"/>
    <w:rsid w:val="00F946E6"/>
    <w:rsid w:val="00F94908"/>
    <w:rsid w:val="00F952FD"/>
    <w:rsid w:val="00F97925"/>
    <w:rsid w:val="00FA13FD"/>
    <w:rsid w:val="00FA3D4E"/>
    <w:rsid w:val="00FA48F5"/>
    <w:rsid w:val="00FA67CA"/>
    <w:rsid w:val="00FB279E"/>
    <w:rsid w:val="00FB2DF8"/>
    <w:rsid w:val="00FB3722"/>
    <w:rsid w:val="00FB5376"/>
    <w:rsid w:val="00FB6EF3"/>
    <w:rsid w:val="00FC4212"/>
    <w:rsid w:val="00FC52A9"/>
    <w:rsid w:val="00FC5B80"/>
    <w:rsid w:val="00FC6CDD"/>
    <w:rsid w:val="00FC6E26"/>
    <w:rsid w:val="00FC74A3"/>
    <w:rsid w:val="00FD00B7"/>
    <w:rsid w:val="00FD019D"/>
    <w:rsid w:val="00FD0A71"/>
    <w:rsid w:val="00FD104C"/>
    <w:rsid w:val="00FD359E"/>
    <w:rsid w:val="00FD4500"/>
    <w:rsid w:val="00FE056A"/>
    <w:rsid w:val="00FE1147"/>
    <w:rsid w:val="00FE2394"/>
    <w:rsid w:val="00FE39C4"/>
    <w:rsid w:val="00FE4A20"/>
    <w:rsid w:val="00FE51F7"/>
    <w:rsid w:val="00FE7154"/>
    <w:rsid w:val="00FE7413"/>
    <w:rsid w:val="00FF0747"/>
    <w:rsid w:val="00FF12AF"/>
    <w:rsid w:val="00FF18B5"/>
    <w:rsid w:val="00FF2FA4"/>
    <w:rsid w:val="00FF5CDE"/>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DC1C815"/>
  <w15:docId w15:val="{B8227CC7-0FCF-4E79-AA32-99E41E0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7D2"/>
  </w:style>
  <w:style w:type="paragraph" w:styleId="Heading1">
    <w:name w:val="heading 1"/>
    <w:next w:val="Paragraph"/>
    <w:link w:val="Heading1Char"/>
    <w:uiPriority w:val="9"/>
    <w:qFormat/>
    <w:rsid w:val="002F5449"/>
    <w:pPr>
      <w:keepNext/>
      <w:keepLines/>
      <w:numPr>
        <w:numId w:val="18"/>
      </w:numPr>
      <w:spacing w:before="60" w:after="240" w:line="240" w:lineRule="auto"/>
      <w:outlineLvl w:val="0"/>
    </w:pPr>
    <w:rPr>
      <w:rFonts w:ascii="Times New Roman" w:eastAsia="MS Gothic" w:hAnsi="Times New Roman" w:cs="Arial"/>
      <w:b/>
      <w:bCs/>
      <w:caps/>
      <w:kern w:val="32"/>
      <w:sz w:val="24"/>
      <w:szCs w:val="28"/>
    </w:rPr>
  </w:style>
  <w:style w:type="paragraph" w:styleId="Heading2">
    <w:name w:val="heading 2"/>
    <w:next w:val="Paragraph"/>
    <w:link w:val="Heading2Char"/>
    <w:qFormat/>
    <w:rsid w:val="002F5449"/>
    <w:pPr>
      <w:keepNext/>
      <w:keepLines/>
      <w:numPr>
        <w:ilvl w:val="1"/>
        <w:numId w:val="18"/>
      </w:numPr>
      <w:spacing w:before="60" w:after="240" w:line="240" w:lineRule="auto"/>
      <w:outlineLvl w:val="1"/>
    </w:pPr>
    <w:rPr>
      <w:rFonts w:ascii="Times New Roman" w:eastAsia="MS Gothic" w:hAnsi="Times New Roman" w:cs="Arial"/>
      <w:b/>
      <w:bCs/>
      <w:iCs/>
      <w:sz w:val="24"/>
      <w:szCs w:val="26"/>
    </w:rPr>
  </w:style>
  <w:style w:type="paragraph" w:styleId="Heading3">
    <w:name w:val="heading 3"/>
    <w:next w:val="Paragraph"/>
    <w:link w:val="Heading3Char"/>
    <w:qFormat/>
    <w:rsid w:val="002F5449"/>
    <w:pPr>
      <w:keepNext/>
      <w:keepLines/>
      <w:numPr>
        <w:ilvl w:val="2"/>
        <w:numId w:val="18"/>
      </w:numPr>
      <w:spacing w:before="60" w:after="240" w:line="240" w:lineRule="auto"/>
      <w:outlineLvl w:val="2"/>
    </w:pPr>
    <w:rPr>
      <w:rFonts w:ascii="Times New Roman" w:eastAsia="MS Gothic" w:hAnsi="Times New Roman" w:cs="Arial"/>
      <w:b/>
      <w:bCs/>
      <w:sz w:val="24"/>
      <w:szCs w:val="24"/>
    </w:rPr>
  </w:style>
  <w:style w:type="paragraph" w:styleId="Heading4">
    <w:name w:val="heading 4"/>
    <w:next w:val="Paragraph"/>
    <w:link w:val="Heading4Char"/>
    <w:qFormat/>
    <w:rsid w:val="002F5449"/>
    <w:pPr>
      <w:keepNext/>
      <w:keepLines/>
      <w:numPr>
        <w:ilvl w:val="3"/>
        <w:numId w:val="18"/>
      </w:numPr>
      <w:spacing w:before="60" w:after="240" w:line="240" w:lineRule="auto"/>
      <w:outlineLvl w:val="3"/>
    </w:pPr>
    <w:rPr>
      <w:rFonts w:ascii="Times New Roman" w:eastAsia="MS Gothic" w:hAnsi="Times New Roman" w:cs="Times New Roman"/>
      <w:b/>
      <w:bCs/>
      <w:sz w:val="24"/>
    </w:rPr>
  </w:style>
  <w:style w:type="paragraph" w:styleId="Heading5">
    <w:name w:val="heading 5"/>
    <w:next w:val="Paragraph"/>
    <w:link w:val="Heading5Char"/>
    <w:qFormat/>
    <w:rsid w:val="002F5449"/>
    <w:pPr>
      <w:keepNext/>
      <w:keepLines/>
      <w:numPr>
        <w:ilvl w:val="4"/>
        <w:numId w:val="18"/>
      </w:numPr>
      <w:spacing w:before="60" w:after="240" w:line="240" w:lineRule="auto"/>
      <w:outlineLvl w:val="4"/>
    </w:pPr>
    <w:rPr>
      <w:rFonts w:ascii="Times New Roman" w:eastAsia="MS Gothic" w:hAnsi="Times New Roman" w:cs="Arial"/>
      <w:b/>
      <w:bCs/>
      <w:iCs/>
      <w:sz w:val="24"/>
    </w:rPr>
  </w:style>
  <w:style w:type="paragraph" w:styleId="Heading6">
    <w:name w:val="heading 6"/>
    <w:next w:val="Paragraph"/>
    <w:link w:val="Heading6Char"/>
    <w:qFormat/>
    <w:rsid w:val="002F5449"/>
    <w:pPr>
      <w:keepNext/>
      <w:keepLines/>
      <w:numPr>
        <w:ilvl w:val="5"/>
        <w:numId w:val="18"/>
      </w:numPr>
      <w:spacing w:before="60" w:after="240" w:line="240" w:lineRule="auto"/>
      <w:outlineLvl w:val="5"/>
    </w:pPr>
    <w:rPr>
      <w:rFonts w:ascii="Times New Roman" w:eastAsia="MS Gothic" w:hAnsi="Times New Roman" w:cs="Arial"/>
      <w:b/>
      <w:bCs/>
      <w:sz w:val="24"/>
    </w:rPr>
  </w:style>
  <w:style w:type="paragraph" w:styleId="Heading7">
    <w:name w:val="heading 7"/>
    <w:next w:val="Paragraph"/>
    <w:link w:val="Heading7Char"/>
    <w:qFormat/>
    <w:rsid w:val="002F5449"/>
    <w:pPr>
      <w:keepNext/>
      <w:keepLines/>
      <w:numPr>
        <w:ilvl w:val="6"/>
        <w:numId w:val="18"/>
      </w:numPr>
      <w:spacing w:before="60" w:after="240" w:line="240" w:lineRule="auto"/>
      <w:outlineLvl w:val="6"/>
    </w:pPr>
    <w:rPr>
      <w:rFonts w:ascii="Times New Roman" w:eastAsia="MS Gothic" w:hAnsi="Times New Roman" w:cs="Arial"/>
      <w:b/>
      <w:sz w:val="24"/>
      <w:szCs w:val="24"/>
    </w:rPr>
  </w:style>
  <w:style w:type="paragraph" w:styleId="Heading8">
    <w:name w:val="heading 8"/>
    <w:next w:val="Paragraph"/>
    <w:link w:val="Heading8Char"/>
    <w:qFormat/>
    <w:rsid w:val="002F5449"/>
    <w:pPr>
      <w:keepNext/>
      <w:keepLines/>
      <w:numPr>
        <w:ilvl w:val="7"/>
        <w:numId w:val="18"/>
      </w:numPr>
      <w:spacing w:before="60" w:after="240" w:line="240" w:lineRule="auto"/>
      <w:outlineLvl w:val="7"/>
    </w:pPr>
    <w:rPr>
      <w:rFonts w:ascii="Times New Roman" w:eastAsia="MS Gothic" w:hAnsi="Times New Roman" w:cs="Arial"/>
      <w:b/>
      <w:iCs/>
      <w:sz w:val="24"/>
      <w:szCs w:val="24"/>
    </w:rPr>
  </w:style>
  <w:style w:type="paragraph" w:styleId="Heading9">
    <w:name w:val="heading 9"/>
    <w:next w:val="Paragraph"/>
    <w:link w:val="Heading9Char"/>
    <w:qFormat/>
    <w:rsid w:val="002F5449"/>
    <w:pPr>
      <w:keepNext/>
      <w:keepLines/>
      <w:numPr>
        <w:ilvl w:val="8"/>
        <w:numId w:val="18"/>
      </w:numPr>
      <w:spacing w:before="60" w:after="240" w:line="240" w:lineRule="auto"/>
      <w:outlineLvl w:val="8"/>
    </w:pPr>
    <w:rPr>
      <w:rFonts w:ascii="Times New Roman" w:eastAsia="MS Gothic" w:hAnsi="Times New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5449"/>
    <w:rPr>
      <w:rFonts w:ascii="Times New Roman" w:eastAsia="MS Gothic" w:hAnsi="Times New Roman" w:cs="Arial"/>
      <w:b/>
      <w:bCs/>
      <w:iCs/>
      <w:sz w:val="24"/>
      <w:szCs w:val="26"/>
    </w:rPr>
  </w:style>
  <w:style w:type="character" w:customStyle="1" w:styleId="UserTips">
    <w:name w:val="User Tips"/>
    <w:rsid w:val="002F5449"/>
    <w:rPr>
      <w:rFonts w:ascii="Times New Roman" w:hAnsi="Times New Roman"/>
      <w:i/>
      <w:color w:val="0000FF"/>
      <w:sz w:val="24"/>
    </w:rPr>
  </w:style>
  <w:style w:type="paragraph" w:customStyle="1" w:styleId="TableCenter">
    <w:name w:val="Table Center"/>
    <w:rsid w:val="002F5449"/>
    <w:pPr>
      <w:spacing w:before="60" w:after="60" w:line="240" w:lineRule="auto"/>
      <w:jc w:val="center"/>
    </w:pPr>
    <w:rPr>
      <w:rFonts w:ascii="Times New Roman" w:eastAsia="MS Gothic" w:hAnsi="Times New Roman" w:cs="Times New Roman"/>
      <w:sz w:val="24"/>
      <w:szCs w:val="24"/>
    </w:rPr>
  </w:style>
  <w:style w:type="paragraph" w:customStyle="1" w:styleId="TableLeft">
    <w:name w:val="Table Left"/>
    <w:rsid w:val="002F5449"/>
    <w:pPr>
      <w:spacing w:before="60" w:after="60" w:line="240" w:lineRule="auto"/>
    </w:pPr>
    <w:rPr>
      <w:rFonts w:ascii="Times New Roman" w:eastAsia="MS Gothic" w:hAnsi="Times New Roman" w:cs="Arial"/>
      <w:bCs/>
      <w:sz w:val="24"/>
      <w:szCs w:val="24"/>
    </w:rPr>
  </w:style>
  <w:style w:type="paragraph" w:customStyle="1" w:styleId="TableFixedWidth">
    <w:name w:val="Table Fixed Width"/>
    <w:rsid w:val="002F5449"/>
    <w:pPr>
      <w:spacing w:before="60" w:after="0" w:line="240" w:lineRule="auto"/>
    </w:pPr>
    <w:rPr>
      <w:rFonts w:ascii="Times New Roman" w:eastAsia="Times New Roman" w:hAnsi="Times New Roman" w:cs="Times New Roman"/>
      <w:sz w:val="24"/>
      <w:szCs w:val="20"/>
    </w:rPr>
  </w:style>
  <w:style w:type="paragraph" w:customStyle="1" w:styleId="TableFootnoteSymbol">
    <w:name w:val="Table Footnote Symbol"/>
    <w:basedOn w:val="TableFootnote"/>
    <w:rsid w:val="002F5449"/>
    <w:pPr>
      <w:numPr>
        <w:numId w:val="0"/>
      </w:numPr>
      <w:ind w:left="360" w:hanging="360"/>
    </w:pPr>
    <w:rPr>
      <w:szCs w:val="48"/>
    </w:rPr>
  </w:style>
  <w:style w:type="paragraph" w:customStyle="1" w:styleId="TableFootnoteLetter">
    <w:name w:val="Table Footnote Letter"/>
    <w:basedOn w:val="TableFootnote"/>
    <w:rsid w:val="002F5449"/>
    <w:pPr>
      <w:numPr>
        <w:numId w:val="1"/>
      </w:numPr>
    </w:pPr>
  </w:style>
  <w:style w:type="paragraph" w:customStyle="1" w:styleId="TableEndofTextTitle">
    <w:name w:val="Table End of Text Title"/>
    <w:next w:val="TableHead"/>
    <w:rsid w:val="002F5449"/>
    <w:pPr>
      <w:keepNext/>
      <w:keepLines/>
      <w:tabs>
        <w:tab w:val="left" w:pos="1440"/>
      </w:tabs>
      <w:spacing w:before="60" w:after="0" w:line="240" w:lineRule="auto"/>
      <w:ind w:left="1440" w:hanging="1440"/>
    </w:pPr>
    <w:rPr>
      <w:rFonts w:ascii="Times New Roman" w:eastAsia="MS Gothic" w:hAnsi="Times New Roman" w:cs="Times New Roman"/>
      <w:b/>
      <w:sz w:val="24"/>
      <w:szCs w:val="24"/>
    </w:rPr>
  </w:style>
  <w:style w:type="paragraph" w:customStyle="1" w:styleId="TableTitleContinued">
    <w:name w:val="Table Title Continued"/>
    <w:rsid w:val="002F5449"/>
    <w:pPr>
      <w:keepNext/>
      <w:keepLines/>
      <w:tabs>
        <w:tab w:val="left" w:pos="1440"/>
      </w:tabs>
      <w:spacing w:before="60" w:after="120" w:line="240" w:lineRule="auto"/>
      <w:ind w:left="1440" w:hanging="1440"/>
    </w:pPr>
    <w:rPr>
      <w:rFonts w:ascii="Times New Roman" w:eastAsia="MS Gothic" w:hAnsi="Times New Roman" w:cs="Times New Roman"/>
      <w:b/>
      <w:sz w:val="24"/>
      <w:szCs w:val="24"/>
    </w:rPr>
  </w:style>
  <w:style w:type="paragraph" w:customStyle="1" w:styleId="FigureEndofTextTitle">
    <w:name w:val="Figure End of Text Title"/>
    <w:next w:val="Figure"/>
    <w:rsid w:val="002F5449"/>
    <w:pPr>
      <w:keepNext/>
      <w:keepLines/>
      <w:tabs>
        <w:tab w:val="left" w:pos="1440"/>
      </w:tabs>
      <w:spacing w:before="60" w:after="0" w:line="240" w:lineRule="auto"/>
      <w:ind w:left="1440" w:hanging="1440"/>
    </w:pPr>
    <w:rPr>
      <w:rFonts w:ascii="Times New Roman" w:eastAsia="Times New Roman" w:hAnsi="Times New Roman" w:cs="Arial"/>
      <w:b/>
      <w:bCs/>
      <w:iCs/>
      <w:sz w:val="24"/>
      <w:szCs w:val="48"/>
    </w:rPr>
  </w:style>
  <w:style w:type="paragraph" w:styleId="ListNumber2">
    <w:name w:val="List Number 2"/>
    <w:basedOn w:val="Normal"/>
    <w:rsid w:val="002F5449"/>
    <w:pPr>
      <w:keepLines/>
      <w:numPr>
        <w:numId w:val="2"/>
      </w:numPr>
      <w:spacing w:before="60" w:after="0" w:line="240" w:lineRule="auto"/>
    </w:pPr>
    <w:rPr>
      <w:rFonts w:ascii="Times New Roman" w:eastAsia="MS Gothic" w:hAnsi="Times New Roman" w:cs="Times New Roman"/>
      <w:sz w:val="24"/>
      <w:szCs w:val="24"/>
    </w:rPr>
  </w:style>
  <w:style w:type="paragraph" w:styleId="ListNumber3">
    <w:name w:val="List Number 3"/>
    <w:basedOn w:val="Normal"/>
    <w:rsid w:val="002F5449"/>
    <w:pPr>
      <w:keepLines/>
      <w:numPr>
        <w:numId w:val="3"/>
      </w:numPr>
      <w:spacing w:before="60" w:after="0" w:line="240" w:lineRule="auto"/>
    </w:pPr>
    <w:rPr>
      <w:rFonts w:ascii="Times New Roman" w:eastAsia="MS Gothic" w:hAnsi="Times New Roman" w:cs="Times New Roman"/>
      <w:sz w:val="24"/>
      <w:szCs w:val="24"/>
    </w:rPr>
  </w:style>
  <w:style w:type="paragraph" w:customStyle="1" w:styleId="ListLetter2">
    <w:name w:val="List Letter 2"/>
    <w:rsid w:val="002F5449"/>
    <w:pPr>
      <w:keepLines/>
      <w:numPr>
        <w:numId w:val="4"/>
      </w:numPr>
      <w:spacing w:before="60" w:after="0" w:line="240" w:lineRule="auto"/>
    </w:pPr>
    <w:rPr>
      <w:rFonts w:ascii="Times New Roman" w:eastAsia="MS Gothic" w:hAnsi="Times New Roman" w:cs="Arial"/>
      <w:bCs/>
      <w:iCs/>
      <w:sz w:val="24"/>
      <w:szCs w:val="24"/>
    </w:rPr>
  </w:style>
  <w:style w:type="paragraph" w:customStyle="1" w:styleId="ListLetter3">
    <w:name w:val="List Letter 3"/>
    <w:rsid w:val="002F5449"/>
    <w:pPr>
      <w:keepLines/>
      <w:numPr>
        <w:numId w:val="5"/>
      </w:numPr>
      <w:spacing w:before="60" w:after="0" w:line="240" w:lineRule="auto"/>
    </w:pPr>
    <w:rPr>
      <w:rFonts w:ascii="Times New Roman" w:eastAsia="MS Gothic" w:hAnsi="Times New Roman" w:cs="Arial"/>
      <w:bCs/>
      <w:iCs/>
      <w:sz w:val="24"/>
      <w:szCs w:val="48"/>
    </w:rPr>
  </w:style>
  <w:style w:type="paragraph" w:customStyle="1" w:styleId="Equation">
    <w:name w:val="Equation"/>
    <w:next w:val="Paragraph"/>
    <w:rsid w:val="002F5449"/>
    <w:pPr>
      <w:keepLines/>
      <w:spacing w:after="120" w:line="240" w:lineRule="auto"/>
      <w:jc w:val="center"/>
    </w:pPr>
    <w:rPr>
      <w:rFonts w:ascii="Times New Roman" w:eastAsia="Times New Roman" w:hAnsi="Times New Roman" w:cs="Arial"/>
      <w:sz w:val="24"/>
      <w:szCs w:val="24"/>
    </w:rPr>
  </w:style>
  <w:style w:type="paragraph" w:customStyle="1" w:styleId="EquationTitle">
    <w:name w:val="Equation Title"/>
    <w:next w:val="Equation"/>
    <w:rsid w:val="002F5449"/>
    <w:pPr>
      <w:keepNext/>
      <w:keepLines/>
      <w:tabs>
        <w:tab w:val="left" w:pos="1440"/>
      </w:tabs>
      <w:spacing w:after="240" w:line="240" w:lineRule="auto"/>
      <w:ind w:left="1440" w:hanging="1440"/>
    </w:pPr>
    <w:rPr>
      <w:rFonts w:ascii="Times New Roman" w:eastAsia="Times New Roman" w:hAnsi="Times New Roman" w:cs="Arial"/>
      <w:b/>
      <w:color w:val="000000"/>
      <w:sz w:val="24"/>
      <w:szCs w:val="24"/>
    </w:rPr>
  </w:style>
  <w:style w:type="paragraph" w:customStyle="1" w:styleId="CaptionContinued">
    <w:name w:val="Caption Continued"/>
    <w:rsid w:val="002F5449"/>
    <w:pPr>
      <w:keepNext/>
      <w:spacing w:after="120" w:line="240" w:lineRule="auto"/>
    </w:pPr>
    <w:rPr>
      <w:rFonts w:ascii="Times New Roman" w:eastAsia="Times New Roman" w:hAnsi="Times New Roman" w:cs="Arial"/>
      <w:b/>
      <w:sz w:val="24"/>
      <w:szCs w:val="24"/>
    </w:rPr>
  </w:style>
  <w:style w:type="character" w:customStyle="1" w:styleId="Heading1Char">
    <w:name w:val="Heading 1 Char"/>
    <w:basedOn w:val="DefaultParagraphFont"/>
    <w:link w:val="Heading1"/>
    <w:uiPriority w:val="9"/>
    <w:rsid w:val="002F5449"/>
    <w:rPr>
      <w:rFonts w:ascii="Times New Roman" w:eastAsia="MS Gothic" w:hAnsi="Times New Roman" w:cs="Arial"/>
      <w:b/>
      <w:bCs/>
      <w:caps/>
      <w:kern w:val="32"/>
      <w:sz w:val="24"/>
      <w:szCs w:val="28"/>
    </w:rPr>
  </w:style>
  <w:style w:type="character" w:customStyle="1" w:styleId="Heading3Char">
    <w:name w:val="Heading 3 Char"/>
    <w:basedOn w:val="DefaultParagraphFont"/>
    <w:link w:val="Heading3"/>
    <w:rsid w:val="002F5449"/>
    <w:rPr>
      <w:rFonts w:ascii="Times New Roman" w:eastAsia="MS Gothic" w:hAnsi="Times New Roman" w:cs="Arial"/>
      <w:b/>
      <w:bCs/>
      <w:sz w:val="24"/>
      <w:szCs w:val="24"/>
    </w:rPr>
  </w:style>
  <w:style w:type="character" w:customStyle="1" w:styleId="Heading4Char">
    <w:name w:val="Heading 4 Char"/>
    <w:basedOn w:val="DefaultParagraphFont"/>
    <w:link w:val="Heading4"/>
    <w:rsid w:val="002F5449"/>
    <w:rPr>
      <w:rFonts w:ascii="Times New Roman" w:eastAsia="MS Gothic" w:hAnsi="Times New Roman" w:cs="Times New Roman"/>
      <w:b/>
      <w:bCs/>
      <w:sz w:val="24"/>
    </w:rPr>
  </w:style>
  <w:style w:type="character" w:customStyle="1" w:styleId="Heading5Char">
    <w:name w:val="Heading 5 Char"/>
    <w:basedOn w:val="DefaultParagraphFont"/>
    <w:link w:val="Heading5"/>
    <w:rsid w:val="002F5449"/>
    <w:rPr>
      <w:rFonts w:ascii="Times New Roman" w:eastAsia="MS Gothic" w:hAnsi="Times New Roman" w:cs="Arial"/>
      <w:b/>
      <w:bCs/>
      <w:iCs/>
      <w:sz w:val="24"/>
    </w:rPr>
  </w:style>
  <w:style w:type="character" w:customStyle="1" w:styleId="Heading6Char">
    <w:name w:val="Heading 6 Char"/>
    <w:basedOn w:val="DefaultParagraphFont"/>
    <w:link w:val="Heading6"/>
    <w:rsid w:val="002F5449"/>
    <w:rPr>
      <w:rFonts w:ascii="Times New Roman" w:eastAsia="MS Gothic" w:hAnsi="Times New Roman" w:cs="Arial"/>
      <w:b/>
      <w:bCs/>
      <w:sz w:val="24"/>
    </w:rPr>
  </w:style>
  <w:style w:type="character" w:customStyle="1" w:styleId="Heading7Char">
    <w:name w:val="Heading 7 Char"/>
    <w:basedOn w:val="DefaultParagraphFont"/>
    <w:link w:val="Heading7"/>
    <w:rsid w:val="002F5449"/>
    <w:rPr>
      <w:rFonts w:ascii="Times New Roman" w:eastAsia="MS Gothic" w:hAnsi="Times New Roman" w:cs="Arial"/>
      <w:b/>
      <w:sz w:val="24"/>
      <w:szCs w:val="24"/>
    </w:rPr>
  </w:style>
  <w:style w:type="character" w:customStyle="1" w:styleId="Heading8Char">
    <w:name w:val="Heading 8 Char"/>
    <w:basedOn w:val="DefaultParagraphFont"/>
    <w:link w:val="Heading8"/>
    <w:rsid w:val="002F5449"/>
    <w:rPr>
      <w:rFonts w:ascii="Times New Roman" w:eastAsia="MS Gothic" w:hAnsi="Times New Roman" w:cs="Arial"/>
      <w:b/>
      <w:iCs/>
      <w:sz w:val="24"/>
      <w:szCs w:val="24"/>
    </w:rPr>
  </w:style>
  <w:style w:type="character" w:customStyle="1" w:styleId="Heading9Char">
    <w:name w:val="Heading 9 Char"/>
    <w:basedOn w:val="DefaultParagraphFont"/>
    <w:link w:val="Heading9"/>
    <w:rsid w:val="002F5449"/>
    <w:rPr>
      <w:rFonts w:ascii="Times New Roman" w:eastAsia="MS Gothic" w:hAnsi="Times New Roman" w:cs="Arial"/>
      <w:b/>
      <w:sz w:val="24"/>
      <w:szCs w:val="24"/>
    </w:rPr>
  </w:style>
  <w:style w:type="paragraph" w:customStyle="1" w:styleId="Paragraph">
    <w:name w:val="Paragraph"/>
    <w:link w:val="ParagraphChar"/>
    <w:qFormat/>
    <w:rsid w:val="002F5449"/>
    <w:pPr>
      <w:spacing w:before="60" w:after="240" w:line="240" w:lineRule="auto"/>
    </w:pPr>
    <w:rPr>
      <w:rFonts w:ascii="Times New Roman" w:eastAsia="MS Gothic" w:hAnsi="Times New Roman" w:cs="Times New Roman"/>
      <w:sz w:val="24"/>
      <w:szCs w:val="24"/>
    </w:rPr>
  </w:style>
  <w:style w:type="character" w:styleId="PageNumber">
    <w:name w:val="page number"/>
    <w:semiHidden/>
    <w:rsid w:val="002F5449"/>
  </w:style>
  <w:style w:type="paragraph" w:styleId="Title">
    <w:name w:val="Title"/>
    <w:link w:val="TitleChar"/>
    <w:qFormat/>
    <w:rsid w:val="002F5449"/>
    <w:pPr>
      <w:spacing w:before="240" w:after="240" w:line="240" w:lineRule="auto"/>
      <w:jc w:val="center"/>
    </w:pPr>
    <w:rPr>
      <w:rFonts w:ascii="Times New Roman" w:eastAsia="MS Gothic" w:hAnsi="Times New Roman" w:cs="Arial"/>
      <w:b/>
      <w:bCs/>
      <w:caps/>
      <w:kern w:val="28"/>
      <w:sz w:val="24"/>
      <w:szCs w:val="32"/>
    </w:rPr>
  </w:style>
  <w:style w:type="character" w:customStyle="1" w:styleId="TitleChar">
    <w:name w:val="Title Char"/>
    <w:basedOn w:val="DefaultParagraphFont"/>
    <w:link w:val="Title"/>
    <w:rsid w:val="002F5449"/>
    <w:rPr>
      <w:rFonts w:ascii="Times New Roman" w:eastAsia="MS Gothic" w:hAnsi="Times New Roman" w:cs="Arial"/>
      <w:b/>
      <w:bCs/>
      <w:caps/>
      <w:kern w:val="28"/>
      <w:sz w:val="24"/>
      <w:szCs w:val="32"/>
    </w:rPr>
  </w:style>
  <w:style w:type="paragraph" w:customStyle="1" w:styleId="TableFootnote">
    <w:name w:val="Table Footnote"/>
    <w:rsid w:val="002F5449"/>
    <w:pPr>
      <w:keepLines/>
      <w:numPr>
        <w:numId w:val="17"/>
      </w:numPr>
      <w:spacing w:before="60" w:after="60" w:line="240" w:lineRule="auto"/>
    </w:pPr>
    <w:rPr>
      <w:rFonts w:ascii="Times New Roman" w:eastAsia="MS Gothic" w:hAnsi="Times New Roman" w:cs="Times New Roman"/>
      <w:sz w:val="24"/>
      <w:szCs w:val="20"/>
    </w:rPr>
  </w:style>
  <w:style w:type="paragraph" w:customStyle="1" w:styleId="TableTitle">
    <w:name w:val="Table Title"/>
    <w:next w:val="TableHead"/>
    <w:rsid w:val="002F5449"/>
    <w:pPr>
      <w:keepNext/>
      <w:keepLines/>
      <w:tabs>
        <w:tab w:val="left" w:pos="1440"/>
      </w:tabs>
      <w:spacing w:before="60" w:after="120" w:line="240" w:lineRule="auto"/>
      <w:ind w:left="1440" w:hanging="1440"/>
    </w:pPr>
    <w:rPr>
      <w:rFonts w:ascii="Times New Roman" w:eastAsia="MS Gothic" w:hAnsi="Times New Roman" w:cs="Times New Roman"/>
      <w:b/>
      <w:color w:val="000000"/>
      <w:sz w:val="24"/>
      <w:szCs w:val="24"/>
    </w:rPr>
  </w:style>
  <w:style w:type="paragraph" w:customStyle="1" w:styleId="TableHead">
    <w:name w:val="Table Head"/>
    <w:basedOn w:val="TableCenter"/>
    <w:rsid w:val="002F5449"/>
    <w:rPr>
      <w:b/>
      <w:szCs w:val="48"/>
    </w:rPr>
  </w:style>
  <w:style w:type="paragraph" w:customStyle="1" w:styleId="FigureTitle">
    <w:name w:val="Figure Title"/>
    <w:basedOn w:val="TableTitle"/>
    <w:next w:val="Figure"/>
    <w:rsid w:val="002F5449"/>
    <w:pPr>
      <w:spacing w:after="240"/>
    </w:pPr>
  </w:style>
  <w:style w:type="paragraph" w:styleId="Header">
    <w:name w:val="header"/>
    <w:link w:val="HeaderChar"/>
    <w:uiPriority w:val="99"/>
    <w:rsid w:val="002F5449"/>
    <w:pPr>
      <w:tabs>
        <w:tab w:val="center" w:pos="4507"/>
        <w:tab w:val="right" w:pos="9000"/>
      </w:tabs>
      <w:spacing w:before="60" w:after="0" w:line="240" w:lineRule="auto"/>
    </w:pPr>
    <w:rPr>
      <w:rFonts w:ascii="Times New Roman" w:eastAsia="MS Gothic" w:hAnsi="Times New Roman" w:cs="Times New Roman"/>
      <w:caps/>
      <w:sz w:val="16"/>
      <w:szCs w:val="20"/>
    </w:rPr>
  </w:style>
  <w:style w:type="character" w:customStyle="1" w:styleId="HeaderChar">
    <w:name w:val="Header Char"/>
    <w:basedOn w:val="DefaultParagraphFont"/>
    <w:link w:val="Header"/>
    <w:uiPriority w:val="99"/>
    <w:rsid w:val="002F5449"/>
    <w:rPr>
      <w:rFonts w:ascii="Times New Roman" w:eastAsia="MS Gothic" w:hAnsi="Times New Roman" w:cs="Times New Roman"/>
      <w:caps/>
      <w:sz w:val="16"/>
      <w:szCs w:val="20"/>
    </w:rPr>
  </w:style>
  <w:style w:type="paragraph" w:styleId="Footer">
    <w:name w:val="footer"/>
    <w:basedOn w:val="Header"/>
    <w:link w:val="FooterChar"/>
    <w:uiPriority w:val="99"/>
    <w:rsid w:val="002F5449"/>
    <w:rPr>
      <w:caps w:val="0"/>
    </w:rPr>
  </w:style>
  <w:style w:type="character" w:customStyle="1" w:styleId="FooterChar">
    <w:name w:val="Footer Char"/>
    <w:link w:val="Footer"/>
    <w:uiPriority w:val="99"/>
    <w:rsid w:val="002F5449"/>
    <w:rPr>
      <w:rFonts w:ascii="Times New Roman" w:eastAsia="MS Gothic" w:hAnsi="Times New Roman" w:cs="Times New Roman"/>
      <w:sz w:val="16"/>
      <w:szCs w:val="20"/>
    </w:rPr>
  </w:style>
  <w:style w:type="character" w:customStyle="1" w:styleId="Instructions">
    <w:name w:val="Instructions"/>
    <w:rsid w:val="002F5449"/>
    <w:rPr>
      <w:rFonts w:ascii="Verdana" w:hAnsi="Verdana"/>
      <w:vanish/>
      <w:color w:val="008000"/>
      <w:sz w:val="24"/>
    </w:rPr>
  </w:style>
  <w:style w:type="paragraph" w:customStyle="1" w:styleId="TOCTitle">
    <w:name w:val="TOC Title"/>
    <w:basedOn w:val="Title"/>
    <w:next w:val="TOC1"/>
    <w:rsid w:val="002F5449"/>
    <w:pPr>
      <w:keepLines/>
      <w:pageBreakBefore/>
    </w:pPr>
    <w:rPr>
      <w:caps w:val="0"/>
      <w:szCs w:val="28"/>
    </w:rPr>
  </w:style>
  <w:style w:type="paragraph" w:styleId="TOC1">
    <w:name w:val="toc 1"/>
    <w:next w:val="Paragraph"/>
    <w:uiPriority w:val="39"/>
    <w:rsid w:val="002F5449"/>
    <w:pPr>
      <w:tabs>
        <w:tab w:val="left" w:pos="480"/>
        <w:tab w:val="right" w:leader="dot" w:pos="9000"/>
      </w:tabs>
      <w:spacing w:before="60" w:after="0" w:line="240" w:lineRule="auto"/>
      <w:ind w:left="480" w:right="360" w:hanging="480"/>
    </w:pPr>
    <w:rPr>
      <w:rFonts w:ascii="Times New Roman" w:eastAsia="MS Gothic" w:hAnsi="Times New Roman" w:cs="Times New Roman"/>
      <w:b/>
      <w:caps/>
      <w:sz w:val="24"/>
      <w:szCs w:val="20"/>
    </w:rPr>
  </w:style>
  <w:style w:type="paragraph" w:customStyle="1" w:styleId="TOCSection">
    <w:name w:val="TOC Section"/>
    <w:basedOn w:val="TOCTitle"/>
    <w:rsid w:val="002F5449"/>
    <w:pPr>
      <w:pageBreakBefore w:val="0"/>
      <w:tabs>
        <w:tab w:val="left" w:pos="480"/>
      </w:tabs>
      <w:spacing w:after="120"/>
      <w:jc w:val="left"/>
    </w:pPr>
  </w:style>
  <w:style w:type="paragraph" w:customStyle="1" w:styleId="Confidentiality">
    <w:name w:val="Confidentiality"/>
    <w:rsid w:val="002F5449"/>
    <w:pPr>
      <w:spacing w:before="60" w:after="0" w:line="240" w:lineRule="auto"/>
      <w:ind w:left="720" w:right="720"/>
    </w:pPr>
    <w:rPr>
      <w:rFonts w:ascii="Times New Roman" w:eastAsia="MS Gothic" w:hAnsi="Times New Roman" w:cs="Times New Roman"/>
      <w:b/>
      <w:caps/>
      <w:sz w:val="24"/>
      <w:szCs w:val="20"/>
    </w:rPr>
  </w:style>
  <w:style w:type="paragraph" w:styleId="TOC5">
    <w:name w:val="toc 5"/>
    <w:basedOn w:val="Normal"/>
    <w:next w:val="Normal"/>
    <w:rsid w:val="002F5449"/>
    <w:pPr>
      <w:tabs>
        <w:tab w:val="left" w:pos="2880"/>
        <w:tab w:val="right" w:leader="dot" w:pos="9000"/>
      </w:tabs>
      <w:spacing w:before="60" w:after="0" w:line="240" w:lineRule="auto"/>
      <w:ind w:left="2880" w:right="360" w:hanging="1440"/>
    </w:pPr>
    <w:rPr>
      <w:rFonts w:ascii="Times New Roman" w:eastAsia="MS Gothic" w:hAnsi="Times New Roman" w:cs="Times New Roman"/>
      <w:sz w:val="24"/>
      <w:szCs w:val="24"/>
    </w:rPr>
  </w:style>
  <w:style w:type="paragraph" w:styleId="TOC2">
    <w:name w:val="toc 2"/>
    <w:basedOn w:val="TOC1"/>
    <w:next w:val="Paragraph"/>
    <w:uiPriority w:val="39"/>
    <w:rsid w:val="002F5449"/>
    <w:pPr>
      <w:tabs>
        <w:tab w:val="clear" w:pos="480"/>
        <w:tab w:val="left" w:pos="1080"/>
      </w:tabs>
      <w:ind w:left="1080" w:hanging="720"/>
    </w:pPr>
    <w:rPr>
      <w:caps w:val="0"/>
      <w:szCs w:val="24"/>
    </w:rPr>
  </w:style>
  <w:style w:type="paragraph" w:styleId="TOC3">
    <w:name w:val="toc 3"/>
    <w:basedOn w:val="TOC1"/>
    <w:next w:val="Paragraph"/>
    <w:uiPriority w:val="39"/>
    <w:rsid w:val="002F5449"/>
    <w:pPr>
      <w:tabs>
        <w:tab w:val="clear" w:pos="480"/>
        <w:tab w:val="left" w:pos="1680"/>
      </w:tabs>
      <w:ind w:left="1680" w:hanging="960"/>
    </w:pPr>
    <w:rPr>
      <w:b w:val="0"/>
      <w:caps w:val="0"/>
      <w:szCs w:val="24"/>
    </w:rPr>
  </w:style>
  <w:style w:type="paragraph" w:styleId="TOC4">
    <w:name w:val="toc 4"/>
    <w:basedOn w:val="Normal"/>
    <w:next w:val="Normal"/>
    <w:rsid w:val="002F5449"/>
    <w:pPr>
      <w:tabs>
        <w:tab w:val="left" w:pos="2280"/>
        <w:tab w:val="right" w:leader="dot" w:pos="9000"/>
      </w:tabs>
      <w:spacing w:before="60" w:after="0" w:line="240" w:lineRule="auto"/>
      <w:ind w:left="2280" w:right="360" w:hanging="1200"/>
    </w:pPr>
    <w:rPr>
      <w:rFonts w:ascii="Times New Roman" w:eastAsia="MS Gothic" w:hAnsi="Times New Roman" w:cs="Times New Roman"/>
      <w:sz w:val="24"/>
      <w:szCs w:val="24"/>
    </w:rPr>
  </w:style>
  <w:style w:type="paragraph" w:styleId="TOC6">
    <w:name w:val="toc 6"/>
    <w:basedOn w:val="Normal"/>
    <w:next w:val="Normal"/>
    <w:rsid w:val="002F5449"/>
    <w:pPr>
      <w:tabs>
        <w:tab w:val="left" w:pos="3480"/>
        <w:tab w:val="right" w:leader="dot" w:pos="9000"/>
      </w:tabs>
      <w:spacing w:before="60" w:after="0" w:line="240" w:lineRule="auto"/>
      <w:ind w:left="3480" w:right="360" w:hanging="1680"/>
    </w:pPr>
    <w:rPr>
      <w:rFonts w:ascii="Times New Roman" w:eastAsia="MS Gothic" w:hAnsi="Times New Roman" w:cs="Times New Roman"/>
      <w:sz w:val="24"/>
      <w:szCs w:val="24"/>
    </w:rPr>
  </w:style>
  <w:style w:type="paragraph" w:styleId="TOC7">
    <w:name w:val="toc 7"/>
    <w:basedOn w:val="Normal"/>
    <w:next w:val="Normal"/>
    <w:semiHidden/>
    <w:rsid w:val="002F5449"/>
    <w:pPr>
      <w:tabs>
        <w:tab w:val="left" w:pos="4080"/>
        <w:tab w:val="right" w:leader="dot" w:pos="9000"/>
      </w:tabs>
      <w:spacing w:before="60"/>
      <w:ind w:left="4080" w:right="360" w:hanging="1920"/>
    </w:pPr>
    <w:rPr>
      <w:rFonts w:ascii="Arial" w:eastAsia="MS Gothic"/>
    </w:rPr>
  </w:style>
  <w:style w:type="paragraph" w:styleId="TOC8">
    <w:name w:val="toc 8"/>
    <w:basedOn w:val="Normal"/>
    <w:next w:val="Normal"/>
    <w:semiHidden/>
    <w:rsid w:val="002F5449"/>
    <w:pPr>
      <w:tabs>
        <w:tab w:val="left" w:pos="4680"/>
        <w:tab w:val="right" w:leader="dot" w:pos="9000"/>
      </w:tabs>
      <w:spacing w:before="60"/>
      <w:ind w:left="4680" w:right="360" w:hanging="2160"/>
    </w:pPr>
    <w:rPr>
      <w:rFonts w:ascii="Arial" w:eastAsia="MS Gothic"/>
    </w:rPr>
  </w:style>
  <w:style w:type="paragraph" w:styleId="TOC9">
    <w:name w:val="toc 9"/>
    <w:basedOn w:val="Normal"/>
    <w:next w:val="Normal"/>
    <w:semiHidden/>
    <w:rsid w:val="002F5449"/>
    <w:pPr>
      <w:tabs>
        <w:tab w:val="left" w:pos="5280"/>
        <w:tab w:val="right" w:leader="dot" w:pos="9000"/>
      </w:tabs>
      <w:spacing w:before="60"/>
      <w:ind w:left="5280" w:right="360" w:hanging="2400"/>
    </w:pPr>
    <w:rPr>
      <w:rFonts w:ascii="Arial" w:eastAsia="MS Gothic"/>
    </w:rPr>
  </w:style>
  <w:style w:type="paragraph" w:styleId="Caption">
    <w:name w:val="caption"/>
    <w:basedOn w:val="Normal"/>
    <w:next w:val="Normal"/>
    <w:qFormat/>
    <w:rsid w:val="002F5449"/>
    <w:pPr>
      <w:keepNext/>
      <w:spacing w:before="120" w:after="120" w:line="240" w:lineRule="auto"/>
      <w:jc w:val="center"/>
    </w:pPr>
    <w:rPr>
      <w:rFonts w:ascii="Times New Roman" w:eastAsia="Times New Roman" w:hAnsi="Times New Roman" w:cs="Times New Roman"/>
      <w:bCs/>
      <w:sz w:val="24"/>
      <w:szCs w:val="20"/>
    </w:rPr>
  </w:style>
  <w:style w:type="character" w:styleId="Hyperlink">
    <w:name w:val="Hyperlink"/>
    <w:uiPriority w:val="99"/>
    <w:rsid w:val="002F5449"/>
    <w:rPr>
      <w:rFonts w:ascii="Times New Roman" w:hAnsi="Times New Roman"/>
      <w:color w:val="0000FF"/>
      <w:sz w:val="24"/>
      <w:u w:val="none"/>
    </w:rPr>
  </w:style>
  <w:style w:type="paragraph" w:customStyle="1" w:styleId="HeaderLandscape">
    <w:name w:val="HeaderLandscape"/>
    <w:rsid w:val="002F5449"/>
    <w:pPr>
      <w:tabs>
        <w:tab w:val="center" w:pos="6480"/>
        <w:tab w:val="right" w:pos="12960"/>
      </w:tabs>
      <w:spacing w:before="60" w:after="0" w:line="240" w:lineRule="auto"/>
    </w:pPr>
    <w:rPr>
      <w:rFonts w:ascii="Times New Roman" w:eastAsia="MS Gothic" w:hAnsi="Times New Roman" w:cs="Times New Roman"/>
      <w:caps/>
      <w:sz w:val="24"/>
      <w:szCs w:val="20"/>
    </w:rPr>
  </w:style>
  <w:style w:type="paragraph" w:styleId="ListBullet">
    <w:name w:val="List Bullet"/>
    <w:rsid w:val="002F5449"/>
    <w:pPr>
      <w:keepLines/>
      <w:numPr>
        <w:numId w:val="10"/>
      </w:numPr>
      <w:spacing w:before="60" w:after="0" w:line="240" w:lineRule="auto"/>
    </w:pPr>
    <w:rPr>
      <w:rFonts w:ascii="Times New Roman" w:eastAsia="MS Gothic" w:hAnsi="Times New Roman" w:cs="Times New Roman"/>
      <w:sz w:val="24"/>
      <w:szCs w:val="20"/>
    </w:rPr>
  </w:style>
  <w:style w:type="paragraph" w:styleId="ListNumber">
    <w:name w:val="List Number"/>
    <w:basedOn w:val="Normal"/>
    <w:rsid w:val="002F5449"/>
    <w:pPr>
      <w:keepLines/>
      <w:numPr>
        <w:numId w:val="15"/>
      </w:numPr>
      <w:spacing w:before="60" w:after="0" w:line="240" w:lineRule="auto"/>
    </w:pPr>
    <w:rPr>
      <w:rFonts w:ascii="Times New Roman" w:eastAsia="MS Gothic" w:hAnsi="Times New Roman" w:cs="Times New Roman"/>
      <w:sz w:val="24"/>
      <w:szCs w:val="24"/>
    </w:rPr>
  </w:style>
  <w:style w:type="paragraph" w:customStyle="1" w:styleId="References">
    <w:name w:val="References"/>
    <w:rsid w:val="002F5449"/>
    <w:pPr>
      <w:keepLines/>
      <w:numPr>
        <w:numId w:val="16"/>
      </w:numPr>
      <w:spacing w:before="60" w:after="240" w:line="240" w:lineRule="auto"/>
    </w:pPr>
    <w:rPr>
      <w:rFonts w:ascii="Times New Roman" w:eastAsia="MS Gothic" w:hAnsi="Times New Roman" w:cs="Arial"/>
      <w:bCs/>
      <w:kern w:val="32"/>
      <w:sz w:val="24"/>
      <w:szCs w:val="24"/>
    </w:rPr>
  </w:style>
  <w:style w:type="paragraph" w:customStyle="1" w:styleId="Heading1Unnumbered">
    <w:name w:val="Heading 1 Unnumbered"/>
    <w:basedOn w:val="Heading1"/>
    <w:next w:val="Paragraph"/>
    <w:rsid w:val="002F5449"/>
    <w:pPr>
      <w:numPr>
        <w:numId w:val="0"/>
      </w:numPr>
    </w:pPr>
    <w:rPr>
      <w:szCs w:val="48"/>
    </w:rPr>
  </w:style>
  <w:style w:type="paragraph" w:customStyle="1" w:styleId="Appendix">
    <w:name w:val="Appendix"/>
    <w:basedOn w:val="Heading2NoTOC"/>
    <w:next w:val="Paragraph"/>
    <w:rsid w:val="002F5449"/>
    <w:pPr>
      <w:numPr>
        <w:numId w:val="13"/>
      </w:numPr>
    </w:pPr>
    <w:rPr>
      <w:bCs w:val="0"/>
      <w:snapToGrid w:val="0"/>
    </w:rPr>
  </w:style>
  <w:style w:type="paragraph" w:customStyle="1" w:styleId="Heading2NoTOC">
    <w:name w:val="Heading 2 No TOC"/>
    <w:basedOn w:val="Heading2"/>
    <w:next w:val="Paragraph"/>
    <w:rsid w:val="002F5449"/>
    <w:pPr>
      <w:numPr>
        <w:ilvl w:val="0"/>
        <w:numId w:val="0"/>
      </w:numPr>
      <w:tabs>
        <w:tab w:val="left" w:pos="720"/>
      </w:tabs>
      <w:outlineLvl w:val="9"/>
    </w:pPr>
  </w:style>
  <w:style w:type="paragraph" w:customStyle="1" w:styleId="ListEnd">
    <w:name w:val="List End"/>
    <w:next w:val="Paragraph"/>
    <w:semiHidden/>
    <w:rsid w:val="002F5449"/>
    <w:pPr>
      <w:spacing w:after="0" w:line="240" w:lineRule="auto"/>
    </w:pPr>
    <w:rPr>
      <w:rFonts w:ascii="Times New Roman" w:eastAsia="Times New Roman" w:hAnsi="Times New Roman" w:cs="Times New Roman"/>
      <w:sz w:val="24"/>
      <w:szCs w:val="20"/>
    </w:rPr>
  </w:style>
  <w:style w:type="character" w:styleId="EndnoteReference">
    <w:name w:val="endnote reference"/>
    <w:semiHidden/>
    <w:rsid w:val="002F5449"/>
    <w:rPr>
      <w:vertAlign w:val="superscript"/>
    </w:rPr>
  </w:style>
  <w:style w:type="paragraph" w:styleId="EndnoteText">
    <w:name w:val="endnote text"/>
    <w:basedOn w:val="Normal"/>
    <w:link w:val="EndnoteTextChar"/>
    <w:semiHidden/>
    <w:rsid w:val="002F5449"/>
    <w:pPr>
      <w:spacing w:before="60"/>
    </w:pPr>
    <w:rPr>
      <w:sz w:val="20"/>
      <w:szCs w:val="20"/>
    </w:rPr>
  </w:style>
  <w:style w:type="character" w:customStyle="1" w:styleId="EndnoteTextChar">
    <w:name w:val="Endnote Text Char"/>
    <w:basedOn w:val="DefaultParagraphFont"/>
    <w:link w:val="EndnoteText"/>
    <w:semiHidden/>
    <w:rsid w:val="002F5449"/>
    <w:rPr>
      <w:rFonts w:ascii="Times New Roman" w:eastAsia="Times New Roman" w:hAnsi="Times New Roman" w:cs="Times New Roman"/>
      <w:sz w:val="20"/>
      <w:szCs w:val="20"/>
    </w:rPr>
  </w:style>
  <w:style w:type="paragraph" w:customStyle="1" w:styleId="Figure">
    <w:name w:val="Figure"/>
    <w:next w:val="Paragraph"/>
    <w:rsid w:val="002F5449"/>
    <w:pPr>
      <w:keepLines/>
      <w:spacing w:before="60" w:after="120" w:line="240" w:lineRule="auto"/>
      <w:jc w:val="center"/>
    </w:pPr>
    <w:rPr>
      <w:rFonts w:ascii="Times New Roman" w:eastAsia="MS Gothic" w:hAnsi="Times New Roman" w:cs="Times New Roman"/>
      <w:sz w:val="24"/>
      <w:szCs w:val="20"/>
    </w:rPr>
  </w:style>
  <w:style w:type="paragraph" w:customStyle="1" w:styleId="ListLetter">
    <w:name w:val="List Letter"/>
    <w:rsid w:val="002F5449"/>
    <w:pPr>
      <w:keepLines/>
      <w:numPr>
        <w:numId w:val="14"/>
      </w:numPr>
      <w:spacing w:before="60" w:after="0" w:line="240" w:lineRule="auto"/>
    </w:pPr>
    <w:rPr>
      <w:rFonts w:ascii="Times New Roman" w:eastAsia="MS Gothic" w:hAnsi="Times New Roman" w:cs="Arial"/>
      <w:bCs/>
      <w:iCs/>
      <w:sz w:val="24"/>
      <w:szCs w:val="48"/>
    </w:rPr>
  </w:style>
  <w:style w:type="paragraph" w:customStyle="1" w:styleId="FooterLandscape">
    <w:name w:val="FooterLandscape"/>
    <w:basedOn w:val="HeaderLandscape"/>
    <w:rsid w:val="002F5449"/>
    <w:pPr>
      <w:tabs>
        <w:tab w:val="clear" w:pos="6480"/>
        <w:tab w:val="clear" w:pos="12960"/>
        <w:tab w:val="center" w:pos="6307"/>
        <w:tab w:val="right" w:pos="12600"/>
      </w:tabs>
    </w:pPr>
    <w:rPr>
      <w:caps w:val="0"/>
    </w:rPr>
  </w:style>
  <w:style w:type="paragraph" w:customStyle="1" w:styleId="Approval">
    <w:name w:val="Approval"/>
    <w:rsid w:val="002F5449"/>
    <w:pPr>
      <w:tabs>
        <w:tab w:val="left" w:pos="1080"/>
        <w:tab w:val="left" w:pos="5040"/>
        <w:tab w:val="left" w:pos="5760"/>
        <w:tab w:val="left" w:pos="6480"/>
        <w:tab w:val="left" w:pos="8640"/>
      </w:tabs>
      <w:spacing w:after="0" w:line="240" w:lineRule="auto"/>
    </w:pPr>
    <w:rPr>
      <w:rFonts w:ascii="Times New Roman" w:eastAsia="MS Gothic" w:hAnsi="Times New Roman" w:cs="Times New Roman"/>
      <w:sz w:val="24"/>
      <w:szCs w:val="24"/>
    </w:rPr>
  </w:style>
  <w:style w:type="paragraph" w:styleId="BalloonText">
    <w:name w:val="Balloon Text"/>
    <w:basedOn w:val="Normal"/>
    <w:link w:val="BalloonTextChar"/>
    <w:semiHidden/>
    <w:rsid w:val="002F5449"/>
    <w:pPr>
      <w:spacing w:after="0" w:line="240" w:lineRule="auto"/>
    </w:pPr>
    <w:rPr>
      <w:rFonts w:ascii="Arial Narrow" w:eastAsia="Times New Roman" w:hAnsi="Arial Narrow" w:cs="Tahoma"/>
      <w:sz w:val="18"/>
      <w:szCs w:val="16"/>
    </w:rPr>
  </w:style>
  <w:style w:type="character" w:customStyle="1" w:styleId="BalloonTextChar">
    <w:name w:val="Balloon Text Char"/>
    <w:basedOn w:val="DefaultParagraphFont"/>
    <w:link w:val="BalloonText"/>
    <w:semiHidden/>
    <w:rsid w:val="002F5449"/>
    <w:rPr>
      <w:rFonts w:ascii="Arial Narrow" w:eastAsia="Times New Roman" w:hAnsi="Arial Narrow" w:cs="Tahoma"/>
      <w:sz w:val="18"/>
      <w:szCs w:val="16"/>
    </w:rPr>
  </w:style>
  <w:style w:type="paragraph" w:customStyle="1" w:styleId="Heading2Unnumbered">
    <w:name w:val="Heading 2 Unnumbered"/>
    <w:basedOn w:val="Heading2"/>
    <w:next w:val="Paragraph"/>
    <w:rsid w:val="002F5449"/>
    <w:pPr>
      <w:numPr>
        <w:ilvl w:val="0"/>
        <w:numId w:val="0"/>
      </w:numPr>
      <w:tabs>
        <w:tab w:val="left" w:pos="720"/>
      </w:tabs>
    </w:pPr>
  </w:style>
  <w:style w:type="paragraph" w:styleId="BodyText">
    <w:name w:val="Body Text"/>
    <w:basedOn w:val="Normal"/>
    <w:link w:val="BodyTextChar"/>
    <w:semiHidden/>
    <w:rsid w:val="002F5449"/>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semiHidden/>
    <w:rsid w:val="002F5449"/>
    <w:rPr>
      <w:rFonts w:ascii="Times New Roman" w:eastAsia="Times New Roman" w:hAnsi="Times New Roman" w:cs="Times New Roman"/>
      <w:sz w:val="24"/>
      <w:szCs w:val="24"/>
    </w:rPr>
  </w:style>
  <w:style w:type="paragraph" w:styleId="BodyText2">
    <w:name w:val="Body Text 2"/>
    <w:basedOn w:val="Normal"/>
    <w:link w:val="BodyText2Char"/>
    <w:semiHidden/>
    <w:rsid w:val="002F5449"/>
    <w:pPr>
      <w:spacing w:after="120" w:line="480" w:lineRule="auto"/>
    </w:pPr>
  </w:style>
  <w:style w:type="character" w:customStyle="1" w:styleId="BodyText2Char">
    <w:name w:val="Body Text 2 Char"/>
    <w:link w:val="BodyText2"/>
    <w:semiHidden/>
    <w:rsid w:val="002F5449"/>
    <w:rPr>
      <w:rFonts w:ascii="Times New Roman" w:eastAsia="Times New Roman" w:hAnsi="Times New Roman" w:cs="Times New Roman"/>
      <w:sz w:val="24"/>
      <w:szCs w:val="24"/>
    </w:rPr>
  </w:style>
  <w:style w:type="paragraph" w:styleId="BodyText3">
    <w:name w:val="Body Text 3"/>
    <w:basedOn w:val="Normal"/>
    <w:link w:val="BodyText3Char"/>
    <w:semiHidden/>
    <w:rsid w:val="002F5449"/>
    <w:pPr>
      <w:spacing w:after="120"/>
    </w:pPr>
    <w:rPr>
      <w:sz w:val="16"/>
      <w:szCs w:val="16"/>
    </w:rPr>
  </w:style>
  <w:style w:type="character" w:customStyle="1" w:styleId="BodyText3Char">
    <w:name w:val="Body Text 3 Char"/>
    <w:link w:val="BodyText3"/>
    <w:semiHidden/>
    <w:rsid w:val="002F5449"/>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rsid w:val="002F5449"/>
    <w:pPr>
      <w:ind w:firstLine="210"/>
    </w:pPr>
  </w:style>
  <w:style w:type="character" w:customStyle="1" w:styleId="BodyTextFirstIndentChar">
    <w:name w:val="Body Text First Indent Char"/>
    <w:link w:val="BodyTextFirstIndent"/>
    <w:semiHidden/>
    <w:rsid w:val="002F5449"/>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F5449"/>
    <w:pPr>
      <w:spacing w:after="120"/>
      <w:ind w:left="360"/>
    </w:pPr>
  </w:style>
  <w:style w:type="character" w:customStyle="1" w:styleId="BodyTextIndentChar">
    <w:name w:val="Body Text Indent Char"/>
    <w:link w:val="BodyTextIndent"/>
    <w:semiHidden/>
    <w:rsid w:val="002F544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2F5449"/>
    <w:pPr>
      <w:ind w:firstLine="210"/>
    </w:pPr>
  </w:style>
  <w:style w:type="character" w:customStyle="1" w:styleId="BodyTextFirstIndent2Char">
    <w:name w:val="Body Text First Indent 2 Char"/>
    <w:link w:val="BodyTextFirstIndent2"/>
    <w:semiHidden/>
    <w:rsid w:val="002F5449"/>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F5449"/>
    <w:pPr>
      <w:spacing w:after="120" w:line="480" w:lineRule="auto"/>
      <w:ind w:left="360"/>
    </w:pPr>
  </w:style>
  <w:style w:type="character" w:customStyle="1" w:styleId="BodyTextIndent2Char">
    <w:name w:val="Body Text Indent 2 Char"/>
    <w:link w:val="BodyTextIndent2"/>
    <w:semiHidden/>
    <w:rsid w:val="002F5449"/>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2F5449"/>
    <w:pPr>
      <w:spacing w:after="120"/>
      <w:ind w:left="360"/>
    </w:pPr>
    <w:rPr>
      <w:sz w:val="16"/>
      <w:szCs w:val="16"/>
    </w:rPr>
  </w:style>
  <w:style w:type="character" w:customStyle="1" w:styleId="BodyTextIndent3Char">
    <w:name w:val="Body Text Indent 3 Char"/>
    <w:link w:val="BodyTextIndent3"/>
    <w:semiHidden/>
    <w:rsid w:val="002F5449"/>
    <w:rPr>
      <w:rFonts w:ascii="Times New Roman" w:eastAsia="Times New Roman" w:hAnsi="Times New Roman" w:cs="Times New Roman"/>
      <w:sz w:val="16"/>
      <w:szCs w:val="16"/>
    </w:rPr>
  </w:style>
  <w:style w:type="paragraph" w:styleId="Closing">
    <w:name w:val="Closing"/>
    <w:basedOn w:val="Normal"/>
    <w:link w:val="ClosingChar"/>
    <w:semiHidden/>
    <w:rsid w:val="002F5449"/>
    <w:pPr>
      <w:ind w:left="4320"/>
    </w:pPr>
  </w:style>
  <w:style w:type="character" w:customStyle="1" w:styleId="ClosingChar">
    <w:name w:val="Closing Char"/>
    <w:link w:val="Closing"/>
    <w:semiHidden/>
    <w:rsid w:val="002F5449"/>
    <w:rPr>
      <w:rFonts w:ascii="Times New Roman" w:eastAsia="Times New Roman" w:hAnsi="Times New Roman" w:cs="Times New Roman"/>
      <w:sz w:val="24"/>
      <w:szCs w:val="24"/>
    </w:rPr>
  </w:style>
  <w:style w:type="character" w:styleId="CommentReference">
    <w:name w:val="annotation reference"/>
    <w:semiHidden/>
    <w:rsid w:val="002F5449"/>
    <w:rPr>
      <w:sz w:val="16"/>
      <w:szCs w:val="16"/>
    </w:rPr>
  </w:style>
  <w:style w:type="paragraph" w:styleId="CommentText">
    <w:name w:val="annotation text"/>
    <w:basedOn w:val="Normal"/>
    <w:link w:val="CommentTextChar"/>
    <w:semiHidden/>
    <w:rsid w:val="002F544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54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F5449"/>
    <w:rPr>
      <w:b/>
      <w:bCs/>
    </w:rPr>
  </w:style>
  <w:style w:type="character" w:customStyle="1" w:styleId="CommentSubjectChar">
    <w:name w:val="Comment Subject Char"/>
    <w:basedOn w:val="CommentTextChar"/>
    <w:link w:val="CommentSubject"/>
    <w:semiHidden/>
    <w:rsid w:val="002F5449"/>
    <w:rPr>
      <w:rFonts w:ascii="Times New Roman" w:eastAsia="Times New Roman" w:hAnsi="Times New Roman" w:cs="Times New Roman"/>
      <w:b/>
      <w:bCs/>
      <w:sz w:val="20"/>
      <w:szCs w:val="20"/>
    </w:rPr>
  </w:style>
  <w:style w:type="paragraph" w:styleId="Date">
    <w:name w:val="Date"/>
    <w:basedOn w:val="Normal"/>
    <w:next w:val="Normal"/>
    <w:link w:val="DateChar"/>
    <w:semiHidden/>
    <w:rsid w:val="002F5449"/>
  </w:style>
  <w:style w:type="character" w:customStyle="1" w:styleId="DateChar">
    <w:name w:val="Date Char"/>
    <w:link w:val="Date"/>
    <w:semiHidden/>
    <w:rsid w:val="002F5449"/>
    <w:rPr>
      <w:rFonts w:ascii="Times New Roman" w:eastAsia="Times New Roman" w:hAnsi="Times New Roman" w:cs="Times New Roman"/>
      <w:sz w:val="24"/>
      <w:szCs w:val="24"/>
    </w:rPr>
  </w:style>
  <w:style w:type="paragraph" w:styleId="DocumentMap">
    <w:name w:val="Document Map"/>
    <w:basedOn w:val="Normal"/>
    <w:link w:val="DocumentMapChar"/>
    <w:semiHidden/>
    <w:rsid w:val="002F5449"/>
    <w:pPr>
      <w:shd w:val="clear" w:color="auto" w:fill="000080"/>
    </w:pPr>
    <w:rPr>
      <w:rFonts w:ascii="Tahoma" w:hAnsi="Tahoma" w:cs="Tahoma"/>
    </w:rPr>
  </w:style>
  <w:style w:type="character" w:customStyle="1" w:styleId="DocumentMapChar">
    <w:name w:val="Document Map Char"/>
    <w:basedOn w:val="DefaultParagraphFont"/>
    <w:link w:val="DocumentMap"/>
    <w:semiHidden/>
    <w:rsid w:val="002F5449"/>
    <w:rPr>
      <w:rFonts w:ascii="Tahoma" w:eastAsia="Times New Roman" w:hAnsi="Tahoma" w:cs="Tahoma"/>
      <w:sz w:val="24"/>
      <w:szCs w:val="24"/>
      <w:shd w:val="clear" w:color="auto" w:fill="000080"/>
    </w:rPr>
  </w:style>
  <w:style w:type="paragraph" w:styleId="E-mailSignature">
    <w:name w:val="E-mail Signature"/>
    <w:basedOn w:val="Normal"/>
    <w:link w:val="E-mailSignatureChar"/>
    <w:semiHidden/>
    <w:rsid w:val="002F5449"/>
  </w:style>
  <w:style w:type="character" w:customStyle="1" w:styleId="E-mailSignatureChar">
    <w:name w:val="E-mail Signature Char"/>
    <w:link w:val="E-mailSignature"/>
    <w:semiHidden/>
    <w:rsid w:val="002F5449"/>
    <w:rPr>
      <w:rFonts w:ascii="Times New Roman" w:eastAsia="Times New Roman" w:hAnsi="Times New Roman" w:cs="Times New Roman"/>
      <w:sz w:val="24"/>
      <w:szCs w:val="24"/>
    </w:rPr>
  </w:style>
  <w:style w:type="character" w:styleId="Emphasis">
    <w:name w:val="Emphasis"/>
    <w:uiPriority w:val="20"/>
    <w:qFormat/>
    <w:rsid w:val="002F5449"/>
    <w:rPr>
      <w:rFonts w:ascii="Times New Roman" w:hAnsi="Times New Roman"/>
      <w:i/>
      <w:iCs/>
      <w:sz w:val="24"/>
    </w:rPr>
  </w:style>
  <w:style w:type="paragraph" w:styleId="EnvelopeAddress">
    <w:name w:val="envelope address"/>
    <w:basedOn w:val="Normal"/>
    <w:semiHidden/>
    <w:rsid w:val="002F5449"/>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rsid w:val="002F5449"/>
    <w:rPr>
      <w:rFonts w:ascii="Arial" w:hAnsi="Arial" w:cs="Arial"/>
      <w:sz w:val="20"/>
      <w:szCs w:val="20"/>
    </w:rPr>
  </w:style>
  <w:style w:type="character" w:styleId="FollowedHyperlink">
    <w:name w:val="FollowedHyperlink"/>
    <w:semiHidden/>
    <w:rsid w:val="002F5449"/>
    <w:rPr>
      <w:color w:val="800080"/>
      <w:u w:val="single"/>
    </w:rPr>
  </w:style>
  <w:style w:type="character" w:styleId="FootnoteReference">
    <w:name w:val="footnote reference"/>
    <w:semiHidden/>
    <w:rsid w:val="002F5449"/>
    <w:rPr>
      <w:vertAlign w:val="superscript"/>
    </w:rPr>
  </w:style>
  <w:style w:type="paragraph" w:styleId="FootnoteText">
    <w:name w:val="footnote text"/>
    <w:link w:val="FootnoteTextChar"/>
    <w:semiHidden/>
    <w:rsid w:val="002F5449"/>
    <w:pPr>
      <w:spacing w:before="60" w:after="0" w:line="240" w:lineRule="auto"/>
      <w:ind w:left="360" w:hanging="360"/>
    </w:pPr>
    <w:rPr>
      <w:rFonts w:ascii="Arial" w:eastAsia="MS Mincho" w:hAnsi="Arial" w:cs="Times New Roman"/>
      <w:sz w:val="20"/>
      <w:szCs w:val="20"/>
    </w:rPr>
  </w:style>
  <w:style w:type="character" w:customStyle="1" w:styleId="FootnoteTextChar">
    <w:name w:val="Footnote Text Char"/>
    <w:basedOn w:val="DefaultParagraphFont"/>
    <w:link w:val="FootnoteText"/>
    <w:semiHidden/>
    <w:rsid w:val="002F5449"/>
    <w:rPr>
      <w:rFonts w:ascii="Arial" w:eastAsia="MS Mincho" w:hAnsi="Arial" w:cs="Times New Roman"/>
      <w:sz w:val="20"/>
      <w:szCs w:val="20"/>
    </w:rPr>
  </w:style>
  <w:style w:type="character" w:styleId="HTMLAcronym">
    <w:name w:val="HTML Acronym"/>
    <w:semiHidden/>
    <w:rsid w:val="002F5449"/>
  </w:style>
  <w:style w:type="paragraph" w:styleId="HTMLAddress">
    <w:name w:val="HTML Address"/>
    <w:basedOn w:val="Normal"/>
    <w:link w:val="HTMLAddressChar"/>
    <w:semiHidden/>
    <w:rsid w:val="002F5449"/>
    <w:rPr>
      <w:i/>
      <w:iCs/>
    </w:rPr>
  </w:style>
  <w:style w:type="character" w:customStyle="1" w:styleId="HTMLAddressChar">
    <w:name w:val="HTML Address Char"/>
    <w:link w:val="HTMLAddress"/>
    <w:semiHidden/>
    <w:rsid w:val="002F5449"/>
    <w:rPr>
      <w:rFonts w:ascii="Times New Roman" w:eastAsia="Times New Roman" w:hAnsi="Times New Roman" w:cs="Times New Roman"/>
      <w:i/>
      <w:iCs/>
      <w:sz w:val="24"/>
      <w:szCs w:val="24"/>
    </w:rPr>
  </w:style>
  <w:style w:type="character" w:styleId="HTMLCite">
    <w:name w:val="HTML Cite"/>
    <w:semiHidden/>
    <w:rsid w:val="002F5449"/>
    <w:rPr>
      <w:i/>
      <w:iCs/>
    </w:rPr>
  </w:style>
  <w:style w:type="character" w:styleId="HTMLCode">
    <w:name w:val="HTML Code"/>
    <w:semiHidden/>
    <w:rsid w:val="002F5449"/>
    <w:rPr>
      <w:rFonts w:ascii="Courier New" w:hAnsi="Courier New" w:cs="Courier New"/>
      <w:sz w:val="20"/>
      <w:szCs w:val="20"/>
    </w:rPr>
  </w:style>
  <w:style w:type="character" w:styleId="HTMLDefinition">
    <w:name w:val="HTML Definition"/>
    <w:semiHidden/>
    <w:rsid w:val="002F5449"/>
    <w:rPr>
      <w:i/>
      <w:iCs/>
    </w:rPr>
  </w:style>
  <w:style w:type="character" w:styleId="HTMLKeyboard">
    <w:name w:val="HTML Keyboard"/>
    <w:semiHidden/>
    <w:rsid w:val="002F5449"/>
    <w:rPr>
      <w:rFonts w:ascii="Courier New" w:hAnsi="Courier New" w:cs="Courier New"/>
      <w:sz w:val="20"/>
      <w:szCs w:val="20"/>
    </w:rPr>
  </w:style>
  <w:style w:type="paragraph" w:styleId="HTMLPreformatted">
    <w:name w:val="HTML Preformatted"/>
    <w:basedOn w:val="Normal"/>
    <w:link w:val="HTMLPreformattedChar"/>
    <w:semiHidden/>
    <w:rsid w:val="002F5449"/>
    <w:rPr>
      <w:rFonts w:ascii="Courier New" w:hAnsi="Courier New" w:cs="Courier New"/>
      <w:sz w:val="20"/>
      <w:szCs w:val="20"/>
    </w:rPr>
  </w:style>
  <w:style w:type="character" w:customStyle="1" w:styleId="HTMLPreformattedChar">
    <w:name w:val="HTML Preformatted Char"/>
    <w:link w:val="HTMLPreformatted"/>
    <w:semiHidden/>
    <w:rsid w:val="002F5449"/>
    <w:rPr>
      <w:rFonts w:ascii="Courier New" w:eastAsia="Times New Roman" w:hAnsi="Courier New" w:cs="Courier New"/>
      <w:sz w:val="20"/>
      <w:szCs w:val="20"/>
    </w:rPr>
  </w:style>
  <w:style w:type="character" w:styleId="HTMLSample">
    <w:name w:val="HTML Sample"/>
    <w:semiHidden/>
    <w:rsid w:val="002F5449"/>
    <w:rPr>
      <w:rFonts w:ascii="Courier New" w:hAnsi="Courier New" w:cs="Courier New"/>
    </w:rPr>
  </w:style>
  <w:style w:type="character" w:styleId="HTMLTypewriter">
    <w:name w:val="HTML Typewriter"/>
    <w:semiHidden/>
    <w:rsid w:val="002F5449"/>
    <w:rPr>
      <w:rFonts w:ascii="Courier New" w:hAnsi="Courier New" w:cs="Courier New"/>
      <w:sz w:val="20"/>
      <w:szCs w:val="20"/>
    </w:rPr>
  </w:style>
  <w:style w:type="character" w:styleId="HTMLVariable">
    <w:name w:val="HTML Variable"/>
    <w:semiHidden/>
    <w:rsid w:val="002F5449"/>
    <w:rPr>
      <w:i/>
      <w:iCs/>
    </w:rPr>
  </w:style>
  <w:style w:type="paragraph" w:styleId="Index1">
    <w:name w:val="index 1"/>
    <w:basedOn w:val="Normal"/>
    <w:next w:val="Normal"/>
    <w:semiHidden/>
    <w:rsid w:val="002F5449"/>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semiHidden/>
    <w:rsid w:val="002F5449"/>
    <w:pPr>
      <w:ind w:left="480" w:hanging="240"/>
    </w:pPr>
  </w:style>
  <w:style w:type="paragraph" w:styleId="Index3">
    <w:name w:val="index 3"/>
    <w:basedOn w:val="Normal"/>
    <w:next w:val="Normal"/>
    <w:semiHidden/>
    <w:rsid w:val="002F5449"/>
    <w:pPr>
      <w:ind w:left="720" w:hanging="240"/>
    </w:pPr>
  </w:style>
  <w:style w:type="paragraph" w:styleId="Index4">
    <w:name w:val="index 4"/>
    <w:basedOn w:val="Normal"/>
    <w:next w:val="Normal"/>
    <w:semiHidden/>
    <w:rsid w:val="002F5449"/>
    <w:pPr>
      <w:ind w:left="960" w:hanging="240"/>
    </w:pPr>
  </w:style>
  <w:style w:type="paragraph" w:styleId="Index5">
    <w:name w:val="index 5"/>
    <w:basedOn w:val="Normal"/>
    <w:next w:val="Normal"/>
    <w:semiHidden/>
    <w:rsid w:val="002F5449"/>
    <w:pPr>
      <w:ind w:left="1200" w:hanging="240"/>
    </w:pPr>
  </w:style>
  <w:style w:type="paragraph" w:styleId="Index6">
    <w:name w:val="index 6"/>
    <w:basedOn w:val="Normal"/>
    <w:next w:val="Normal"/>
    <w:semiHidden/>
    <w:rsid w:val="002F5449"/>
    <w:pPr>
      <w:ind w:left="1440" w:hanging="240"/>
    </w:pPr>
  </w:style>
  <w:style w:type="paragraph" w:styleId="Index7">
    <w:name w:val="index 7"/>
    <w:basedOn w:val="Normal"/>
    <w:next w:val="Normal"/>
    <w:semiHidden/>
    <w:rsid w:val="002F5449"/>
    <w:pPr>
      <w:ind w:left="1680" w:hanging="240"/>
    </w:pPr>
  </w:style>
  <w:style w:type="paragraph" w:styleId="Index8">
    <w:name w:val="index 8"/>
    <w:basedOn w:val="Normal"/>
    <w:next w:val="Normal"/>
    <w:semiHidden/>
    <w:rsid w:val="002F5449"/>
    <w:pPr>
      <w:ind w:left="1920" w:hanging="240"/>
    </w:pPr>
  </w:style>
  <w:style w:type="paragraph" w:styleId="Index9">
    <w:name w:val="index 9"/>
    <w:basedOn w:val="Normal"/>
    <w:next w:val="Normal"/>
    <w:semiHidden/>
    <w:rsid w:val="002F5449"/>
    <w:pPr>
      <w:ind w:left="2160" w:hanging="240"/>
    </w:pPr>
  </w:style>
  <w:style w:type="paragraph" w:styleId="IndexHeading">
    <w:name w:val="index heading"/>
    <w:basedOn w:val="Normal"/>
    <w:next w:val="Index1"/>
    <w:semiHidden/>
    <w:rsid w:val="002F5449"/>
    <w:rPr>
      <w:rFonts w:ascii="Arial" w:hAnsi="Arial" w:cs="Arial"/>
      <w:b/>
      <w:bCs/>
    </w:rPr>
  </w:style>
  <w:style w:type="character" w:styleId="LineNumber">
    <w:name w:val="line number"/>
    <w:semiHidden/>
    <w:rsid w:val="002F5449"/>
  </w:style>
  <w:style w:type="paragraph" w:styleId="List">
    <w:name w:val="List"/>
    <w:basedOn w:val="Normal"/>
    <w:semiHidden/>
    <w:rsid w:val="002F5449"/>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semiHidden/>
    <w:rsid w:val="002F5449"/>
    <w:pPr>
      <w:ind w:left="720" w:hanging="360"/>
    </w:pPr>
  </w:style>
  <w:style w:type="paragraph" w:styleId="List3">
    <w:name w:val="List 3"/>
    <w:basedOn w:val="Normal"/>
    <w:semiHidden/>
    <w:rsid w:val="002F5449"/>
    <w:pPr>
      <w:ind w:left="1080" w:hanging="360"/>
    </w:pPr>
  </w:style>
  <w:style w:type="paragraph" w:styleId="List4">
    <w:name w:val="List 4"/>
    <w:basedOn w:val="Normal"/>
    <w:semiHidden/>
    <w:rsid w:val="002F5449"/>
    <w:pPr>
      <w:ind w:left="1440" w:hanging="360"/>
    </w:pPr>
  </w:style>
  <w:style w:type="paragraph" w:styleId="List5">
    <w:name w:val="List 5"/>
    <w:basedOn w:val="Normal"/>
    <w:semiHidden/>
    <w:rsid w:val="002F5449"/>
    <w:pPr>
      <w:ind w:left="1800" w:hanging="360"/>
    </w:pPr>
  </w:style>
  <w:style w:type="paragraph" w:styleId="ListBullet2">
    <w:name w:val="List Bullet 2"/>
    <w:basedOn w:val="Normal"/>
    <w:rsid w:val="002F5449"/>
    <w:pPr>
      <w:keepLines/>
      <w:numPr>
        <w:numId w:val="11"/>
      </w:numPr>
      <w:spacing w:before="60" w:after="0" w:line="240" w:lineRule="auto"/>
    </w:pPr>
    <w:rPr>
      <w:rFonts w:ascii="Times New Roman" w:eastAsia="MS Gothic" w:hAnsi="Times New Roman" w:cs="Times New Roman"/>
      <w:sz w:val="24"/>
      <w:szCs w:val="24"/>
    </w:rPr>
  </w:style>
  <w:style w:type="paragraph" w:styleId="ListBullet3">
    <w:name w:val="List Bullet 3"/>
    <w:basedOn w:val="Normal"/>
    <w:rsid w:val="002F5449"/>
    <w:pPr>
      <w:keepLines/>
      <w:numPr>
        <w:numId w:val="12"/>
      </w:numPr>
      <w:spacing w:before="60" w:after="0" w:line="240" w:lineRule="auto"/>
    </w:pPr>
    <w:rPr>
      <w:rFonts w:ascii="Times New Roman" w:eastAsia="MS Gothic" w:hAnsi="Times New Roman" w:cs="Times New Roman"/>
      <w:sz w:val="24"/>
      <w:szCs w:val="24"/>
    </w:rPr>
  </w:style>
  <w:style w:type="paragraph" w:styleId="ListBullet4">
    <w:name w:val="List Bullet 4"/>
    <w:basedOn w:val="Normal"/>
    <w:semiHidden/>
    <w:rsid w:val="002F5449"/>
    <w:pPr>
      <w:tabs>
        <w:tab w:val="num" w:pos="1440"/>
      </w:tabs>
      <w:spacing w:before="60"/>
      <w:ind w:left="1440" w:hanging="360"/>
    </w:pPr>
  </w:style>
  <w:style w:type="paragraph" w:styleId="ListBullet5">
    <w:name w:val="List Bullet 5"/>
    <w:basedOn w:val="Normal"/>
    <w:semiHidden/>
    <w:rsid w:val="002F5449"/>
    <w:pPr>
      <w:tabs>
        <w:tab w:val="num" w:pos="1800"/>
      </w:tabs>
      <w:spacing w:before="60"/>
      <w:ind w:left="1800" w:hanging="360"/>
    </w:pPr>
  </w:style>
  <w:style w:type="paragraph" w:styleId="ListContinue">
    <w:name w:val="List Continue"/>
    <w:basedOn w:val="Normal"/>
    <w:semiHidden/>
    <w:rsid w:val="002F5449"/>
    <w:pPr>
      <w:spacing w:after="120"/>
      <w:ind w:left="360"/>
    </w:pPr>
  </w:style>
  <w:style w:type="paragraph" w:styleId="ListContinue2">
    <w:name w:val="List Continue 2"/>
    <w:basedOn w:val="Normal"/>
    <w:semiHidden/>
    <w:rsid w:val="002F5449"/>
    <w:pPr>
      <w:spacing w:after="120"/>
      <w:ind w:left="720"/>
    </w:pPr>
  </w:style>
  <w:style w:type="paragraph" w:styleId="ListContinue3">
    <w:name w:val="List Continue 3"/>
    <w:basedOn w:val="Normal"/>
    <w:semiHidden/>
    <w:rsid w:val="002F5449"/>
    <w:pPr>
      <w:spacing w:after="120"/>
      <w:ind w:left="1080"/>
    </w:pPr>
  </w:style>
  <w:style w:type="paragraph" w:styleId="ListContinue4">
    <w:name w:val="List Continue 4"/>
    <w:basedOn w:val="Normal"/>
    <w:semiHidden/>
    <w:rsid w:val="002F5449"/>
    <w:pPr>
      <w:spacing w:after="120"/>
      <w:ind w:left="1440"/>
    </w:pPr>
  </w:style>
  <w:style w:type="paragraph" w:styleId="ListContinue5">
    <w:name w:val="List Continue 5"/>
    <w:basedOn w:val="Normal"/>
    <w:semiHidden/>
    <w:rsid w:val="002F5449"/>
    <w:pPr>
      <w:spacing w:after="120"/>
      <w:ind w:left="1800"/>
    </w:pPr>
  </w:style>
  <w:style w:type="paragraph" w:styleId="ListNumber4">
    <w:name w:val="List Number 4"/>
    <w:basedOn w:val="Normal"/>
    <w:semiHidden/>
    <w:rsid w:val="002F5449"/>
    <w:pPr>
      <w:tabs>
        <w:tab w:val="num" w:pos="1440"/>
      </w:tabs>
      <w:spacing w:before="60"/>
      <w:ind w:left="1440" w:hanging="360"/>
    </w:pPr>
  </w:style>
  <w:style w:type="paragraph" w:styleId="ListNumber5">
    <w:name w:val="List Number 5"/>
    <w:basedOn w:val="Normal"/>
    <w:semiHidden/>
    <w:rsid w:val="002F5449"/>
    <w:pPr>
      <w:tabs>
        <w:tab w:val="num" w:pos="1800"/>
      </w:tabs>
      <w:spacing w:before="60"/>
      <w:ind w:left="1800" w:hanging="360"/>
    </w:pPr>
  </w:style>
  <w:style w:type="paragraph" w:styleId="MacroText">
    <w:name w:val="macro"/>
    <w:link w:val="MacroTextChar"/>
    <w:semiHidden/>
    <w:rsid w:val="002F544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F5449"/>
    <w:rPr>
      <w:rFonts w:ascii="Courier New" w:eastAsia="Times New Roman" w:hAnsi="Courier New" w:cs="Courier New"/>
      <w:sz w:val="20"/>
      <w:szCs w:val="20"/>
    </w:rPr>
  </w:style>
  <w:style w:type="paragraph" w:styleId="MessageHeader">
    <w:name w:val="Message Header"/>
    <w:basedOn w:val="Normal"/>
    <w:link w:val="MessageHeaderChar"/>
    <w:semiHidden/>
    <w:rsid w:val="002F54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2F5449"/>
    <w:rPr>
      <w:rFonts w:ascii="Arial" w:eastAsia="Times New Roman" w:hAnsi="Arial" w:cs="Arial"/>
      <w:sz w:val="24"/>
      <w:szCs w:val="24"/>
      <w:shd w:val="pct20" w:color="auto" w:fill="auto"/>
    </w:rPr>
  </w:style>
  <w:style w:type="paragraph" w:styleId="NormalWeb">
    <w:name w:val="Normal (Web)"/>
    <w:basedOn w:val="Normal"/>
    <w:uiPriority w:val="99"/>
    <w:semiHidden/>
    <w:rsid w:val="002F5449"/>
  </w:style>
  <w:style w:type="paragraph" w:styleId="NormalIndent">
    <w:name w:val="Normal Indent"/>
    <w:basedOn w:val="Normal"/>
    <w:semiHidden/>
    <w:rsid w:val="002F5449"/>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semiHidden/>
    <w:rsid w:val="002F5449"/>
  </w:style>
  <w:style w:type="character" w:customStyle="1" w:styleId="NoteHeadingChar">
    <w:name w:val="Note Heading Char"/>
    <w:basedOn w:val="DefaultParagraphFont"/>
    <w:link w:val="NoteHeading"/>
    <w:semiHidden/>
    <w:rsid w:val="002F5449"/>
    <w:rPr>
      <w:rFonts w:ascii="Times New Roman" w:eastAsia="Times New Roman" w:hAnsi="Times New Roman" w:cs="Times New Roman"/>
      <w:sz w:val="24"/>
      <w:szCs w:val="24"/>
    </w:rPr>
  </w:style>
  <w:style w:type="paragraph" w:styleId="PlainText">
    <w:name w:val="Plain Text"/>
    <w:basedOn w:val="Normal"/>
    <w:link w:val="PlainTextChar"/>
    <w:semiHidden/>
    <w:rsid w:val="002F5449"/>
    <w:rPr>
      <w:rFonts w:ascii="Courier New" w:hAnsi="Courier New" w:cs="Courier New"/>
      <w:sz w:val="20"/>
      <w:szCs w:val="20"/>
    </w:rPr>
  </w:style>
  <w:style w:type="character" w:customStyle="1" w:styleId="PlainTextChar">
    <w:name w:val="Plain Text Char"/>
    <w:link w:val="PlainText"/>
    <w:semiHidden/>
    <w:rsid w:val="002F5449"/>
    <w:rPr>
      <w:rFonts w:ascii="Courier New" w:eastAsia="Times New Roman" w:hAnsi="Courier New" w:cs="Courier New"/>
      <w:sz w:val="20"/>
      <w:szCs w:val="20"/>
    </w:rPr>
  </w:style>
  <w:style w:type="paragraph" w:styleId="Salutation">
    <w:name w:val="Salutation"/>
    <w:basedOn w:val="Normal"/>
    <w:next w:val="Normal"/>
    <w:link w:val="SalutationChar"/>
    <w:semiHidden/>
    <w:rsid w:val="002F5449"/>
  </w:style>
  <w:style w:type="character" w:customStyle="1" w:styleId="SalutationChar">
    <w:name w:val="Salutation Char"/>
    <w:link w:val="Salutation"/>
    <w:semiHidden/>
    <w:rsid w:val="002F5449"/>
    <w:rPr>
      <w:rFonts w:ascii="Times New Roman" w:eastAsia="Times New Roman" w:hAnsi="Times New Roman" w:cs="Times New Roman"/>
      <w:sz w:val="24"/>
      <w:szCs w:val="24"/>
    </w:rPr>
  </w:style>
  <w:style w:type="paragraph" w:styleId="Signature">
    <w:name w:val="Signature"/>
    <w:basedOn w:val="Normal"/>
    <w:link w:val="SignatureChar"/>
    <w:semiHidden/>
    <w:rsid w:val="002F5449"/>
    <w:pPr>
      <w:ind w:left="4320"/>
    </w:pPr>
  </w:style>
  <w:style w:type="character" w:customStyle="1" w:styleId="SignatureChar">
    <w:name w:val="Signature Char"/>
    <w:link w:val="Signature"/>
    <w:semiHidden/>
    <w:rsid w:val="002F5449"/>
    <w:rPr>
      <w:rFonts w:ascii="Times New Roman" w:eastAsia="Times New Roman" w:hAnsi="Times New Roman" w:cs="Times New Roman"/>
      <w:sz w:val="24"/>
      <w:szCs w:val="24"/>
    </w:rPr>
  </w:style>
  <w:style w:type="character" w:styleId="Strong">
    <w:name w:val="Strong"/>
    <w:qFormat/>
    <w:rsid w:val="002F5449"/>
    <w:rPr>
      <w:rFonts w:ascii="Times New Roman" w:hAnsi="Times New Roman"/>
      <w:b/>
      <w:bCs/>
      <w:sz w:val="24"/>
    </w:rPr>
  </w:style>
  <w:style w:type="paragraph" w:styleId="Subtitle">
    <w:name w:val="Subtitle"/>
    <w:basedOn w:val="Normal"/>
    <w:link w:val="SubtitleChar"/>
    <w:qFormat/>
    <w:rsid w:val="002F5449"/>
    <w:pPr>
      <w:spacing w:after="60" w:line="240" w:lineRule="auto"/>
      <w:jc w:val="center"/>
      <w:outlineLvl w:val="1"/>
    </w:pPr>
    <w:rPr>
      <w:rFonts w:ascii="Times New Roman" w:eastAsia="Times New Roman" w:hAnsi="Times New Roman" w:cs="Arial"/>
      <w:sz w:val="24"/>
      <w:szCs w:val="24"/>
    </w:rPr>
  </w:style>
  <w:style w:type="character" w:customStyle="1" w:styleId="SubtitleChar">
    <w:name w:val="Subtitle Char"/>
    <w:link w:val="Subtitle"/>
    <w:rsid w:val="002F5449"/>
    <w:rPr>
      <w:rFonts w:ascii="Times New Roman" w:eastAsia="Times New Roman" w:hAnsi="Times New Roman" w:cs="Arial"/>
      <w:sz w:val="24"/>
      <w:szCs w:val="24"/>
    </w:rPr>
  </w:style>
  <w:style w:type="paragraph" w:styleId="TableofAuthorities">
    <w:name w:val="table of authorities"/>
    <w:basedOn w:val="Normal"/>
    <w:next w:val="Normal"/>
    <w:semiHidden/>
    <w:rsid w:val="002F5449"/>
    <w:pPr>
      <w:ind w:left="240" w:hanging="240"/>
    </w:pPr>
  </w:style>
  <w:style w:type="paragraph" w:styleId="TableofFigures">
    <w:name w:val="table of figures"/>
    <w:basedOn w:val="Normal"/>
    <w:next w:val="Normal"/>
    <w:rsid w:val="002F5449"/>
    <w:pPr>
      <w:tabs>
        <w:tab w:val="left" w:pos="720"/>
        <w:tab w:val="right" w:leader="dot" w:pos="9000"/>
      </w:tabs>
      <w:spacing w:before="60" w:after="0" w:line="240" w:lineRule="auto"/>
      <w:ind w:left="720" w:right="360" w:hanging="360"/>
    </w:pPr>
    <w:rPr>
      <w:rFonts w:ascii="Times New Roman" w:eastAsia="MS Gothic" w:hAnsi="Times New Roman" w:cs="Times New Roman"/>
      <w:sz w:val="24"/>
      <w:szCs w:val="24"/>
    </w:rPr>
  </w:style>
  <w:style w:type="paragraph" w:styleId="TOAHeading">
    <w:name w:val="toa heading"/>
    <w:basedOn w:val="Normal"/>
    <w:next w:val="Normal"/>
    <w:semiHidden/>
    <w:rsid w:val="002F5449"/>
    <w:pPr>
      <w:spacing w:before="120"/>
    </w:pPr>
    <w:rPr>
      <w:rFonts w:ascii="Arial" w:hAnsi="Arial" w:cs="Arial"/>
      <w:b/>
      <w:bCs/>
    </w:rPr>
  </w:style>
  <w:style w:type="paragraph" w:customStyle="1" w:styleId="Heading1NoTOC">
    <w:name w:val="Heading 1 No TOC"/>
    <w:next w:val="Paragraph"/>
    <w:rsid w:val="002F5449"/>
    <w:pPr>
      <w:keepNext/>
      <w:keepLines/>
      <w:spacing w:before="60" w:after="240" w:line="240" w:lineRule="auto"/>
    </w:pPr>
    <w:rPr>
      <w:rFonts w:ascii="Times New Roman" w:eastAsia="Times New Roman" w:hAnsi="Times New Roman" w:cs="Arial"/>
      <w:b/>
      <w:bCs/>
      <w:caps/>
      <w:kern w:val="32"/>
      <w:sz w:val="24"/>
      <w:szCs w:val="48"/>
    </w:rPr>
  </w:style>
  <w:style w:type="character" w:customStyle="1" w:styleId="Citation">
    <w:name w:val="Citation"/>
    <w:rsid w:val="002F5449"/>
    <w:rPr>
      <w:rFonts w:ascii="Times New Roman" w:hAnsi="Times New Roman"/>
      <w:sz w:val="24"/>
      <w:vertAlign w:val="superscript"/>
    </w:rPr>
  </w:style>
  <w:style w:type="table" w:styleId="TableGrid">
    <w:name w:val="Table Grid"/>
    <w:basedOn w:val="TableNormal"/>
    <w:uiPriority w:val="59"/>
    <w:rsid w:val="002F5449"/>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semiHidden/>
    <w:rsid w:val="002F5449"/>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449"/>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44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449"/>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449"/>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449"/>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449"/>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449"/>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449"/>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449"/>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449"/>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449"/>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449"/>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44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44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449"/>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44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44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449"/>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44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449"/>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449"/>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44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449"/>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449"/>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449"/>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44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449"/>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44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449"/>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449"/>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449"/>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4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449"/>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rsid w:val="002F5449"/>
    <w:pPr>
      <w:numPr>
        <w:numId w:val="6"/>
      </w:numPr>
    </w:pPr>
  </w:style>
  <w:style w:type="paragraph" w:styleId="BlockText">
    <w:name w:val="Block Text"/>
    <w:basedOn w:val="Normal"/>
    <w:rsid w:val="002F5449"/>
    <w:pPr>
      <w:spacing w:after="120" w:line="240" w:lineRule="auto"/>
      <w:ind w:left="1440" w:right="1440"/>
    </w:pPr>
    <w:rPr>
      <w:rFonts w:ascii="Times New Roman" w:eastAsia="Times New Roman" w:hAnsi="Times New Roman" w:cs="Times New Roman"/>
      <w:sz w:val="24"/>
      <w:szCs w:val="24"/>
    </w:rPr>
  </w:style>
  <w:style w:type="numbering" w:styleId="1ai">
    <w:name w:val="Outline List 1"/>
    <w:basedOn w:val="NoList"/>
    <w:rsid w:val="002F5449"/>
    <w:pPr>
      <w:numPr>
        <w:numId w:val="7"/>
      </w:numPr>
    </w:pPr>
  </w:style>
  <w:style w:type="numbering" w:styleId="ArticleSection">
    <w:name w:val="Outline List 3"/>
    <w:basedOn w:val="NoList"/>
    <w:rsid w:val="002F5449"/>
    <w:pPr>
      <w:numPr>
        <w:numId w:val="8"/>
      </w:numPr>
    </w:pPr>
  </w:style>
  <w:style w:type="character" w:customStyle="1" w:styleId="ParagraphChar">
    <w:name w:val="Paragraph Char"/>
    <w:link w:val="Paragraph"/>
    <w:rsid w:val="002F5449"/>
    <w:rPr>
      <w:rFonts w:ascii="Times New Roman" w:eastAsia="MS Gothic" w:hAnsi="Times New Roman" w:cs="Times New Roman"/>
      <w:sz w:val="24"/>
      <w:szCs w:val="24"/>
    </w:rPr>
  </w:style>
  <w:style w:type="character" w:styleId="PlaceholderText">
    <w:name w:val="Placeholder Text"/>
    <w:uiPriority w:val="99"/>
    <w:semiHidden/>
    <w:rsid w:val="002F5449"/>
    <w:rPr>
      <w:color w:val="808080"/>
    </w:rPr>
  </w:style>
  <w:style w:type="paragraph" w:styleId="TOCHeading">
    <w:name w:val="TOC Heading"/>
    <w:basedOn w:val="TOCTitle"/>
    <w:next w:val="Normal"/>
    <w:uiPriority w:val="39"/>
    <w:semiHidden/>
    <w:unhideWhenUsed/>
    <w:qFormat/>
    <w:rsid w:val="002F5449"/>
    <w:pPr>
      <w:spacing w:before="480" w:after="0" w:line="276" w:lineRule="auto"/>
    </w:pPr>
    <w:rPr>
      <w:rFonts w:ascii="Cambria" w:eastAsia="Malgun Gothic" w:hAnsi="Cambria" w:cs="Times New Roman"/>
      <w:caps/>
      <w:color w:val="000000"/>
      <w:kern w:val="0"/>
    </w:rPr>
  </w:style>
  <w:style w:type="paragraph" w:customStyle="1" w:styleId="Attachment">
    <w:name w:val="Attachment"/>
    <w:basedOn w:val="Appendix"/>
    <w:next w:val="Paragraph"/>
    <w:qFormat/>
    <w:rsid w:val="002F5449"/>
    <w:pPr>
      <w:numPr>
        <w:numId w:val="9"/>
      </w:numPr>
      <w:tabs>
        <w:tab w:val="left" w:pos="2160"/>
      </w:tabs>
      <w:ind w:left="2160" w:hanging="2160"/>
    </w:pPr>
    <w:rPr>
      <w:rFonts w:cs="Times New Roman"/>
    </w:rPr>
  </w:style>
  <w:style w:type="paragraph" w:styleId="Revision">
    <w:name w:val="Revision"/>
    <w:hidden/>
    <w:uiPriority w:val="99"/>
    <w:semiHidden/>
    <w:rsid w:val="00E47388"/>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B0F0C"/>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C74BF"/>
    <w:pPr>
      <w:spacing w:after="0" w:line="240" w:lineRule="auto"/>
      <w:ind w:left="720"/>
      <w:contextualSpacing/>
    </w:pPr>
    <w:rPr>
      <w:rFonts w:ascii="Times New Roman" w:eastAsia="Times New Roman" w:hAnsi="Times New Roman" w:cs="Times New Roman"/>
      <w:sz w:val="24"/>
      <w:szCs w:val="24"/>
    </w:rPr>
  </w:style>
  <w:style w:type="character" w:customStyle="1" w:styleId="js-separator">
    <w:name w:val="js-separator"/>
    <w:basedOn w:val="DefaultParagraphFont"/>
    <w:rsid w:val="00DA7591"/>
  </w:style>
  <w:style w:type="paragraph" w:customStyle="1" w:styleId="text14">
    <w:name w:val="text14"/>
    <w:basedOn w:val="Normal"/>
    <w:rsid w:val="00DA7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DA7591"/>
  </w:style>
  <w:style w:type="character" w:customStyle="1" w:styleId="highwire-citation-authors">
    <w:name w:val="highwire-citation-authors"/>
    <w:basedOn w:val="DefaultParagraphFont"/>
    <w:rsid w:val="00DA7591"/>
  </w:style>
  <w:style w:type="character" w:customStyle="1" w:styleId="highwire-citation-author">
    <w:name w:val="highwire-citation-author"/>
    <w:basedOn w:val="DefaultParagraphFont"/>
    <w:rsid w:val="00DA7591"/>
  </w:style>
  <w:style w:type="character" w:customStyle="1" w:styleId="highwire-cite-metadata-journal">
    <w:name w:val="highwire-cite-metadata-journal"/>
    <w:basedOn w:val="DefaultParagraphFont"/>
    <w:rsid w:val="00DA7591"/>
  </w:style>
  <w:style w:type="character" w:customStyle="1" w:styleId="highwire-cite-metadata-date">
    <w:name w:val="highwire-cite-metadata-date"/>
    <w:basedOn w:val="DefaultParagraphFont"/>
    <w:rsid w:val="00DA7591"/>
  </w:style>
  <w:style w:type="character" w:customStyle="1" w:styleId="highwire-cite-metadata-volume">
    <w:name w:val="highwire-cite-metadata-volume"/>
    <w:basedOn w:val="DefaultParagraphFont"/>
    <w:rsid w:val="00DA7591"/>
  </w:style>
  <w:style w:type="character" w:customStyle="1" w:styleId="highwire-cite-metadata-issue">
    <w:name w:val="highwire-cite-metadata-issue"/>
    <w:basedOn w:val="DefaultParagraphFont"/>
    <w:rsid w:val="00DA7591"/>
  </w:style>
  <w:style w:type="character" w:customStyle="1" w:styleId="highwire-cite-metadata-pages">
    <w:name w:val="highwire-cite-metadata-pages"/>
    <w:basedOn w:val="DefaultParagraphFont"/>
    <w:rsid w:val="00DA7591"/>
  </w:style>
  <w:style w:type="table" w:customStyle="1" w:styleId="TableGrid10">
    <w:name w:val="Table Grid1"/>
    <w:basedOn w:val="TableNormal"/>
    <w:next w:val="TableGrid"/>
    <w:uiPriority w:val="59"/>
    <w:rsid w:val="007B43F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3D2"/>
    <w:rPr>
      <w:color w:val="808080"/>
      <w:shd w:val="clear" w:color="auto" w:fill="E6E6E6"/>
    </w:rPr>
  </w:style>
  <w:style w:type="paragraph" w:customStyle="1" w:styleId="Title1">
    <w:name w:val="Title1"/>
    <w:basedOn w:val="Normal"/>
    <w:rsid w:val="00B36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36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B36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B36AC7"/>
  </w:style>
  <w:style w:type="paragraph" w:customStyle="1" w:styleId="author">
    <w:name w:val="author"/>
    <w:basedOn w:val="Normal"/>
    <w:rsid w:val="00EB2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EB20F1"/>
  </w:style>
  <w:style w:type="character" w:customStyle="1" w:styleId="equalcontributionsymbol">
    <w:name w:val="equalcontributionsymbol"/>
    <w:basedOn w:val="DefaultParagraphFont"/>
    <w:rsid w:val="00EB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655">
      <w:bodyDiv w:val="1"/>
      <w:marLeft w:val="0"/>
      <w:marRight w:val="0"/>
      <w:marTop w:val="0"/>
      <w:marBottom w:val="0"/>
      <w:divBdr>
        <w:top w:val="none" w:sz="0" w:space="0" w:color="auto"/>
        <w:left w:val="none" w:sz="0" w:space="0" w:color="auto"/>
        <w:bottom w:val="none" w:sz="0" w:space="0" w:color="auto"/>
        <w:right w:val="none" w:sz="0" w:space="0" w:color="auto"/>
      </w:divBdr>
    </w:div>
    <w:div w:id="160701363">
      <w:bodyDiv w:val="1"/>
      <w:marLeft w:val="0"/>
      <w:marRight w:val="0"/>
      <w:marTop w:val="0"/>
      <w:marBottom w:val="0"/>
      <w:divBdr>
        <w:top w:val="none" w:sz="0" w:space="0" w:color="auto"/>
        <w:left w:val="none" w:sz="0" w:space="0" w:color="auto"/>
        <w:bottom w:val="none" w:sz="0" w:space="0" w:color="auto"/>
        <w:right w:val="none" w:sz="0" w:space="0" w:color="auto"/>
      </w:divBdr>
      <w:divsChild>
        <w:div w:id="910195537">
          <w:marLeft w:val="331"/>
          <w:marRight w:val="0"/>
          <w:marTop w:val="280"/>
          <w:marBottom w:val="0"/>
          <w:divBdr>
            <w:top w:val="none" w:sz="0" w:space="0" w:color="auto"/>
            <w:left w:val="none" w:sz="0" w:space="0" w:color="auto"/>
            <w:bottom w:val="none" w:sz="0" w:space="0" w:color="auto"/>
            <w:right w:val="none" w:sz="0" w:space="0" w:color="auto"/>
          </w:divBdr>
        </w:div>
        <w:div w:id="792139352">
          <w:marLeft w:val="706"/>
          <w:marRight w:val="0"/>
          <w:marTop w:val="80"/>
          <w:marBottom w:val="0"/>
          <w:divBdr>
            <w:top w:val="none" w:sz="0" w:space="0" w:color="auto"/>
            <w:left w:val="none" w:sz="0" w:space="0" w:color="auto"/>
            <w:bottom w:val="none" w:sz="0" w:space="0" w:color="auto"/>
            <w:right w:val="none" w:sz="0" w:space="0" w:color="auto"/>
          </w:divBdr>
        </w:div>
        <w:div w:id="446241721">
          <w:marLeft w:val="706"/>
          <w:marRight w:val="0"/>
          <w:marTop w:val="80"/>
          <w:marBottom w:val="0"/>
          <w:divBdr>
            <w:top w:val="none" w:sz="0" w:space="0" w:color="auto"/>
            <w:left w:val="none" w:sz="0" w:space="0" w:color="auto"/>
            <w:bottom w:val="none" w:sz="0" w:space="0" w:color="auto"/>
            <w:right w:val="none" w:sz="0" w:space="0" w:color="auto"/>
          </w:divBdr>
        </w:div>
      </w:divsChild>
    </w:div>
    <w:div w:id="177740479">
      <w:bodyDiv w:val="1"/>
      <w:marLeft w:val="0"/>
      <w:marRight w:val="0"/>
      <w:marTop w:val="0"/>
      <w:marBottom w:val="0"/>
      <w:divBdr>
        <w:top w:val="none" w:sz="0" w:space="0" w:color="auto"/>
        <w:left w:val="none" w:sz="0" w:space="0" w:color="auto"/>
        <w:bottom w:val="none" w:sz="0" w:space="0" w:color="auto"/>
        <w:right w:val="none" w:sz="0" w:space="0" w:color="auto"/>
      </w:divBdr>
    </w:div>
    <w:div w:id="518931278">
      <w:bodyDiv w:val="1"/>
      <w:marLeft w:val="0"/>
      <w:marRight w:val="0"/>
      <w:marTop w:val="0"/>
      <w:marBottom w:val="0"/>
      <w:divBdr>
        <w:top w:val="none" w:sz="0" w:space="0" w:color="auto"/>
        <w:left w:val="none" w:sz="0" w:space="0" w:color="auto"/>
        <w:bottom w:val="none" w:sz="0" w:space="0" w:color="auto"/>
        <w:right w:val="none" w:sz="0" w:space="0" w:color="auto"/>
      </w:divBdr>
      <w:divsChild>
        <w:div w:id="1373195006">
          <w:marLeft w:val="706"/>
          <w:marRight w:val="0"/>
          <w:marTop w:val="80"/>
          <w:marBottom w:val="0"/>
          <w:divBdr>
            <w:top w:val="none" w:sz="0" w:space="0" w:color="auto"/>
            <w:left w:val="none" w:sz="0" w:space="0" w:color="auto"/>
            <w:bottom w:val="none" w:sz="0" w:space="0" w:color="auto"/>
            <w:right w:val="none" w:sz="0" w:space="0" w:color="auto"/>
          </w:divBdr>
        </w:div>
      </w:divsChild>
    </w:div>
    <w:div w:id="546794025">
      <w:bodyDiv w:val="1"/>
      <w:marLeft w:val="0"/>
      <w:marRight w:val="0"/>
      <w:marTop w:val="0"/>
      <w:marBottom w:val="0"/>
      <w:divBdr>
        <w:top w:val="none" w:sz="0" w:space="0" w:color="auto"/>
        <w:left w:val="none" w:sz="0" w:space="0" w:color="auto"/>
        <w:bottom w:val="none" w:sz="0" w:space="0" w:color="auto"/>
        <w:right w:val="none" w:sz="0" w:space="0" w:color="auto"/>
      </w:divBdr>
    </w:div>
    <w:div w:id="710963589">
      <w:bodyDiv w:val="1"/>
      <w:marLeft w:val="0"/>
      <w:marRight w:val="0"/>
      <w:marTop w:val="0"/>
      <w:marBottom w:val="0"/>
      <w:divBdr>
        <w:top w:val="none" w:sz="0" w:space="0" w:color="auto"/>
        <w:left w:val="none" w:sz="0" w:space="0" w:color="auto"/>
        <w:bottom w:val="none" w:sz="0" w:space="0" w:color="auto"/>
        <w:right w:val="none" w:sz="0" w:space="0" w:color="auto"/>
      </w:divBdr>
      <w:divsChild>
        <w:div w:id="1990749226">
          <w:marLeft w:val="0"/>
          <w:marRight w:val="0"/>
          <w:marTop w:val="0"/>
          <w:marBottom w:val="0"/>
          <w:divBdr>
            <w:top w:val="none" w:sz="0" w:space="0" w:color="auto"/>
            <w:left w:val="none" w:sz="0" w:space="0" w:color="auto"/>
            <w:bottom w:val="none" w:sz="0" w:space="0" w:color="auto"/>
            <w:right w:val="none" w:sz="0" w:space="0" w:color="auto"/>
          </w:divBdr>
        </w:div>
      </w:divsChild>
    </w:div>
    <w:div w:id="734401579">
      <w:bodyDiv w:val="1"/>
      <w:marLeft w:val="0"/>
      <w:marRight w:val="0"/>
      <w:marTop w:val="0"/>
      <w:marBottom w:val="0"/>
      <w:divBdr>
        <w:top w:val="none" w:sz="0" w:space="0" w:color="auto"/>
        <w:left w:val="none" w:sz="0" w:space="0" w:color="auto"/>
        <w:bottom w:val="none" w:sz="0" w:space="0" w:color="auto"/>
        <w:right w:val="none" w:sz="0" w:space="0" w:color="auto"/>
      </w:divBdr>
      <w:divsChild>
        <w:div w:id="182986635">
          <w:marLeft w:val="0"/>
          <w:marRight w:val="0"/>
          <w:marTop w:val="0"/>
          <w:marBottom w:val="0"/>
          <w:divBdr>
            <w:top w:val="none" w:sz="0" w:space="0" w:color="auto"/>
            <w:left w:val="none" w:sz="0" w:space="0" w:color="auto"/>
            <w:bottom w:val="none" w:sz="0" w:space="0" w:color="auto"/>
            <w:right w:val="none" w:sz="0" w:space="0" w:color="auto"/>
          </w:divBdr>
        </w:div>
        <w:div w:id="386415257">
          <w:marLeft w:val="0"/>
          <w:marRight w:val="0"/>
          <w:marTop w:val="75"/>
          <w:marBottom w:val="75"/>
          <w:divBdr>
            <w:top w:val="none" w:sz="0" w:space="0" w:color="auto"/>
            <w:left w:val="none" w:sz="0" w:space="0" w:color="auto"/>
            <w:bottom w:val="none" w:sz="0" w:space="0" w:color="auto"/>
            <w:right w:val="none" w:sz="0" w:space="0" w:color="auto"/>
          </w:divBdr>
        </w:div>
        <w:div w:id="263420270">
          <w:marLeft w:val="0"/>
          <w:marRight w:val="0"/>
          <w:marTop w:val="0"/>
          <w:marBottom w:val="0"/>
          <w:divBdr>
            <w:top w:val="none" w:sz="0" w:space="0" w:color="auto"/>
            <w:left w:val="none" w:sz="0" w:space="0" w:color="auto"/>
            <w:bottom w:val="none" w:sz="0" w:space="0" w:color="auto"/>
            <w:right w:val="none" w:sz="0" w:space="0" w:color="auto"/>
          </w:divBdr>
        </w:div>
      </w:divsChild>
    </w:div>
    <w:div w:id="757677580">
      <w:bodyDiv w:val="1"/>
      <w:marLeft w:val="0"/>
      <w:marRight w:val="0"/>
      <w:marTop w:val="0"/>
      <w:marBottom w:val="0"/>
      <w:divBdr>
        <w:top w:val="none" w:sz="0" w:space="0" w:color="auto"/>
        <w:left w:val="none" w:sz="0" w:space="0" w:color="auto"/>
        <w:bottom w:val="none" w:sz="0" w:space="0" w:color="auto"/>
        <w:right w:val="none" w:sz="0" w:space="0" w:color="auto"/>
      </w:divBdr>
    </w:div>
    <w:div w:id="807866605">
      <w:bodyDiv w:val="1"/>
      <w:marLeft w:val="0"/>
      <w:marRight w:val="0"/>
      <w:marTop w:val="0"/>
      <w:marBottom w:val="0"/>
      <w:divBdr>
        <w:top w:val="none" w:sz="0" w:space="0" w:color="auto"/>
        <w:left w:val="none" w:sz="0" w:space="0" w:color="auto"/>
        <w:bottom w:val="none" w:sz="0" w:space="0" w:color="auto"/>
        <w:right w:val="none" w:sz="0" w:space="0" w:color="auto"/>
      </w:divBdr>
    </w:div>
    <w:div w:id="847401394">
      <w:bodyDiv w:val="1"/>
      <w:marLeft w:val="0"/>
      <w:marRight w:val="0"/>
      <w:marTop w:val="0"/>
      <w:marBottom w:val="0"/>
      <w:divBdr>
        <w:top w:val="none" w:sz="0" w:space="0" w:color="auto"/>
        <w:left w:val="none" w:sz="0" w:space="0" w:color="auto"/>
        <w:bottom w:val="none" w:sz="0" w:space="0" w:color="auto"/>
        <w:right w:val="none" w:sz="0" w:space="0" w:color="auto"/>
      </w:divBdr>
    </w:div>
    <w:div w:id="871960086">
      <w:bodyDiv w:val="1"/>
      <w:marLeft w:val="0"/>
      <w:marRight w:val="0"/>
      <w:marTop w:val="0"/>
      <w:marBottom w:val="0"/>
      <w:divBdr>
        <w:top w:val="none" w:sz="0" w:space="0" w:color="auto"/>
        <w:left w:val="none" w:sz="0" w:space="0" w:color="auto"/>
        <w:bottom w:val="none" w:sz="0" w:space="0" w:color="auto"/>
        <w:right w:val="none" w:sz="0" w:space="0" w:color="auto"/>
      </w:divBdr>
    </w:div>
    <w:div w:id="898521023">
      <w:bodyDiv w:val="1"/>
      <w:marLeft w:val="0"/>
      <w:marRight w:val="0"/>
      <w:marTop w:val="0"/>
      <w:marBottom w:val="0"/>
      <w:divBdr>
        <w:top w:val="none" w:sz="0" w:space="0" w:color="auto"/>
        <w:left w:val="none" w:sz="0" w:space="0" w:color="auto"/>
        <w:bottom w:val="none" w:sz="0" w:space="0" w:color="auto"/>
        <w:right w:val="none" w:sz="0" w:space="0" w:color="auto"/>
      </w:divBdr>
      <w:divsChild>
        <w:div w:id="1637175628">
          <w:marLeft w:val="0"/>
          <w:marRight w:val="0"/>
          <w:marTop w:val="75"/>
          <w:marBottom w:val="150"/>
          <w:divBdr>
            <w:top w:val="none" w:sz="0" w:space="0" w:color="auto"/>
            <w:left w:val="none" w:sz="0" w:space="0" w:color="auto"/>
            <w:bottom w:val="none" w:sz="0" w:space="0" w:color="auto"/>
            <w:right w:val="none" w:sz="0" w:space="0" w:color="auto"/>
          </w:divBdr>
        </w:div>
        <w:div w:id="1644386468">
          <w:marLeft w:val="0"/>
          <w:marRight w:val="0"/>
          <w:marTop w:val="0"/>
          <w:marBottom w:val="0"/>
          <w:divBdr>
            <w:top w:val="none" w:sz="0" w:space="0" w:color="auto"/>
            <w:left w:val="none" w:sz="0" w:space="0" w:color="auto"/>
            <w:bottom w:val="none" w:sz="0" w:space="0" w:color="auto"/>
            <w:right w:val="none" w:sz="0" w:space="0" w:color="auto"/>
          </w:divBdr>
        </w:div>
      </w:divsChild>
    </w:div>
    <w:div w:id="1357541583">
      <w:bodyDiv w:val="1"/>
      <w:marLeft w:val="0"/>
      <w:marRight w:val="0"/>
      <w:marTop w:val="0"/>
      <w:marBottom w:val="0"/>
      <w:divBdr>
        <w:top w:val="none" w:sz="0" w:space="0" w:color="auto"/>
        <w:left w:val="none" w:sz="0" w:space="0" w:color="auto"/>
        <w:bottom w:val="none" w:sz="0" w:space="0" w:color="auto"/>
        <w:right w:val="none" w:sz="0" w:space="0" w:color="auto"/>
      </w:divBdr>
    </w:div>
    <w:div w:id="1372653649">
      <w:bodyDiv w:val="1"/>
      <w:marLeft w:val="0"/>
      <w:marRight w:val="0"/>
      <w:marTop w:val="0"/>
      <w:marBottom w:val="0"/>
      <w:divBdr>
        <w:top w:val="none" w:sz="0" w:space="0" w:color="auto"/>
        <w:left w:val="none" w:sz="0" w:space="0" w:color="auto"/>
        <w:bottom w:val="none" w:sz="0" w:space="0" w:color="auto"/>
        <w:right w:val="none" w:sz="0" w:space="0" w:color="auto"/>
      </w:divBdr>
    </w:div>
    <w:div w:id="1840536645">
      <w:bodyDiv w:val="1"/>
      <w:marLeft w:val="0"/>
      <w:marRight w:val="0"/>
      <w:marTop w:val="0"/>
      <w:marBottom w:val="0"/>
      <w:divBdr>
        <w:top w:val="none" w:sz="0" w:space="0" w:color="auto"/>
        <w:left w:val="none" w:sz="0" w:space="0" w:color="auto"/>
        <w:bottom w:val="none" w:sz="0" w:space="0" w:color="auto"/>
        <w:right w:val="none" w:sz="0" w:space="0" w:color="auto"/>
      </w:divBdr>
    </w:div>
    <w:div w:id="1945528250">
      <w:bodyDiv w:val="1"/>
      <w:marLeft w:val="0"/>
      <w:marRight w:val="0"/>
      <w:marTop w:val="0"/>
      <w:marBottom w:val="0"/>
      <w:divBdr>
        <w:top w:val="none" w:sz="0" w:space="0" w:color="auto"/>
        <w:left w:val="none" w:sz="0" w:space="0" w:color="auto"/>
        <w:bottom w:val="none" w:sz="0" w:space="0" w:color="auto"/>
        <w:right w:val="none" w:sz="0" w:space="0" w:color="auto"/>
      </w:divBdr>
    </w:div>
    <w:div w:id="2082823051">
      <w:bodyDiv w:val="1"/>
      <w:marLeft w:val="0"/>
      <w:marRight w:val="0"/>
      <w:marTop w:val="0"/>
      <w:marBottom w:val="0"/>
      <w:divBdr>
        <w:top w:val="none" w:sz="0" w:space="0" w:color="auto"/>
        <w:left w:val="none" w:sz="0" w:space="0" w:color="auto"/>
        <w:bottom w:val="none" w:sz="0" w:space="0" w:color="auto"/>
        <w:right w:val="none" w:sz="0" w:space="0" w:color="auto"/>
      </w:divBdr>
    </w:div>
    <w:div w:id="2104376363">
      <w:bodyDiv w:val="1"/>
      <w:marLeft w:val="0"/>
      <w:marRight w:val="0"/>
      <w:marTop w:val="0"/>
      <w:marBottom w:val="0"/>
      <w:divBdr>
        <w:top w:val="none" w:sz="0" w:space="0" w:color="auto"/>
        <w:left w:val="none" w:sz="0" w:space="0" w:color="auto"/>
        <w:bottom w:val="none" w:sz="0" w:space="0" w:color="auto"/>
        <w:right w:val="none" w:sz="0" w:space="0" w:color="auto"/>
      </w:divBdr>
    </w:div>
    <w:div w:id="21468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wikipedia.org/wiki/B_cel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wikipedia.org/wiki/Epstein%E2%80%93Barr_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rck%20Template\ISIWri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280CD31225B468786D306F98A6FE7" ma:contentTypeVersion="13" ma:contentTypeDescription="Create a new document." ma:contentTypeScope="" ma:versionID="02be5e1c9321d6301ed2e7c300a413d4">
  <xsd:schema xmlns:xsd="http://www.w3.org/2001/XMLSchema" xmlns:xs="http://www.w3.org/2001/XMLSchema" xmlns:p="http://schemas.microsoft.com/office/2006/metadata/properties" xmlns:ns3="c940dd63-108c-473c-b554-0847a3dc33c7" xmlns:ns4="adb3c2ce-e776-475c-bdb2-ab20d6a095b2" targetNamespace="http://schemas.microsoft.com/office/2006/metadata/properties" ma:root="true" ma:fieldsID="9f8e890e20af841e7db37430c21f2730" ns3:_="" ns4:_="">
    <xsd:import namespace="c940dd63-108c-473c-b554-0847a3dc33c7"/>
    <xsd:import namespace="adb3c2ce-e776-475c-bdb2-ab20d6a095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dd63-108c-473c-b554-0847a3dc3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3c2ce-e776-475c-bdb2-ab20d6a09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6618-C66A-4663-BC2B-BDEB0317B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dd63-108c-473c-b554-0847a3dc33c7"/>
    <ds:schemaRef ds:uri="adb3c2ce-e776-475c-bdb2-ab20d6a09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371EC-0A80-40FE-8ED8-F16DB5F96D14}">
  <ds:schemaRefs>
    <ds:schemaRef ds:uri="http://purl.org/dc/terms/"/>
    <ds:schemaRef ds:uri="http://purl.org/dc/dcmitype/"/>
    <ds:schemaRef ds:uri="c940dd63-108c-473c-b554-0847a3dc33c7"/>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adb3c2ce-e776-475c-bdb2-ab20d6a095b2"/>
    <ds:schemaRef ds:uri="http://www.w3.org/XML/1998/namespace"/>
    <ds:schemaRef ds:uri="http://purl.org/dc/elements/1.1/"/>
  </ds:schemaRefs>
</ds:datastoreItem>
</file>

<file path=customXml/itemProps3.xml><?xml version="1.0" encoding="utf-8"?>
<ds:datastoreItem xmlns:ds="http://schemas.openxmlformats.org/officeDocument/2006/customXml" ds:itemID="{B4D394F5-F667-477D-80CD-9094A99DA9EA}">
  <ds:schemaRefs>
    <ds:schemaRef ds:uri="http://schemas.microsoft.com/sharepoint/v3/contenttype/forms"/>
  </ds:schemaRefs>
</ds:datastoreItem>
</file>

<file path=customXml/itemProps4.xml><?xml version="1.0" encoding="utf-8"?>
<ds:datastoreItem xmlns:ds="http://schemas.openxmlformats.org/officeDocument/2006/customXml" ds:itemID="{C86385F4-C078-47F8-A566-63F97906253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8DC2780-649C-487C-B69B-B0235B69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ISIWriter.dotm</Template>
  <TotalTime>0</TotalTime>
  <Pages>13</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Hutchins</dc:creator>
  <cp:lastModifiedBy>Erespe, Sheila</cp:lastModifiedBy>
  <cp:revision>2</cp:revision>
  <cp:lastPrinted>2020-01-16T22:53:00Z</cp:lastPrinted>
  <dcterms:created xsi:type="dcterms:W3CDTF">2020-03-02T22:02:00Z</dcterms:created>
  <dcterms:modified xsi:type="dcterms:W3CDTF">2020-03-02T22:02:00Z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ule">
    <vt:lpwstr>30cfc295-e0a8-4217-806e-9d470ca2db54</vt:lpwstr>
  </property>
  <property fmtid="{D5CDD505-2E9C-101B-9397-08002B2CF9AE}" pid="3" name="ContentTypeId">
    <vt:lpwstr>0x010100852280CD31225B468786D306F98A6FE7</vt:lpwstr>
  </property>
  <property fmtid="{D5CDD505-2E9C-101B-9397-08002B2CF9AE}" pid="4" name="Topic">
    <vt:lpwstr>12;#Research and Development|dcbf21d7-8e6a-4c05-a2f2-52909a35f793</vt:lpwstr>
  </property>
  <property fmtid="{D5CDD505-2E9C-101B-9397-08002B2CF9AE}" pid="5" name="Document Type">
    <vt:lpwstr>5;#Project Document|bbc529b9-af70-4b99-aa45-24d30d1c986b</vt:lpwstr>
  </property>
  <property fmtid="{D5CDD505-2E9C-101B-9397-08002B2CF9AE}" pid="6" name="Asset Classification">
    <vt:lpwstr>Administrative</vt:lpwstr>
  </property>
  <property fmtid="{D5CDD505-2E9C-101B-9397-08002B2CF9AE}" pid="7" name="Sensitivity Classification">
    <vt:lpwstr>Proprietary</vt:lpwstr>
  </property>
  <property fmtid="{D5CDD505-2E9C-101B-9397-08002B2CF9AE}" pid="8" name="docIndexRef">
    <vt:lpwstr>fc58250e-d115-4dbb-9ffa-21a728e2c865</vt:lpwstr>
  </property>
  <property fmtid="{D5CDD505-2E9C-101B-9397-08002B2CF9AE}" pid="9" name="bjSaver">
    <vt:lpwstr>TyCuMEV1PTnIl+Fwp7uMjwAIWibj6wkX</vt:lpwstr>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bjDocumentLabelXML-0">
    <vt:lpwstr>ames.com/2008/01/sie/internal/label"&gt;&lt;element uid="9920fcc9-9f43-4d43-9e3e-b98a219cfd55" value="" /&gt;&lt;/sisl&gt;</vt:lpwstr>
  </property>
  <property fmtid="{D5CDD505-2E9C-101B-9397-08002B2CF9AE}" pid="12" name="bjDocumentSecurityLabel">
    <vt:lpwstr>Not Classified</vt:lpwstr>
  </property>
  <property fmtid="{D5CDD505-2E9C-101B-9397-08002B2CF9AE}" pid="13" name="_AdHocReviewCycleID">
    <vt:i4>-1249678027</vt:i4>
  </property>
  <property fmtid="{D5CDD505-2E9C-101B-9397-08002B2CF9AE}" pid="14" name="_NewReviewCycle">
    <vt:lpwstr/>
  </property>
  <property fmtid="{D5CDD505-2E9C-101B-9397-08002B2CF9AE}" pid="15" name="_EmailSubject">
    <vt:lpwstr>ACTION Needed - Pembro nonclinical manuscript: MS# MCT-19-0774R2 - Action Required re Initial Quality Check</vt:lpwstr>
  </property>
  <property fmtid="{D5CDD505-2E9C-101B-9397-08002B2CF9AE}" pid="16" name="_AuthorEmail">
    <vt:lpwstr>beth.hutchins@merck.com</vt:lpwstr>
  </property>
  <property fmtid="{D5CDD505-2E9C-101B-9397-08002B2CF9AE}" pid="17" name="_AuthorEmailDisplayName">
    <vt:lpwstr>Hutchins, Beth</vt:lpwstr>
  </property>
  <property fmtid="{D5CDD505-2E9C-101B-9397-08002B2CF9AE}" pid="18" name="_PreviousAdHocReviewCycleID">
    <vt:i4>1603856101</vt:i4>
  </property>
  <property fmtid="{D5CDD505-2E9C-101B-9397-08002B2CF9AE}" pid="19" name="_ReviewingToolsShownOnce">
    <vt:lpwstr/>
  </property>
</Properties>
</file>