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F3" w:rsidRPr="00344ECD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4ECD">
        <w:rPr>
          <w:rFonts w:ascii="Times New Roman" w:hAnsi="Times New Roman" w:cs="Times New Roman"/>
          <w:b/>
          <w:sz w:val="24"/>
          <w:szCs w:val="24"/>
        </w:rPr>
        <w:t>Supplementary Materials and Methods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Recombinant p</w:t>
      </w:r>
      <w:r w:rsidRPr="005536D2">
        <w:rPr>
          <w:rFonts w:ascii="Times New Roman" w:hAnsi="Times New Roman" w:cs="Times New Roman"/>
          <w:b/>
          <w:sz w:val="24"/>
          <w:szCs w:val="24"/>
        </w:rPr>
        <w:t>rotein</w:t>
      </w:r>
      <w:r>
        <w:rPr>
          <w:rFonts w:ascii="Times New Roman" w:hAnsi="Times New Roman" w:cs="Times New Roman"/>
          <w:b/>
          <w:sz w:val="24"/>
          <w:szCs w:val="24"/>
        </w:rPr>
        <w:t xml:space="preserve"> expression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57D90">
        <w:rPr>
          <w:rFonts w:ascii="Times New Roman" w:hAnsi="Times New Roman" w:cs="Times New Roman"/>
          <w:sz w:val="24"/>
          <w:szCs w:val="24"/>
        </w:rPr>
        <w:t xml:space="preserve">uman CD137 extracellular domain (ECD) with C121S mutation was cloned into the GS vector under Flt-1 leader sequence with C-terminus FLAG tag or </w:t>
      </w:r>
      <w:proofErr w:type="spellStart"/>
      <w:r w:rsidRPr="00357D90">
        <w:rPr>
          <w:rFonts w:ascii="Times New Roman" w:hAnsi="Times New Roman" w:cs="Times New Roman"/>
          <w:sz w:val="24"/>
          <w:szCs w:val="24"/>
        </w:rPr>
        <w:t>hexahistidine</w:t>
      </w:r>
      <w:proofErr w:type="spellEnd"/>
      <w:r w:rsidRPr="00357D90">
        <w:rPr>
          <w:rFonts w:ascii="Times New Roman" w:hAnsi="Times New Roman" w:cs="Times New Roman"/>
          <w:sz w:val="24"/>
          <w:szCs w:val="24"/>
        </w:rPr>
        <w:t xml:space="preserve"> tag and a 3 A</w:t>
      </w:r>
      <w:r>
        <w:rPr>
          <w:rFonts w:ascii="Times New Roman" w:hAnsi="Times New Roman" w:cs="Times New Roman"/>
          <w:sz w:val="24"/>
          <w:szCs w:val="24"/>
        </w:rPr>
        <w:t xml:space="preserve">lanine (AAA)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linker,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90">
        <w:rPr>
          <w:rFonts w:ascii="Times New Roman" w:hAnsi="Times New Roman" w:cs="Times New Roman"/>
          <w:sz w:val="24"/>
          <w:szCs w:val="24"/>
        </w:rPr>
        <w:t>expressed in human 293-Freestyle</w:t>
      </w:r>
      <w:r>
        <w:rPr>
          <w:rFonts w:ascii="Times New Roman" w:hAnsi="Times New Roman" w:cs="Times New Roman"/>
          <w:sz w:val="24"/>
          <w:szCs w:val="24"/>
        </w:rPr>
        <w:t xml:space="preserve"> cells (Invitrogen) </w:t>
      </w:r>
      <w:r w:rsidRPr="00357D90">
        <w:rPr>
          <w:rFonts w:ascii="Times New Roman" w:hAnsi="Times New Roman" w:cs="Times New Roman"/>
          <w:sz w:val="24"/>
          <w:szCs w:val="24"/>
        </w:rPr>
        <w:t>using 293fect</w:t>
      </w:r>
      <w:r>
        <w:rPr>
          <w:rFonts w:ascii="Times New Roman" w:hAnsi="Times New Roman" w:cs="Times New Roman"/>
          <w:sz w:val="24"/>
          <w:szCs w:val="24"/>
        </w:rPr>
        <w:t xml:space="preserve">in (Thermo Fisher).  </w:t>
      </w:r>
      <w:r w:rsidRPr="00357D90">
        <w:rPr>
          <w:rFonts w:ascii="Times New Roman" w:hAnsi="Times New Roman" w:cs="Times New Roman"/>
          <w:sz w:val="24"/>
          <w:szCs w:val="24"/>
        </w:rPr>
        <w:t>CD137-FLAG protein was purified by passage over a gravity-flow column filled with Anti-FLAG M2 affinity g</w:t>
      </w:r>
      <w:r>
        <w:rPr>
          <w:rFonts w:ascii="Times New Roman" w:hAnsi="Times New Roman" w:cs="Times New Roman"/>
          <w:sz w:val="24"/>
          <w:szCs w:val="24"/>
        </w:rPr>
        <w:t>el (Sigma-Aldrich</w:t>
      </w:r>
      <w:r w:rsidRPr="00357D90">
        <w:rPr>
          <w:rFonts w:ascii="Times New Roman" w:hAnsi="Times New Roman" w:cs="Times New Roman"/>
          <w:sz w:val="24"/>
          <w:szCs w:val="24"/>
        </w:rPr>
        <w:t>) and b</w:t>
      </w:r>
      <w:r>
        <w:rPr>
          <w:rFonts w:ascii="Times New Roman" w:hAnsi="Times New Roman" w:cs="Times New Roman"/>
          <w:sz w:val="24"/>
          <w:szCs w:val="24"/>
        </w:rPr>
        <w:t xml:space="preserve">uffer exchange into 1xPBS.  </w:t>
      </w:r>
      <w:r w:rsidRPr="00357D90">
        <w:rPr>
          <w:rFonts w:ascii="Times New Roman" w:hAnsi="Times New Roman" w:cs="Times New Roman"/>
          <w:sz w:val="24"/>
          <w:szCs w:val="24"/>
        </w:rPr>
        <w:t xml:space="preserve">CD137-His protein was purified by passage over a Ni </w:t>
      </w:r>
      <w:proofErr w:type="spellStart"/>
      <w:r w:rsidRPr="00357D90">
        <w:rPr>
          <w:rFonts w:ascii="Times New Roman" w:hAnsi="Times New Roman" w:cs="Times New Roman"/>
          <w:sz w:val="24"/>
          <w:szCs w:val="24"/>
        </w:rPr>
        <w:t>Sepharose</w:t>
      </w:r>
      <w:proofErr w:type="spellEnd"/>
      <w:r w:rsidRPr="00357D90">
        <w:rPr>
          <w:rFonts w:ascii="Times New Roman" w:hAnsi="Times New Roman" w:cs="Times New Roman"/>
          <w:sz w:val="24"/>
          <w:szCs w:val="24"/>
        </w:rPr>
        <w:t xml:space="preserve"> Excel column attached to an AKTA Purifier followed by polishing on a preparative SEC co</w:t>
      </w:r>
      <w:r>
        <w:rPr>
          <w:rFonts w:ascii="Times New Roman" w:hAnsi="Times New Roman" w:cs="Times New Roman"/>
          <w:sz w:val="24"/>
          <w:szCs w:val="24"/>
        </w:rPr>
        <w:t>lumn (GE Healthcare</w:t>
      </w:r>
      <w:r w:rsidRPr="00357D9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D90">
        <w:rPr>
          <w:rFonts w:ascii="Times New Roman" w:hAnsi="Times New Roman" w:cs="Times New Roman"/>
          <w:sz w:val="24"/>
          <w:szCs w:val="24"/>
        </w:rPr>
        <w:t>Protein quality was evaluated by SDS-PAGE and analytical SEC.</w:t>
      </w:r>
    </w:p>
    <w:p w:rsidR="008668F3" w:rsidRPr="00344ECD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4ECD">
        <w:rPr>
          <w:rFonts w:ascii="Times New Roman" w:hAnsi="Times New Roman" w:cs="Times New Roman"/>
          <w:b/>
          <w:sz w:val="24"/>
          <w:szCs w:val="24"/>
        </w:rPr>
        <w:t>Binding ELISA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4ECD">
        <w:rPr>
          <w:rFonts w:ascii="Times New Roman" w:hAnsi="Times New Roman" w:cs="Times New Roman"/>
          <w:sz w:val="24"/>
          <w:szCs w:val="24"/>
        </w:rPr>
        <w:t xml:space="preserve">Recombinant cynomolgus monkey </w:t>
      </w:r>
      <w:r>
        <w:rPr>
          <w:rFonts w:ascii="Times New Roman" w:hAnsi="Times New Roman" w:cs="Times New Roman"/>
          <w:sz w:val="24"/>
          <w:szCs w:val="24"/>
        </w:rPr>
        <w:t xml:space="preserve">and mouse </w:t>
      </w:r>
      <w:r w:rsidRPr="00344ECD">
        <w:rPr>
          <w:rFonts w:ascii="Times New Roman" w:hAnsi="Times New Roman" w:cs="Times New Roman"/>
          <w:sz w:val="24"/>
          <w:szCs w:val="24"/>
        </w:rPr>
        <w:t>extracellular CD137-Fc protein</w:t>
      </w:r>
      <w:r>
        <w:rPr>
          <w:rFonts w:ascii="Times New Roman" w:hAnsi="Times New Roman" w:cs="Times New Roman"/>
          <w:sz w:val="24"/>
          <w:szCs w:val="24"/>
        </w:rPr>
        <w:t>s (</w:t>
      </w:r>
      <w:r w:rsidRPr="00344ECD">
        <w:rPr>
          <w:rFonts w:ascii="Times New Roman" w:hAnsi="Times New Roman" w:cs="Times New Roman"/>
          <w:sz w:val="24"/>
          <w:szCs w:val="24"/>
        </w:rPr>
        <w:t>Eli Lilly and Company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44ECD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each immobilized onto 96-well plates (1</w:t>
      </w:r>
      <w:r w:rsidRPr="00344ECD">
        <w:rPr>
          <w:rFonts w:ascii="Symbol" w:hAnsi="Symbol" w:cs="Times New Roman"/>
          <w:sz w:val="24"/>
          <w:szCs w:val="24"/>
        </w:rPr>
        <w:t></w:t>
      </w:r>
      <w:r w:rsidRPr="00344ECD">
        <w:rPr>
          <w:rFonts w:ascii="Times New Roman" w:hAnsi="Times New Roman" w:cs="Times New Roman"/>
          <w:sz w:val="24"/>
          <w:szCs w:val="24"/>
        </w:rPr>
        <w:t>g/mL</w:t>
      </w:r>
      <w:r>
        <w:rPr>
          <w:rFonts w:ascii="Times New Roman" w:hAnsi="Times New Roman" w:cs="Times New Roman"/>
          <w:sz w:val="24"/>
          <w:szCs w:val="24"/>
        </w:rPr>
        <w:t xml:space="preserve"> and 0.5</w:t>
      </w:r>
      <w:r w:rsidRPr="00344ECD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g/mL, respectively) and ELISA performed as outlined</w:t>
      </w:r>
      <w:r w:rsidRPr="00344ECD">
        <w:rPr>
          <w:rFonts w:ascii="Times New Roman" w:hAnsi="Times New Roman" w:cs="Times New Roman"/>
          <w:sz w:val="24"/>
          <w:szCs w:val="24"/>
        </w:rPr>
        <w:t xml:space="preserve"> in Materials and Methods.  Treatments included 7A5 antibody and anti-mouse CD137 antibody LOB12.3 (</w:t>
      </w:r>
      <w:proofErr w:type="spellStart"/>
      <w:r w:rsidRPr="00344ECD">
        <w:rPr>
          <w:rFonts w:ascii="Times New Roman" w:hAnsi="Times New Roman" w:cs="Times New Roman"/>
          <w:sz w:val="24"/>
          <w:szCs w:val="24"/>
        </w:rPr>
        <w:t>Bioxcell</w:t>
      </w:r>
      <w:proofErr w:type="spellEnd"/>
      <w:r w:rsidRPr="00344ECD">
        <w:rPr>
          <w:rFonts w:ascii="Times New Roman" w:hAnsi="Times New Roman" w:cs="Times New Roman"/>
          <w:sz w:val="24"/>
          <w:szCs w:val="24"/>
        </w:rPr>
        <w:t>; BE0169)</w:t>
      </w:r>
      <w:r>
        <w:rPr>
          <w:rFonts w:ascii="Times New Roman" w:hAnsi="Times New Roman" w:cs="Times New Roman"/>
          <w:sz w:val="24"/>
          <w:szCs w:val="24"/>
        </w:rPr>
        <w:t xml:space="preserve"> as indicated</w:t>
      </w:r>
      <w:r w:rsidRPr="00344EC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To detect binding, </w:t>
      </w:r>
      <w:r w:rsidRPr="003A2728">
        <w:rPr>
          <w:rFonts w:ascii="Times New Roman" w:hAnsi="Times New Roman" w:cs="Times New Roman"/>
          <w:sz w:val="24"/>
          <w:szCs w:val="24"/>
        </w:rPr>
        <w:t>HRP conjugated goat anti-human IgG</w:t>
      </w:r>
      <w:r w:rsidRPr="00344ECD">
        <w:rPr>
          <w:rFonts w:ascii="Times New Roman" w:hAnsi="Times New Roman" w:cs="Times New Roman"/>
          <w:sz w:val="24"/>
          <w:szCs w:val="24"/>
        </w:rPr>
        <w:t xml:space="preserve"> or anti-rat IgG</w:t>
      </w:r>
      <w:r w:rsidRPr="003A2728">
        <w:rPr>
          <w:rFonts w:ascii="Times New Roman" w:hAnsi="Times New Roman" w:cs="Times New Roman"/>
          <w:sz w:val="24"/>
          <w:szCs w:val="24"/>
        </w:rPr>
        <w:t>, F(ab’)</w:t>
      </w:r>
      <w:r w:rsidRPr="003A27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ECD">
        <w:rPr>
          <w:rFonts w:ascii="Times New Roman" w:hAnsi="Times New Roman" w:cs="Times New Roman"/>
          <w:sz w:val="24"/>
          <w:szCs w:val="24"/>
        </w:rPr>
        <w:t xml:space="preserve"> fragment specific antibodies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2728"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 w:rsidRPr="003A2728">
        <w:rPr>
          <w:rFonts w:ascii="Times New Roman" w:hAnsi="Times New Roman" w:cs="Times New Roman"/>
          <w:sz w:val="24"/>
          <w:szCs w:val="24"/>
        </w:rPr>
        <w:t>ImmunoResea</w:t>
      </w:r>
      <w:r>
        <w:rPr>
          <w:rFonts w:ascii="Times New Roman" w:hAnsi="Times New Roman" w:cs="Times New Roman"/>
          <w:sz w:val="24"/>
          <w:szCs w:val="24"/>
        </w:rPr>
        <w:t>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Laboratories) were utilized</w:t>
      </w:r>
      <w:r w:rsidRPr="00344ECD">
        <w:rPr>
          <w:rFonts w:ascii="Times New Roman" w:hAnsi="Times New Roman" w:cs="Times New Roman"/>
          <w:sz w:val="24"/>
          <w:szCs w:val="24"/>
        </w:rPr>
        <w:t xml:space="preserve">.  </w:t>
      </w:r>
      <w:r w:rsidRPr="003A2728">
        <w:rPr>
          <w:rFonts w:ascii="Times New Roman" w:hAnsi="Times New Roman" w:cs="Times New Roman"/>
          <w:sz w:val="24"/>
          <w:szCs w:val="24"/>
        </w:rPr>
        <w:t>Data analysis for binding EC</w:t>
      </w:r>
      <w:r w:rsidRPr="003A2728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A2728">
        <w:rPr>
          <w:rFonts w:ascii="Times New Roman" w:hAnsi="Times New Roman" w:cs="Times New Roman"/>
          <w:sz w:val="24"/>
          <w:szCs w:val="24"/>
        </w:rPr>
        <w:t xml:space="preserve"> was performed with GraphPad Prism </w:t>
      </w:r>
      <w:r w:rsidRPr="00344ECD">
        <w:rPr>
          <w:rFonts w:ascii="Times New Roman" w:hAnsi="Times New Roman" w:cs="Times New Roman"/>
          <w:sz w:val="24"/>
          <w:szCs w:val="24"/>
        </w:rPr>
        <w:t>software</w:t>
      </w:r>
      <w:r w:rsidRPr="003A2728">
        <w:rPr>
          <w:rFonts w:ascii="Times New Roman" w:hAnsi="Times New Roman" w:cs="Times New Roman"/>
          <w:sz w:val="24"/>
          <w:szCs w:val="24"/>
        </w:rPr>
        <w:t>.</w:t>
      </w:r>
    </w:p>
    <w:p w:rsidR="008668F3" w:rsidRPr="00B92A95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A95">
        <w:rPr>
          <w:rFonts w:ascii="Times New Roman" w:hAnsi="Times New Roman" w:cs="Times New Roman"/>
          <w:b/>
          <w:sz w:val="24"/>
          <w:szCs w:val="24"/>
        </w:rPr>
        <w:t>Biacore</w:t>
      </w:r>
      <w:proofErr w:type="spellEnd"/>
    </w:p>
    <w:p w:rsidR="008668F3" w:rsidRPr="00A93DE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CD137-Fc proteins were prepared at </w:t>
      </w:r>
      <w:r w:rsidRPr="00917B21">
        <w:rPr>
          <w:rFonts w:ascii="Times New Roman" w:hAnsi="Times New Roman" w:cs="Times New Roman"/>
          <w:sz w:val="24"/>
          <w:szCs w:val="24"/>
        </w:rPr>
        <w:t>2.0</w:t>
      </w:r>
      <w:r w:rsidRPr="00917B21">
        <w:rPr>
          <w:rFonts w:ascii="Symbol" w:hAnsi="Symbol"/>
          <w:sz w:val="24"/>
          <w:szCs w:val="24"/>
        </w:rPr>
        <w:t></w:t>
      </w:r>
      <w:r w:rsidRPr="00917B21">
        <w:rPr>
          <w:rFonts w:ascii="Times New Roman" w:hAnsi="Times New Roman" w:cs="Times New Roman"/>
          <w:sz w:val="24"/>
          <w:szCs w:val="24"/>
        </w:rPr>
        <w:t>g/mL</w:t>
      </w:r>
      <w:r>
        <w:rPr>
          <w:rFonts w:ascii="Times New Roman" w:hAnsi="Times New Roman" w:cs="Times New Roman"/>
          <w:sz w:val="24"/>
          <w:szCs w:val="24"/>
        </w:rPr>
        <w:t xml:space="preserve"> and 2.5</w:t>
      </w:r>
      <w:r w:rsidRPr="00917B21">
        <w:rPr>
          <w:rFonts w:ascii="Symbol" w:hAnsi="Symbol"/>
          <w:sz w:val="24"/>
          <w:szCs w:val="24"/>
        </w:rPr>
        <w:t></w:t>
      </w:r>
      <w:r w:rsidRPr="00917B21">
        <w:rPr>
          <w:rFonts w:ascii="Times New Roman" w:hAnsi="Times New Roman" w:cs="Times New Roman"/>
          <w:sz w:val="24"/>
          <w:szCs w:val="24"/>
        </w:rPr>
        <w:t>g/mL</w:t>
      </w:r>
      <w:r>
        <w:rPr>
          <w:rFonts w:ascii="Times New Roman" w:hAnsi="Times New Roman" w:cs="Times New Roman"/>
          <w:sz w:val="24"/>
          <w:szCs w:val="24"/>
        </w:rPr>
        <w:t>, respectively</w:t>
      </w:r>
      <w:r w:rsidRPr="00917B21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10mM sodium acetate (pH 4.0)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17B21">
        <w:rPr>
          <w:rFonts w:ascii="Times New Roman" w:eastAsia="SimSun" w:hAnsi="Times New Roman" w:cs="Times New Roman"/>
          <w:sz w:val="24"/>
          <w:szCs w:val="24"/>
          <w:lang w:eastAsia="zh-CN"/>
        </w:rPr>
        <w:t>covalently immobilized to the CM5 sensor chip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via amine coupling.  </w:t>
      </w:r>
      <w:r w:rsidRPr="00917B21">
        <w:rPr>
          <w:rFonts w:ascii="Times New Roman" w:eastAsia="SimSun" w:hAnsi="Times New Roman" w:cs="Times New Roman"/>
          <w:sz w:val="24"/>
          <w:szCs w:val="24"/>
          <w:lang w:eastAsia="zh-CN"/>
        </w:rPr>
        <w:t>Sample testing was performed at a flow rate of 30µL/min in HBS-EP+ buffer.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7A5 </w:t>
      </w:r>
      <w:r w:rsidRPr="00917B21">
        <w:rPr>
          <w:rFonts w:ascii="Times New Roman" w:eastAsia="SimSun" w:hAnsi="Times New Roman" w:cs="Times New Roman"/>
          <w:sz w:val="24"/>
          <w:szCs w:val="24"/>
          <w:lang w:eastAsia="zh-CN"/>
        </w:rPr>
        <w:t>was injected at various concentrations and measurements obtained at 25</w:t>
      </w:r>
      <w:r w:rsidRPr="00917B21">
        <w:rPr>
          <w:rFonts w:ascii="Times New Roman" w:hAnsi="Times New Roman" w:cs="Times New Roman"/>
          <w:sz w:val="24"/>
          <w:szCs w:val="24"/>
        </w:rPr>
        <w:sym w:font="Symbol" w:char="F0B0"/>
      </w:r>
      <w:r w:rsidRPr="00917B21">
        <w:rPr>
          <w:rFonts w:ascii="Times New Roman" w:hAnsi="Times New Roman" w:cs="Times New Roman"/>
          <w:sz w:val="24"/>
          <w:szCs w:val="24"/>
        </w:rPr>
        <w:t xml:space="preserve">C.  The surface was regenerated after </w:t>
      </w:r>
      <w:r w:rsidRPr="00917B21">
        <w:rPr>
          <w:rFonts w:ascii="Times New Roman" w:hAnsi="Times New Roman" w:cs="Times New Roman"/>
          <w:sz w:val="24"/>
          <w:szCs w:val="24"/>
        </w:rPr>
        <w:lastRenderedPageBreak/>
        <w:t>each sample injection with 10mM Glycine-HCl pH2.0 at flow rate of 30</w:t>
      </w:r>
      <w:r w:rsidRPr="00917B21">
        <w:rPr>
          <w:rFonts w:ascii="Symbol" w:hAnsi="Symbol"/>
          <w:sz w:val="24"/>
          <w:szCs w:val="24"/>
        </w:rPr>
        <w:t></w:t>
      </w:r>
      <w:r w:rsidRPr="00917B21">
        <w:rPr>
          <w:rFonts w:ascii="Times New Roman" w:hAnsi="Times New Roman" w:cs="Times New Roman"/>
          <w:sz w:val="24"/>
          <w:szCs w:val="24"/>
        </w:rPr>
        <w:t>L/min for 24 sec</w:t>
      </w:r>
      <w:r>
        <w:rPr>
          <w:rFonts w:ascii="Times New Roman" w:hAnsi="Times New Roman" w:cs="Times New Roman"/>
          <w:sz w:val="24"/>
          <w:szCs w:val="24"/>
        </w:rPr>
        <w:t>onds</w:t>
      </w:r>
      <w:r w:rsidRPr="00917B21">
        <w:rPr>
          <w:rFonts w:ascii="Times New Roman" w:hAnsi="Times New Roman" w:cs="Times New Roman"/>
          <w:sz w:val="24"/>
          <w:szCs w:val="24"/>
        </w:rPr>
        <w:t xml:space="preserve"> and then stabilized with buffer for 10 sec</w:t>
      </w:r>
      <w:r>
        <w:rPr>
          <w:rFonts w:ascii="Times New Roman" w:hAnsi="Times New Roman" w:cs="Times New Roman"/>
          <w:sz w:val="24"/>
          <w:szCs w:val="24"/>
        </w:rPr>
        <w:t>onds</w:t>
      </w:r>
      <w:r w:rsidRPr="00917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917B21">
        <w:rPr>
          <w:rFonts w:ascii="Times New Roman" w:eastAsia="SimSun" w:hAnsi="Times New Roman" w:cs="Times New Roman"/>
          <w:sz w:val="24"/>
          <w:szCs w:val="24"/>
          <w:lang w:eastAsia="zh-CN"/>
        </w:rPr>
        <w:t>Sensorgrams</w:t>
      </w:r>
      <w:proofErr w:type="spellEnd"/>
      <w:r w:rsidRPr="00917B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concen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trations ranging from 0.123 to 9</w:t>
      </w:r>
      <w:r w:rsidRPr="00917B21">
        <w:rPr>
          <w:rFonts w:ascii="Times New Roman" w:eastAsia="SimSun" w:hAnsi="Times New Roman" w:cs="Times New Roman"/>
          <w:sz w:val="24"/>
          <w:szCs w:val="24"/>
          <w:lang w:eastAsia="zh-CN"/>
        </w:rPr>
        <w:t>0nM were evaluat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ed using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Biacore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T200 software.  </w:t>
      </w:r>
      <w:r w:rsidRPr="00A93DE3">
        <w:rPr>
          <w:rFonts w:ascii="Times New Roman" w:eastAsia="SimSun" w:hAnsi="Times New Roman" w:cs="Times New Roman"/>
          <w:sz w:val="24"/>
          <w:szCs w:val="24"/>
          <w:lang w:eastAsia="zh-CN"/>
        </w:rPr>
        <w:t>Calculation of association (Ka) and dissociation (</w:t>
      </w:r>
      <w:proofErr w:type="spellStart"/>
      <w:r w:rsidRPr="00A93DE3">
        <w:rPr>
          <w:rFonts w:ascii="Times New Roman" w:eastAsia="SimSun" w:hAnsi="Times New Roman" w:cs="Times New Roman"/>
          <w:sz w:val="24"/>
          <w:szCs w:val="24"/>
          <w:lang w:eastAsia="zh-CN"/>
        </w:rPr>
        <w:t>Kd</w:t>
      </w:r>
      <w:proofErr w:type="spellEnd"/>
      <w:r w:rsidRPr="00A93D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rate constants was based on a 1:1 Langmuir binding model fit.  The equilibrium dissociation constant (KD) or binding affinity constant was calculated from the ratio of kinetic rate constants </w:t>
      </w:r>
      <w:proofErr w:type="spellStart"/>
      <w:r w:rsidRPr="00A93DE3">
        <w:rPr>
          <w:rFonts w:ascii="Times New Roman" w:eastAsia="SimSun" w:hAnsi="Times New Roman" w:cs="Times New Roman"/>
          <w:sz w:val="24"/>
          <w:szCs w:val="24"/>
          <w:lang w:eastAsia="zh-CN"/>
        </w:rPr>
        <w:t>Kd</w:t>
      </w:r>
      <w:proofErr w:type="spellEnd"/>
      <w:r w:rsidRPr="00A93DE3">
        <w:rPr>
          <w:rFonts w:ascii="Times New Roman" w:eastAsia="SimSun" w:hAnsi="Times New Roman" w:cs="Times New Roman"/>
          <w:sz w:val="24"/>
          <w:szCs w:val="24"/>
          <w:lang w:eastAsia="zh-CN"/>
        </w:rPr>
        <w:t>/Ka.</w:t>
      </w:r>
    </w:p>
    <w:p w:rsidR="008668F3" w:rsidRPr="00B34B0B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Effector function assays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Binding </w:t>
      </w:r>
      <w:r w:rsidRPr="005F607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FcγRI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FcγRIIa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(H),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FcγRIIb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FcγRIIIa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(F), and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FcγRIIIa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(V)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F6070">
        <w:rPr>
          <w:rFonts w:ascii="Times New Roman" w:hAnsi="Times New Roman" w:cs="Times New Roman"/>
          <w:sz w:val="24"/>
          <w:szCs w:val="24"/>
        </w:rPr>
        <w:t>determined using an MSD assay (Meso</w:t>
      </w:r>
      <w:r>
        <w:rPr>
          <w:rFonts w:ascii="Times New Roman" w:hAnsi="Times New Roman" w:cs="Times New Roman"/>
          <w:sz w:val="24"/>
          <w:szCs w:val="24"/>
        </w:rPr>
        <w:t xml:space="preserve"> Scale Diagnostics</w:t>
      </w:r>
      <w:r w:rsidRPr="005F6070">
        <w:rPr>
          <w:rFonts w:ascii="Times New Roman" w:hAnsi="Times New Roman" w:cs="Times New Roman"/>
          <w:sz w:val="24"/>
          <w:szCs w:val="24"/>
        </w:rPr>
        <w:t xml:space="preserve">).  Briefly,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Fcγ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 receptors were coated onto a Mesoscale plate overnight and serially diluted test antibodies were added to the plate and incubated for </w:t>
      </w:r>
      <w:r>
        <w:rPr>
          <w:rFonts w:ascii="Times New Roman" w:hAnsi="Times New Roman" w:cs="Times New Roman"/>
          <w:sz w:val="24"/>
          <w:szCs w:val="24"/>
        </w:rPr>
        <w:t>2 hours</w:t>
      </w:r>
      <w:r w:rsidRPr="005F60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Signal was d</w:t>
      </w:r>
      <w:r w:rsidRPr="005F6070">
        <w:rPr>
          <w:rFonts w:ascii="Times New Roman" w:hAnsi="Times New Roman" w:cs="Times New Roman"/>
          <w:sz w:val="24"/>
          <w:szCs w:val="24"/>
        </w:rPr>
        <w:t>etected using an ant</w:t>
      </w:r>
      <w:r>
        <w:rPr>
          <w:rFonts w:ascii="Times New Roman" w:hAnsi="Times New Roman" w:cs="Times New Roman"/>
          <w:sz w:val="24"/>
          <w:szCs w:val="24"/>
        </w:rPr>
        <w:t>i-human secondary antibody (MSD;</w:t>
      </w:r>
      <w:r w:rsidRPr="005F6070">
        <w:rPr>
          <w:rFonts w:ascii="Times New Roman" w:hAnsi="Times New Roman" w:cs="Times New Roman"/>
          <w:sz w:val="24"/>
          <w:szCs w:val="24"/>
        </w:rPr>
        <w:t xml:space="preserve"> D20TF-6) and the plate was dev</w:t>
      </w:r>
      <w:r>
        <w:rPr>
          <w:rFonts w:ascii="Times New Roman" w:hAnsi="Times New Roman" w:cs="Times New Roman"/>
          <w:sz w:val="24"/>
          <w:szCs w:val="24"/>
        </w:rPr>
        <w:t xml:space="preserve">eloped with Read Buffer T (MSD; </w:t>
      </w:r>
      <w:r w:rsidRPr="005F6070">
        <w:rPr>
          <w:rFonts w:ascii="Times New Roman" w:hAnsi="Times New Roman" w:cs="Times New Roman"/>
          <w:sz w:val="24"/>
          <w:szCs w:val="24"/>
        </w:rPr>
        <w:t>R92TC-1).  Luminescence was measured on the Sector Imager 2400</w:t>
      </w:r>
      <w:r>
        <w:rPr>
          <w:rFonts w:ascii="Times New Roman" w:hAnsi="Times New Roman" w:cs="Times New Roman"/>
          <w:sz w:val="24"/>
          <w:szCs w:val="24"/>
        </w:rPr>
        <w:t xml:space="preserve"> (MSD</w:t>
      </w:r>
      <w:r w:rsidRPr="004556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data </w:t>
      </w:r>
      <w:r w:rsidRPr="005F6070">
        <w:rPr>
          <w:rFonts w:ascii="Times New Roman" w:hAnsi="Times New Roman" w:cs="Times New Roman"/>
          <w:sz w:val="24"/>
          <w:szCs w:val="24"/>
        </w:rPr>
        <w:t xml:space="preserve">analyzed using </w:t>
      </w:r>
      <w:r>
        <w:rPr>
          <w:rFonts w:ascii="Times New Roman" w:hAnsi="Times New Roman" w:cs="Times New Roman"/>
          <w:sz w:val="24"/>
          <w:szCs w:val="24"/>
        </w:rPr>
        <w:t>GraphPad Prism</w:t>
      </w:r>
      <w:r w:rsidRPr="005F6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For binding to C1q, </w:t>
      </w:r>
      <w:r w:rsidRPr="005F6070">
        <w:rPr>
          <w:rFonts w:ascii="Times New Roman" w:hAnsi="Times New Roman" w:cs="Times New Roman"/>
          <w:sz w:val="24"/>
          <w:szCs w:val="24"/>
        </w:rPr>
        <w:t>antibodies were serially diluted in PBS and coated onto an ELISA plate overnight at 4</w:t>
      </w:r>
      <w:r w:rsidRPr="005F6070">
        <w:rPr>
          <w:rFonts w:ascii="Times New Roman" w:hAnsi="Times New Roman" w:cs="Times New Roman"/>
          <w:sz w:val="24"/>
          <w:szCs w:val="24"/>
        </w:rPr>
        <w:sym w:font="Symbol" w:char="F0B0"/>
      </w:r>
      <w:r w:rsidRPr="005F6070">
        <w:rPr>
          <w:rFonts w:ascii="Times New Roman" w:hAnsi="Times New Roman" w:cs="Times New Roman"/>
          <w:sz w:val="24"/>
          <w:szCs w:val="24"/>
        </w:rPr>
        <w:t xml:space="preserve">C.  Human C1q in casein buffer was added at a concentration of 10 mg/mL and incubated for </w:t>
      </w:r>
      <w:r>
        <w:rPr>
          <w:rFonts w:ascii="Times New Roman" w:hAnsi="Times New Roman" w:cs="Times New Roman"/>
          <w:sz w:val="24"/>
          <w:szCs w:val="24"/>
        </w:rPr>
        <w:t>2 hours</w:t>
      </w:r>
      <w:r w:rsidRPr="005F60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Signal </w:t>
      </w:r>
      <w:r w:rsidRPr="005F6070">
        <w:rPr>
          <w:rFonts w:ascii="Times New Roman" w:hAnsi="Times New Roman" w:cs="Times New Roman"/>
          <w:sz w:val="24"/>
          <w:szCs w:val="24"/>
        </w:rPr>
        <w:t>was detected by incubating the plates with anti-human C1q-HRP</w:t>
      </w:r>
      <w:r>
        <w:rPr>
          <w:rFonts w:ascii="Times New Roman" w:hAnsi="Times New Roman" w:cs="Times New Roman"/>
          <w:sz w:val="24"/>
          <w:szCs w:val="24"/>
        </w:rPr>
        <w:t xml:space="preserve"> 1:200 dilution</w:t>
      </w:r>
      <w:r w:rsidRPr="005F60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Ab</w:t>
      </w:r>
      <w:r w:rsidR="001136B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F6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070">
        <w:rPr>
          <w:rFonts w:ascii="Times New Roman" w:hAnsi="Times New Roman" w:cs="Times New Roman"/>
          <w:sz w:val="24"/>
          <w:szCs w:val="24"/>
        </w:rPr>
        <w:t>Serotec</w:t>
      </w:r>
      <w:proofErr w:type="spellEnd"/>
      <w:r w:rsidR="00D565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2221-5004P</w:t>
      </w:r>
      <w:r w:rsidRPr="005F60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for 1 hour</w:t>
      </w:r>
      <w:r w:rsidRPr="005F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F6070">
        <w:rPr>
          <w:rFonts w:ascii="Times New Roman" w:hAnsi="Times New Roman" w:cs="Times New Roman"/>
          <w:sz w:val="24"/>
          <w:szCs w:val="24"/>
        </w:rPr>
        <w:t>developed using TMB (KPL). Absorbance was measured at 450nm with Synergy Neo2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6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56B8">
        <w:rPr>
          <w:rFonts w:ascii="Times New Roman" w:hAnsi="Times New Roman" w:cs="Times New Roman"/>
          <w:sz w:val="24"/>
          <w:szCs w:val="24"/>
        </w:rPr>
        <w:t>BioTek</w:t>
      </w:r>
      <w:proofErr w:type="spellEnd"/>
      <w:r w:rsidRPr="004556B8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ADCC effector function assay, </w:t>
      </w:r>
      <w:r w:rsidRPr="00B27C1C">
        <w:rPr>
          <w:rFonts w:ascii="Times New Roman" w:hAnsi="Times New Roman" w:cs="Times New Roman"/>
          <w:sz w:val="24"/>
          <w:szCs w:val="24"/>
        </w:rPr>
        <w:t xml:space="preserve">CD137 positive or negative </w:t>
      </w:r>
      <w:r>
        <w:rPr>
          <w:rFonts w:ascii="Times New Roman" w:hAnsi="Times New Roman" w:cs="Times New Roman"/>
          <w:sz w:val="24"/>
          <w:szCs w:val="24"/>
        </w:rPr>
        <w:t>HEK-</w:t>
      </w:r>
      <w:r w:rsidRPr="00B27C1C">
        <w:rPr>
          <w:rFonts w:ascii="Times New Roman" w:hAnsi="Times New Roman" w:cs="Times New Roman"/>
          <w:sz w:val="24"/>
          <w:szCs w:val="24"/>
        </w:rPr>
        <w:t xml:space="preserve">293 cells were plated </w:t>
      </w:r>
      <w:r>
        <w:rPr>
          <w:rFonts w:ascii="Times New Roman" w:hAnsi="Times New Roman" w:cs="Times New Roman"/>
          <w:sz w:val="24"/>
          <w:szCs w:val="24"/>
        </w:rPr>
        <w:t>in 96-well plate at 5x10</w:t>
      </w:r>
      <w:r w:rsidRPr="00AC3F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cells/</w:t>
      </w:r>
      <w:r w:rsidRPr="00B27C1C">
        <w:rPr>
          <w:rFonts w:ascii="Times New Roman" w:hAnsi="Times New Roman" w:cs="Times New Roman"/>
          <w:sz w:val="24"/>
          <w:szCs w:val="24"/>
        </w:rPr>
        <w:t>well in 100 µL of cell growth medium.  After an overnight incubation at 37</w:t>
      </w:r>
      <w:r w:rsidRPr="00B27C1C">
        <w:rPr>
          <w:rFonts w:ascii="Symbol" w:hAnsi="Symbol" w:cs="Times New Roman"/>
          <w:sz w:val="24"/>
          <w:szCs w:val="24"/>
        </w:rPr>
        <w:t></w:t>
      </w:r>
      <w:r w:rsidRPr="00B27C1C">
        <w:rPr>
          <w:rFonts w:ascii="Times New Roman" w:hAnsi="Times New Roman" w:cs="Times New Roman"/>
          <w:sz w:val="24"/>
          <w:szCs w:val="24"/>
        </w:rPr>
        <w:t>C and 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C1C">
        <w:rPr>
          <w:rFonts w:ascii="Times New Roman" w:hAnsi="Times New Roman" w:cs="Times New Roman"/>
          <w:sz w:val="24"/>
          <w:szCs w:val="24"/>
        </w:rPr>
        <w:t>CO</w:t>
      </w:r>
      <w:r w:rsidRPr="00AC3F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7C1C">
        <w:rPr>
          <w:rFonts w:ascii="Times New Roman" w:hAnsi="Times New Roman" w:cs="Times New Roman"/>
          <w:sz w:val="24"/>
          <w:szCs w:val="24"/>
        </w:rPr>
        <w:t xml:space="preserve">, the medium </w:t>
      </w:r>
      <w:r>
        <w:rPr>
          <w:rFonts w:ascii="Times New Roman" w:hAnsi="Times New Roman" w:cs="Times New Roman"/>
          <w:sz w:val="24"/>
          <w:szCs w:val="24"/>
        </w:rPr>
        <w:t>was removed and 50µL</w:t>
      </w:r>
      <w:r w:rsidRPr="00B27C1C">
        <w:rPr>
          <w:rFonts w:ascii="Times New Roman" w:hAnsi="Times New Roman" w:cs="Times New Roman"/>
          <w:sz w:val="24"/>
          <w:szCs w:val="24"/>
        </w:rPr>
        <w:t xml:space="preserve"> ADCC assay buffer (RPMI </w:t>
      </w:r>
      <w:r>
        <w:rPr>
          <w:rFonts w:ascii="Times New Roman" w:hAnsi="Times New Roman" w:cs="Times New Roman"/>
          <w:sz w:val="24"/>
          <w:szCs w:val="24"/>
        </w:rPr>
        <w:t xml:space="preserve">1640, with 0.5%BSA) added.  7A5 </w:t>
      </w:r>
      <w:r w:rsidRPr="00B27C1C">
        <w:rPr>
          <w:rFonts w:ascii="Times New Roman" w:hAnsi="Times New Roman" w:cs="Times New Roman"/>
          <w:sz w:val="24"/>
          <w:szCs w:val="24"/>
        </w:rPr>
        <w:t xml:space="preserve">(IgG1 effector null and </w:t>
      </w:r>
      <w:r>
        <w:rPr>
          <w:rFonts w:ascii="Times New Roman" w:hAnsi="Times New Roman" w:cs="Times New Roman"/>
          <w:sz w:val="24"/>
          <w:szCs w:val="24"/>
        </w:rPr>
        <w:t>effector competent versions) was</w:t>
      </w:r>
      <w:r w:rsidRPr="00B27C1C">
        <w:rPr>
          <w:rFonts w:ascii="Times New Roman" w:hAnsi="Times New Roman" w:cs="Times New Roman"/>
          <w:sz w:val="24"/>
          <w:szCs w:val="24"/>
        </w:rPr>
        <w:t xml:space="preserve"> </w:t>
      </w:r>
      <w:r w:rsidRPr="00B27C1C">
        <w:rPr>
          <w:rFonts w:ascii="Times New Roman" w:hAnsi="Times New Roman" w:cs="Times New Roman"/>
          <w:sz w:val="24"/>
          <w:szCs w:val="24"/>
        </w:rPr>
        <w:lastRenderedPageBreak/>
        <w:t xml:space="preserve">added to the target cells at indicated concentrations and incubated for 30 minutes.  </w:t>
      </w:r>
      <w:proofErr w:type="spellStart"/>
      <w:r w:rsidRPr="00B27C1C">
        <w:rPr>
          <w:rFonts w:ascii="Times New Roman" w:hAnsi="Times New Roman" w:cs="Times New Roman"/>
          <w:sz w:val="24"/>
          <w:szCs w:val="24"/>
        </w:rPr>
        <w:t>Fc</w:t>
      </w:r>
      <w:r w:rsidRPr="00B27C1C">
        <w:rPr>
          <w:rFonts w:ascii="Symbol" w:hAnsi="Symbol" w:cs="Times New Roman"/>
          <w:sz w:val="24"/>
          <w:szCs w:val="24"/>
        </w:rPr>
        <w:t></w:t>
      </w:r>
      <w:r w:rsidRPr="00B27C1C">
        <w:rPr>
          <w:rFonts w:ascii="Times New Roman" w:hAnsi="Times New Roman" w:cs="Times New Roman"/>
          <w:sz w:val="24"/>
          <w:szCs w:val="24"/>
        </w:rPr>
        <w:t>RIIIa-positive</w:t>
      </w:r>
      <w:proofErr w:type="spellEnd"/>
      <w:r w:rsidRPr="00B27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1C">
        <w:rPr>
          <w:rFonts w:ascii="Times New Roman" w:hAnsi="Times New Roman" w:cs="Times New Roman"/>
          <w:sz w:val="24"/>
          <w:szCs w:val="24"/>
        </w:rPr>
        <w:t>Jurkat</w:t>
      </w:r>
      <w:proofErr w:type="spellEnd"/>
      <w:r w:rsidRPr="00B27C1C">
        <w:rPr>
          <w:rFonts w:ascii="Times New Roman" w:hAnsi="Times New Roman" w:cs="Times New Roman"/>
          <w:sz w:val="24"/>
          <w:szCs w:val="24"/>
        </w:rPr>
        <w:t xml:space="preserve"> cells containing NFAT luciferase reporter (Eli Lilly and Company) were added to target cells (1.5x10</w:t>
      </w:r>
      <w:r w:rsidRPr="00B27C1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27C1C">
        <w:rPr>
          <w:rFonts w:ascii="Times New Roman" w:hAnsi="Times New Roman" w:cs="Times New Roman"/>
          <w:sz w:val="24"/>
          <w:szCs w:val="24"/>
        </w:rPr>
        <w:t xml:space="preserve"> cells/well) and incubated for 6 hours at 37</w:t>
      </w:r>
      <w:r w:rsidRPr="00B27C1C">
        <w:rPr>
          <w:rFonts w:ascii="Symbol" w:hAnsi="Symbol" w:cs="Times New Roman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C.  L</w:t>
      </w:r>
      <w:r w:rsidRPr="00B27C1C">
        <w:rPr>
          <w:rFonts w:ascii="Times New Roman" w:hAnsi="Times New Roman" w:cs="Times New Roman"/>
          <w:sz w:val="24"/>
          <w:szCs w:val="24"/>
        </w:rPr>
        <w:t xml:space="preserve">uminescence signal was measured using Bio-Glo reagent </w:t>
      </w:r>
      <w:r>
        <w:rPr>
          <w:rFonts w:ascii="Times New Roman" w:hAnsi="Times New Roman" w:cs="Times New Roman"/>
          <w:sz w:val="24"/>
          <w:szCs w:val="24"/>
        </w:rPr>
        <w:t xml:space="preserve">(Promega, G7940) </w:t>
      </w:r>
      <w:r w:rsidRPr="00B27C1C">
        <w:rPr>
          <w:rFonts w:ascii="Times New Roman" w:hAnsi="Times New Roman" w:cs="Times New Roman"/>
          <w:sz w:val="24"/>
          <w:szCs w:val="24"/>
        </w:rPr>
        <w:t>and the EC</w:t>
      </w:r>
      <w:r w:rsidRPr="00B27C1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C1C">
        <w:rPr>
          <w:rFonts w:ascii="Times New Roman" w:hAnsi="Times New Roman" w:cs="Times New Roman"/>
          <w:sz w:val="24"/>
          <w:szCs w:val="24"/>
        </w:rPr>
        <w:t>calc</w:t>
      </w:r>
      <w:r>
        <w:rPr>
          <w:rFonts w:ascii="Times New Roman" w:hAnsi="Times New Roman" w:cs="Times New Roman"/>
          <w:sz w:val="24"/>
          <w:szCs w:val="24"/>
        </w:rPr>
        <w:t xml:space="preserve">ulated using GraphPad Prism </w:t>
      </w:r>
      <w:r w:rsidRPr="00B27C1C">
        <w:rPr>
          <w:rFonts w:ascii="Times New Roman" w:hAnsi="Times New Roman" w:cs="Times New Roman"/>
          <w:sz w:val="24"/>
          <w:szCs w:val="24"/>
        </w:rPr>
        <w:t>software.</w:t>
      </w:r>
      <w:r>
        <w:rPr>
          <w:rFonts w:ascii="Times New Roman" w:hAnsi="Times New Roman" w:cs="Times New Roman"/>
          <w:sz w:val="24"/>
          <w:szCs w:val="24"/>
        </w:rPr>
        <w:t xml:space="preserve">  The ADCC effector function assay with CD20-positive Wil2-s cells and anti-CD20 antibody rituximab (IgG1 effector competent) was performed as described above.  Cells </w:t>
      </w:r>
      <w:r w:rsidRPr="005F6070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plated at 1x10</w:t>
      </w:r>
      <w:r w:rsidRPr="000073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F6070">
        <w:rPr>
          <w:rFonts w:ascii="Times New Roman" w:hAnsi="Times New Roman" w:cs="Times New Roman"/>
          <w:sz w:val="24"/>
          <w:szCs w:val="24"/>
        </w:rPr>
        <w:t xml:space="preserve"> cell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6070">
        <w:rPr>
          <w:rFonts w:ascii="Times New Roman" w:hAnsi="Times New Roman" w:cs="Times New Roman"/>
          <w:sz w:val="24"/>
          <w:szCs w:val="24"/>
        </w:rPr>
        <w:t>/well</w:t>
      </w:r>
      <w:r>
        <w:rPr>
          <w:rFonts w:ascii="Times New Roman" w:hAnsi="Times New Roman" w:cs="Times New Roman"/>
          <w:sz w:val="24"/>
          <w:szCs w:val="24"/>
        </w:rPr>
        <w:t xml:space="preserve"> in 50 µL of ADCC assay buffer and rituximab used at indicated concentrations as positive control.  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8F3" w:rsidRPr="003A2728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CDC assay, human CD137-</w:t>
      </w:r>
      <w:r w:rsidRPr="005F6070">
        <w:rPr>
          <w:rFonts w:ascii="Times New Roman" w:hAnsi="Times New Roman" w:cs="Times New Roman"/>
          <w:sz w:val="24"/>
          <w:szCs w:val="24"/>
        </w:rPr>
        <w:t xml:space="preserve">293 cells </w:t>
      </w:r>
      <w:r>
        <w:rPr>
          <w:rFonts w:ascii="Times New Roman" w:hAnsi="Times New Roman" w:cs="Times New Roman"/>
          <w:sz w:val="24"/>
          <w:szCs w:val="24"/>
        </w:rPr>
        <w:t xml:space="preserve">or CD20-positive Wil2-s cells </w:t>
      </w:r>
      <w:r w:rsidRPr="005F6070">
        <w:rPr>
          <w:rFonts w:ascii="Times New Roman" w:hAnsi="Times New Roman" w:cs="Times New Roman"/>
          <w:sz w:val="24"/>
          <w:szCs w:val="24"/>
        </w:rPr>
        <w:t>were seed</w:t>
      </w:r>
      <w:r>
        <w:rPr>
          <w:rFonts w:ascii="Times New Roman" w:hAnsi="Times New Roman" w:cs="Times New Roman"/>
          <w:sz w:val="24"/>
          <w:szCs w:val="24"/>
        </w:rPr>
        <w:t>ed in 96-well plates at 2.5x10</w:t>
      </w:r>
      <w:r w:rsidRPr="000073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cells/</w:t>
      </w:r>
      <w:r w:rsidRPr="005F6070">
        <w:rPr>
          <w:rFonts w:ascii="Times New Roman" w:hAnsi="Times New Roman" w:cs="Times New Roman"/>
          <w:sz w:val="24"/>
          <w:szCs w:val="24"/>
        </w:rPr>
        <w:t xml:space="preserve">well </w:t>
      </w:r>
      <w:r>
        <w:rPr>
          <w:rFonts w:ascii="Times New Roman" w:hAnsi="Times New Roman" w:cs="Times New Roman"/>
          <w:sz w:val="24"/>
          <w:szCs w:val="24"/>
        </w:rPr>
        <w:t>and 5.0x10</w:t>
      </w:r>
      <w:r w:rsidRPr="000073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cells/well respectively in </w:t>
      </w:r>
      <w:r w:rsidRPr="005F6070">
        <w:rPr>
          <w:rFonts w:ascii="Times New Roman" w:hAnsi="Times New Roman" w:cs="Times New Roman"/>
          <w:sz w:val="24"/>
          <w:szCs w:val="24"/>
        </w:rPr>
        <w:t>CDC assay buffe</w:t>
      </w:r>
      <w:r>
        <w:rPr>
          <w:rFonts w:ascii="Times New Roman" w:hAnsi="Times New Roman" w:cs="Times New Roman"/>
          <w:sz w:val="24"/>
          <w:szCs w:val="24"/>
        </w:rPr>
        <w:t xml:space="preserve">r.  Test and control antibodies </w:t>
      </w:r>
      <w:r w:rsidRPr="005F6070">
        <w:rPr>
          <w:rFonts w:ascii="Times New Roman" w:hAnsi="Times New Roman" w:cs="Times New Roman"/>
          <w:sz w:val="24"/>
          <w:szCs w:val="24"/>
        </w:rPr>
        <w:t>were added in duplicate to the pla</w:t>
      </w:r>
      <w:r>
        <w:rPr>
          <w:rFonts w:ascii="Times New Roman" w:hAnsi="Times New Roman" w:cs="Times New Roman"/>
          <w:sz w:val="24"/>
          <w:szCs w:val="24"/>
        </w:rPr>
        <w:t xml:space="preserve">tes and incubated for 30 minutes.  Human complement (50 µL of 1:5 dilution) (Sigma; </w:t>
      </w:r>
      <w:r w:rsidRPr="005F6070">
        <w:rPr>
          <w:rFonts w:ascii="Times New Roman" w:hAnsi="Times New Roman" w:cs="Times New Roman"/>
          <w:sz w:val="24"/>
          <w:szCs w:val="24"/>
        </w:rPr>
        <w:t>S1764</w:t>
      </w:r>
      <w:r>
        <w:rPr>
          <w:rFonts w:ascii="Times New Roman" w:hAnsi="Times New Roman" w:cs="Times New Roman"/>
          <w:sz w:val="24"/>
          <w:szCs w:val="24"/>
        </w:rPr>
        <w:t xml:space="preserve">), was added for 1 hour.  Following </w:t>
      </w:r>
      <w:r w:rsidRPr="005F607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cubation, 16 µL</w:t>
      </w:r>
      <w:r w:rsidRPr="005F60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reagent (Invitrogen;</w:t>
      </w:r>
      <w:r w:rsidRPr="005F6070">
        <w:rPr>
          <w:rFonts w:ascii="Times New Roman" w:hAnsi="Times New Roman" w:cs="Times New Roman"/>
          <w:sz w:val="24"/>
          <w:szCs w:val="24"/>
        </w:rPr>
        <w:t xml:space="preserve"> DAL1100) was added to each well</w:t>
      </w:r>
      <w:r>
        <w:rPr>
          <w:rFonts w:ascii="Times New Roman" w:hAnsi="Times New Roman" w:cs="Times New Roman"/>
          <w:sz w:val="24"/>
          <w:szCs w:val="24"/>
        </w:rPr>
        <w:t xml:space="preserve"> and incubated for 23 hours</w:t>
      </w:r>
      <w:r w:rsidRPr="005F6070">
        <w:rPr>
          <w:rFonts w:ascii="Times New Roman" w:hAnsi="Times New Roman" w:cs="Times New Roman"/>
          <w:sz w:val="24"/>
          <w:szCs w:val="24"/>
        </w:rPr>
        <w:t>.  Fluorescence was read on Synergy Neo2 (excit</w:t>
      </w:r>
      <w:r>
        <w:rPr>
          <w:rFonts w:ascii="Times New Roman" w:hAnsi="Times New Roman" w:cs="Times New Roman"/>
          <w:sz w:val="24"/>
          <w:szCs w:val="24"/>
        </w:rPr>
        <w:t>ation: 560nm)</w:t>
      </w:r>
      <w:r w:rsidRPr="005F6070">
        <w:rPr>
          <w:rFonts w:ascii="Times New Roman" w:hAnsi="Times New Roman" w:cs="Times New Roman"/>
          <w:sz w:val="24"/>
          <w:szCs w:val="24"/>
        </w:rPr>
        <w:t xml:space="preserve"> and the EC</w:t>
      </w:r>
      <w:r w:rsidRPr="005F607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70">
        <w:rPr>
          <w:rFonts w:ascii="Times New Roman" w:hAnsi="Times New Roman" w:cs="Times New Roman"/>
          <w:sz w:val="24"/>
          <w:szCs w:val="24"/>
        </w:rPr>
        <w:t xml:space="preserve">calculated with </w:t>
      </w:r>
      <w:r>
        <w:rPr>
          <w:rFonts w:ascii="Times New Roman" w:hAnsi="Times New Roman" w:cs="Times New Roman"/>
          <w:sz w:val="24"/>
          <w:szCs w:val="24"/>
        </w:rPr>
        <w:t>GraphPad Prism</w:t>
      </w:r>
      <w:r w:rsidRPr="005F6070">
        <w:rPr>
          <w:rFonts w:ascii="Times New Roman" w:hAnsi="Times New Roman" w:cs="Times New Roman"/>
          <w:sz w:val="24"/>
          <w:szCs w:val="24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Receptor m</w:t>
      </w:r>
      <w:r w:rsidRPr="00DF653F">
        <w:rPr>
          <w:rFonts w:ascii="Times New Roman" w:hAnsi="Times New Roman" w:cs="Times New Roman"/>
          <w:b/>
          <w:sz w:val="24"/>
          <w:szCs w:val="24"/>
        </w:rPr>
        <w:t>odulation</w:t>
      </w:r>
    </w:p>
    <w:p w:rsidR="008668F3" w:rsidRPr="00DF653F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CD137-</w:t>
      </w:r>
      <w:r w:rsidRPr="008177F1">
        <w:rPr>
          <w:rFonts w:ascii="Times New Roman" w:hAnsi="Times New Roman" w:cs="Times New Roman"/>
          <w:sz w:val="24"/>
          <w:szCs w:val="24"/>
        </w:rPr>
        <w:t>293 cell</w:t>
      </w:r>
      <w:r>
        <w:rPr>
          <w:rFonts w:ascii="Times New Roman" w:hAnsi="Times New Roman" w:cs="Times New Roman"/>
          <w:sz w:val="24"/>
          <w:szCs w:val="24"/>
        </w:rPr>
        <w:t xml:space="preserve">s were incubated with human IgG1 or CD137 antibodies across a range of concentrations (highest at 300nM). After 24 hours, cells were dissociated with non-enzymatic reagent and stained for 2 hours with the same antibodies at 300nM in cold buffer containing 0.09%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azide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 prevent receptor internalization).  Cells were washed and stained with Alexa Fluor 647 labeled anti-human IgG detection antibody </w:t>
      </w:r>
      <w:r w:rsidRPr="00036F9B">
        <w:rPr>
          <w:rFonts w:ascii="Times New Roman" w:hAnsi="Times New Roman" w:cs="Times New Roman"/>
          <w:sz w:val="24"/>
          <w:szCs w:val="24"/>
        </w:rPr>
        <w:t xml:space="preserve">(Jackson </w:t>
      </w:r>
      <w:proofErr w:type="spellStart"/>
      <w:r w:rsidRPr="00036F9B">
        <w:rPr>
          <w:rFonts w:ascii="Times New Roman" w:hAnsi="Times New Roman" w:cs="Times New Roman"/>
          <w:sz w:val="24"/>
          <w:szCs w:val="24"/>
        </w:rPr>
        <w:t>ImmunoResearch</w:t>
      </w:r>
      <w:proofErr w:type="spellEnd"/>
      <w:r w:rsidRPr="00036F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for 30 minutes.  Dead cells were differentially labeled with Zombie </w:t>
      </w:r>
      <w:r w:rsidRPr="00036F9B">
        <w:rPr>
          <w:rFonts w:ascii="Times New Roman" w:hAnsi="Times New Roman" w:cs="Times New Roman"/>
          <w:sz w:val="24"/>
          <w:szCs w:val="24"/>
        </w:rPr>
        <w:t>Green (</w:t>
      </w:r>
      <w:proofErr w:type="spellStart"/>
      <w:r w:rsidRPr="00036F9B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Pr="00036F9B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All samples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were analyzed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X-20 and the MFI calibrated to an Alexa Fluor 647 MESF (molecules of equivalent soluble fluorochrome) standard curve (calibration beads were from Bangs Labs) and normalized to untreated stained controls (100%) and untreated isotype stained controls (0%).  </w:t>
      </w:r>
    </w:p>
    <w:p w:rsidR="008668F3" w:rsidRPr="00882CDE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CD8 </w:t>
      </w:r>
      <w:r w:rsidRPr="00882CDE">
        <w:rPr>
          <w:rFonts w:ascii="Times New Roman" w:hAnsi="Times New Roman" w:cs="Times New Roman"/>
          <w:b/>
          <w:sz w:val="24"/>
          <w:szCs w:val="24"/>
        </w:rPr>
        <w:t>Memory T cell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8668F3" w:rsidRPr="00882CDE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CD8+ T cells were purified from human PBMCs </w:t>
      </w:r>
      <w:r w:rsidRPr="00882CDE">
        <w:rPr>
          <w:rFonts w:ascii="Times New Roman" w:hAnsi="Times New Roman" w:cs="Times New Roman"/>
          <w:sz w:val="24"/>
          <w:szCs w:val="24"/>
        </w:rPr>
        <w:t>using a CD8+ T Cell isolation kit (</w:t>
      </w:r>
      <w:proofErr w:type="spellStart"/>
      <w:r w:rsidRPr="00882CDE">
        <w:rPr>
          <w:rFonts w:ascii="Times New Roman" w:hAnsi="Times New Roman" w:cs="Times New Roman"/>
          <w:sz w:val="24"/>
          <w:szCs w:val="24"/>
        </w:rPr>
        <w:t>Miltenyi</w:t>
      </w:r>
      <w:proofErr w:type="spellEnd"/>
      <w:r w:rsidRPr="0088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CDE">
        <w:rPr>
          <w:rFonts w:ascii="Times New Roman" w:hAnsi="Times New Roman" w:cs="Times New Roman"/>
          <w:sz w:val="24"/>
          <w:szCs w:val="24"/>
        </w:rPr>
        <w:t>Biotec</w:t>
      </w:r>
      <w:proofErr w:type="spellEnd"/>
      <w:r w:rsidRPr="00882C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82CDE">
        <w:rPr>
          <w:rFonts w:ascii="Times New Roman" w:hAnsi="Times New Roman" w:cs="Times New Roman"/>
          <w:sz w:val="24"/>
          <w:szCs w:val="24"/>
        </w:rPr>
        <w:t xml:space="preserve"> plated onto 96-well plates (8.5x10</w:t>
      </w:r>
      <w:r w:rsidRPr="00882C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82CDE">
        <w:rPr>
          <w:rFonts w:ascii="Times New Roman" w:hAnsi="Times New Roman" w:cs="Times New Roman"/>
          <w:sz w:val="24"/>
          <w:szCs w:val="24"/>
        </w:rPr>
        <w:t xml:space="preserve">/well) coated with anti-human CD3 antibody </w:t>
      </w:r>
      <w:r>
        <w:rPr>
          <w:rFonts w:ascii="Times New Roman" w:hAnsi="Times New Roman" w:cs="Times New Roman"/>
          <w:sz w:val="24"/>
          <w:szCs w:val="24"/>
        </w:rPr>
        <w:t>HIT3a (</w:t>
      </w:r>
      <w:r w:rsidRPr="00882CDE">
        <w:rPr>
          <w:rFonts w:ascii="Times New Roman" w:hAnsi="Times New Roman" w:cs="Times New Roman"/>
          <w:sz w:val="24"/>
          <w:szCs w:val="24"/>
        </w:rPr>
        <w:t>BD Biosciences)</w:t>
      </w:r>
      <w:r w:rsidRPr="0088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100ng/well</w:t>
      </w:r>
      <w:r w:rsidRPr="00882CDE">
        <w:rPr>
          <w:rFonts w:ascii="Times New Roman" w:hAnsi="Times New Roman" w:cs="Times New Roman"/>
          <w:sz w:val="24"/>
          <w:szCs w:val="24"/>
        </w:rPr>
        <w:t xml:space="preserve">.  Cells were treated with </w:t>
      </w:r>
      <w:r>
        <w:rPr>
          <w:rFonts w:ascii="Times New Roman" w:hAnsi="Times New Roman" w:cs="Times New Roman"/>
          <w:sz w:val="24"/>
          <w:szCs w:val="24"/>
        </w:rPr>
        <w:t>human IgG1 (50</w:t>
      </w:r>
      <w:r w:rsidRPr="00344ECD">
        <w:rPr>
          <w:rFonts w:ascii="Symbol" w:hAnsi="Symbol" w:cs="Times New Roman"/>
          <w:sz w:val="24"/>
          <w:szCs w:val="24"/>
        </w:rPr>
        <w:t></w:t>
      </w:r>
      <w:r w:rsidRPr="00882CDE">
        <w:rPr>
          <w:rFonts w:ascii="Times New Roman" w:hAnsi="Times New Roman" w:cs="Times New Roman"/>
          <w:sz w:val="24"/>
          <w:szCs w:val="24"/>
        </w:rPr>
        <w:t>g/ml</w:t>
      </w:r>
      <w:r>
        <w:rPr>
          <w:rFonts w:ascii="Times New Roman" w:hAnsi="Times New Roman" w:cs="Times New Roman"/>
          <w:sz w:val="24"/>
          <w:szCs w:val="24"/>
        </w:rPr>
        <w:t>), 7A5 (0.5-50</w:t>
      </w:r>
      <w:r w:rsidRPr="00344ECD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g/mL) or </w:t>
      </w:r>
      <w:r w:rsidRPr="00882CDE">
        <w:rPr>
          <w:rFonts w:ascii="Times New Roman" w:hAnsi="Times New Roman" w:cs="Times New Roman"/>
          <w:sz w:val="24"/>
          <w:szCs w:val="24"/>
        </w:rPr>
        <w:t>BMS20H4.</w:t>
      </w:r>
      <w:r>
        <w:rPr>
          <w:rFonts w:ascii="Times New Roman" w:hAnsi="Times New Roman" w:cs="Times New Roman"/>
          <w:sz w:val="24"/>
          <w:szCs w:val="24"/>
        </w:rPr>
        <w:t>9 (50</w:t>
      </w:r>
      <w:r w:rsidRPr="00344ECD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g/mL) antibodies.  After </w:t>
      </w:r>
      <w:r w:rsidRPr="00882CDE">
        <w:rPr>
          <w:rFonts w:ascii="Times New Roman" w:hAnsi="Times New Roman" w:cs="Times New Roman"/>
          <w:sz w:val="24"/>
          <w:szCs w:val="24"/>
        </w:rPr>
        <w:t>8 days o</w:t>
      </w:r>
      <w:r>
        <w:rPr>
          <w:rFonts w:ascii="Times New Roman" w:hAnsi="Times New Roman" w:cs="Times New Roman"/>
          <w:sz w:val="24"/>
          <w:szCs w:val="24"/>
        </w:rPr>
        <w:t xml:space="preserve">f culture, cells were </w:t>
      </w:r>
      <w:r w:rsidRPr="00882CDE">
        <w:rPr>
          <w:rFonts w:ascii="Times New Roman" w:hAnsi="Times New Roman" w:cs="Times New Roman"/>
          <w:sz w:val="24"/>
          <w:szCs w:val="24"/>
        </w:rPr>
        <w:t>stained with a panel of fluorescently labeled antibodies including</w:t>
      </w:r>
      <w:r>
        <w:rPr>
          <w:rFonts w:ascii="Times New Roman" w:hAnsi="Times New Roman" w:cs="Times New Roman"/>
          <w:sz w:val="24"/>
          <w:szCs w:val="24"/>
        </w:rPr>
        <w:t xml:space="preserve"> CD45RA PE/Cy7 (</w:t>
      </w:r>
      <w:r w:rsidRPr="00882CDE">
        <w:rPr>
          <w:rFonts w:ascii="Times New Roman" w:hAnsi="Times New Roman" w:cs="Times New Roman"/>
          <w:sz w:val="24"/>
          <w:szCs w:val="24"/>
        </w:rPr>
        <w:t xml:space="preserve">clone </w:t>
      </w:r>
      <w:r>
        <w:rPr>
          <w:rFonts w:ascii="Times New Roman" w:hAnsi="Times New Roman" w:cs="Times New Roman"/>
          <w:sz w:val="24"/>
          <w:szCs w:val="24"/>
        </w:rPr>
        <w:t xml:space="preserve">HI100, </w:t>
      </w:r>
      <w:r w:rsidRPr="00882CDE">
        <w:rPr>
          <w:rFonts w:ascii="Times New Roman" w:hAnsi="Times New Roman" w:cs="Times New Roman"/>
          <w:sz w:val="24"/>
          <w:szCs w:val="24"/>
        </w:rPr>
        <w:t>304126)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2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CCR7 BV421 (</w:t>
      </w:r>
      <w:r w:rsidRPr="00882CDE">
        <w:rPr>
          <w:rFonts w:ascii="Times New Roman" w:hAnsi="Times New Roman" w:cs="Times New Roman"/>
          <w:sz w:val="24"/>
          <w:szCs w:val="24"/>
        </w:rPr>
        <w:t xml:space="preserve">clone </w:t>
      </w:r>
      <w:r>
        <w:rPr>
          <w:rFonts w:ascii="Times New Roman" w:hAnsi="Times New Roman" w:cs="Times New Roman"/>
          <w:sz w:val="24"/>
          <w:szCs w:val="24"/>
        </w:rPr>
        <w:t xml:space="preserve">G043H7, </w:t>
      </w:r>
      <w:r w:rsidRPr="00882CDE">
        <w:rPr>
          <w:rFonts w:ascii="Times New Roman" w:hAnsi="Times New Roman" w:cs="Times New Roman"/>
          <w:sz w:val="24"/>
          <w:szCs w:val="24"/>
        </w:rPr>
        <w:t>353208), and Zombie Red fixable viability dye (</w:t>
      </w:r>
      <w:r>
        <w:rPr>
          <w:rFonts w:ascii="Times New Roman" w:hAnsi="Times New Roman" w:cs="Times New Roman"/>
          <w:sz w:val="24"/>
          <w:szCs w:val="24"/>
        </w:rPr>
        <w:t xml:space="preserve">all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BioLe</w:t>
      </w:r>
      <w:r w:rsidRPr="00882CDE">
        <w:rPr>
          <w:rFonts w:ascii="Times New Roman" w:hAnsi="Times New Roman" w:cs="Times New Roman"/>
          <w:sz w:val="24"/>
          <w:szCs w:val="24"/>
        </w:rPr>
        <w:t>gend</w:t>
      </w:r>
      <w:proofErr w:type="spellEnd"/>
      <w:r w:rsidRPr="00882CDE">
        <w:rPr>
          <w:rFonts w:ascii="Times New Roman" w:hAnsi="Times New Roman" w:cs="Times New Roman"/>
          <w:sz w:val="24"/>
          <w:szCs w:val="24"/>
        </w:rPr>
        <w:t xml:space="preserve">).  </w:t>
      </w:r>
      <w:r w:rsidRPr="00E30B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ells were acquired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X-20 and analyzed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B9D">
        <w:rPr>
          <w:rFonts w:ascii="Times New Roman" w:hAnsi="Times New Roman" w:cs="Times New Roman"/>
          <w:sz w:val="24"/>
          <w:szCs w:val="24"/>
        </w:rPr>
        <w:t xml:space="preserve">software.  Quantification of memory populations was </w:t>
      </w:r>
      <w:r>
        <w:rPr>
          <w:rFonts w:ascii="Times New Roman" w:hAnsi="Times New Roman" w:cs="Times New Roman"/>
          <w:sz w:val="24"/>
          <w:szCs w:val="24"/>
        </w:rPr>
        <w:t xml:space="preserve">evaluated as percent of viable </w:t>
      </w:r>
      <w:r w:rsidRPr="00E30B9D">
        <w:rPr>
          <w:rFonts w:ascii="Times New Roman" w:hAnsi="Times New Roman" w:cs="Times New Roman"/>
          <w:sz w:val="24"/>
          <w:szCs w:val="24"/>
        </w:rPr>
        <w:t>singl</w:t>
      </w:r>
      <w:r>
        <w:rPr>
          <w:rFonts w:ascii="Times New Roman" w:hAnsi="Times New Roman" w:cs="Times New Roman"/>
          <w:sz w:val="24"/>
          <w:szCs w:val="24"/>
        </w:rPr>
        <w:t xml:space="preserve">e cells </w:t>
      </w:r>
      <w:r w:rsidRPr="00E30B9D">
        <w:rPr>
          <w:rFonts w:ascii="Times New Roman" w:hAnsi="Times New Roman" w:cs="Times New Roman"/>
          <w:sz w:val="24"/>
          <w:szCs w:val="24"/>
        </w:rPr>
        <w:t xml:space="preserve">gated as CD45RA-CCR7+, CD45RA-CCR7-, or CD45RA+CCR7- cells.  Data was analyzed </w:t>
      </w:r>
      <w:r>
        <w:rPr>
          <w:rFonts w:ascii="Times New Roman" w:hAnsi="Times New Roman" w:cs="Times New Roman"/>
          <w:sz w:val="24"/>
          <w:szCs w:val="24"/>
        </w:rPr>
        <w:t xml:space="preserve">using GraphPad Prism software, and one-way ANOVA.  </w:t>
      </w:r>
      <w:r w:rsidRPr="00E30B9D">
        <w:rPr>
          <w:rFonts w:ascii="Times New Roman" w:hAnsi="Times New Roman" w:cs="Times New Roman"/>
          <w:sz w:val="24"/>
          <w:szCs w:val="24"/>
        </w:rPr>
        <w:t>Each condition was tested and analyzed in triplicate.</w:t>
      </w:r>
    </w:p>
    <w:p w:rsidR="008668F3" w:rsidRPr="002344EE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44EE">
        <w:rPr>
          <w:rFonts w:ascii="Times New Roman" w:hAnsi="Times New Roman" w:cs="Times New Roman"/>
          <w:b/>
          <w:sz w:val="24"/>
          <w:szCs w:val="24"/>
        </w:rPr>
        <w:t>In vivo efficacy studies</w:t>
      </w:r>
    </w:p>
    <w:p w:rsidR="008668F3" w:rsidRPr="00A27762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25BA">
        <w:rPr>
          <w:rFonts w:ascii="Times New Roman" w:hAnsi="Times New Roman" w:cs="Times New Roman"/>
          <w:sz w:val="24"/>
          <w:szCs w:val="24"/>
        </w:rPr>
        <w:t>The %T/C was calculated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BA">
        <w:rPr>
          <w:rFonts w:ascii="Times New Roman" w:hAnsi="Times New Roman" w:cs="Times New Roman"/>
          <w:sz w:val="24"/>
          <w:szCs w:val="24"/>
        </w:rPr>
        <w:t xml:space="preserve">by the formula 100 </w:t>
      </w:r>
      <w:r w:rsidRPr="00FB25BA">
        <w:rPr>
          <w:rFonts w:ascii="Symbol" w:hAnsi="Symbol" w:cs="Times New Roman"/>
          <w:sz w:val="24"/>
          <w:szCs w:val="24"/>
        </w:rPr>
        <w:t></w:t>
      </w:r>
      <w:r w:rsidRPr="00FB25BA">
        <w:rPr>
          <w:rFonts w:ascii="Times New Roman" w:hAnsi="Times New Roman" w:cs="Times New Roman"/>
          <w:sz w:val="24"/>
          <w:szCs w:val="24"/>
        </w:rPr>
        <w:t xml:space="preserve"> </w:t>
      </w:r>
      <w:r w:rsidRPr="00FB25BA">
        <w:rPr>
          <w:rFonts w:ascii="Symbol" w:hAnsi="Symbol" w:cs="Times New Roman"/>
          <w:sz w:val="24"/>
          <w:szCs w:val="24"/>
        </w:rPr>
        <w:t></w:t>
      </w:r>
      <w:r w:rsidRPr="00FB25BA">
        <w:rPr>
          <w:rFonts w:ascii="Times New Roman" w:hAnsi="Times New Roman" w:cs="Times New Roman"/>
          <w:sz w:val="24"/>
          <w:szCs w:val="24"/>
        </w:rPr>
        <w:t xml:space="preserve">T / </w:t>
      </w:r>
      <w:r w:rsidRPr="00FB25BA">
        <w:rPr>
          <w:rFonts w:ascii="Symbol" w:hAnsi="Symbol" w:cs="Times New Roman"/>
          <w:sz w:val="24"/>
          <w:szCs w:val="24"/>
        </w:rPr>
        <w:t></w:t>
      </w:r>
      <w:r w:rsidRPr="00FB25BA">
        <w:rPr>
          <w:rFonts w:ascii="Times New Roman" w:hAnsi="Times New Roman" w:cs="Times New Roman"/>
          <w:sz w:val="24"/>
          <w:szCs w:val="24"/>
        </w:rPr>
        <w:t xml:space="preserve">C if </w:t>
      </w:r>
      <w:r w:rsidRPr="00FB25BA">
        <w:rPr>
          <w:rFonts w:ascii="Symbol" w:hAnsi="Symbol" w:cs="Times New Roman"/>
          <w:sz w:val="24"/>
          <w:szCs w:val="24"/>
        </w:rPr>
        <w:t></w:t>
      </w:r>
      <w:r w:rsidRPr="00FB25BA">
        <w:rPr>
          <w:rFonts w:ascii="Times New Roman" w:hAnsi="Times New Roman" w:cs="Times New Roman"/>
          <w:sz w:val="24"/>
          <w:szCs w:val="24"/>
        </w:rPr>
        <w:t>T &gt; 0</w:t>
      </w:r>
      <w:r>
        <w:rPr>
          <w:rFonts w:ascii="Times New Roman" w:hAnsi="Times New Roman" w:cs="Times New Roman"/>
          <w:sz w:val="24"/>
          <w:szCs w:val="24"/>
        </w:rPr>
        <w:t xml:space="preserve"> of the geometric mean values.  </w:t>
      </w:r>
      <w:r w:rsidRPr="00FB25BA">
        <w:rPr>
          <w:rFonts w:ascii="Symbol" w:hAnsi="Symbol" w:cs="Times New Roman"/>
          <w:sz w:val="24"/>
          <w:szCs w:val="24"/>
        </w:rPr>
        <w:t></w:t>
      </w:r>
      <w:r w:rsidRPr="00FB25BA">
        <w:rPr>
          <w:rFonts w:ascii="Times New Roman" w:hAnsi="Times New Roman" w:cs="Times New Roman"/>
          <w:sz w:val="24"/>
          <w:szCs w:val="24"/>
        </w:rPr>
        <w:t>T = mean tumor volume of the drug-treated group on the observation day of the study – mean tumor volume of the drug-treated g</w:t>
      </w:r>
      <w:r>
        <w:rPr>
          <w:rFonts w:ascii="Times New Roman" w:hAnsi="Times New Roman" w:cs="Times New Roman"/>
          <w:sz w:val="24"/>
          <w:szCs w:val="24"/>
        </w:rPr>
        <w:t xml:space="preserve">roup on initial day of dosing; </w:t>
      </w:r>
      <w:r w:rsidRPr="00FB25BA">
        <w:rPr>
          <w:rFonts w:ascii="Symbol" w:hAnsi="Symbol" w:cs="Times New Roman"/>
          <w:sz w:val="24"/>
          <w:szCs w:val="24"/>
        </w:rPr>
        <w:t></w:t>
      </w:r>
      <w:r w:rsidRPr="00FB25BA">
        <w:rPr>
          <w:rFonts w:ascii="Times New Roman" w:hAnsi="Times New Roman" w:cs="Times New Roman"/>
          <w:sz w:val="24"/>
          <w:szCs w:val="24"/>
        </w:rPr>
        <w:t xml:space="preserve">C = mean tumor volume of the control group on the observation day of the study – mean tumor volume of the control group on initial day of dosing.  Additionally, Regression was calculated using the formula = 100 x ∆T / </w:t>
      </w:r>
      <w:proofErr w:type="spellStart"/>
      <w:r w:rsidRPr="00FB25BA">
        <w:rPr>
          <w:rFonts w:ascii="Times New Roman" w:hAnsi="Times New Roman" w:cs="Times New Roman"/>
          <w:sz w:val="24"/>
          <w:szCs w:val="24"/>
        </w:rPr>
        <w:t>T</w:t>
      </w:r>
      <w:r w:rsidRPr="00FB25BA">
        <w:rPr>
          <w:rFonts w:ascii="Times New Roman" w:hAnsi="Times New Roman" w:cs="Times New Roman"/>
          <w:sz w:val="24"/>
          <w:szCs w:val="24"/>
          <w:vertAlign w:val="subscript"/>
        </w:rPr>
        <w:t>initial</w:t>
      </w:r>
      <w:proofErr w:type="spellEnd"/>
      <w:r w:rsidRPr="00FB25BA">
        <w:rPr>
          <w:rFonts w:ascii="Times New Roman" w:hAnsi="Times New Roman" w:cs="Times New Roman"/>
          <w:sz w:val="24"/>
          <w:szCs w:val="24"/>
        </w:rPr>
        <w:t xml:space="preserve">, if </w:t>
      </w:r>
      <w:r w:rsidRPr="00FB25BA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 xml:space="preserve"> &lt; 0.</w:t>
      </w:r>
      <w:r w:rsidR="004E6CC8">
        <w:rPr>
          <w:rFonts w:ascii="Times New Roman" w:hAnsi="Times New Roman" w:cs="Times New Roman"/>
          <w:sz w:val="24"/>
          <w:szCs w:val="24"/>
        </w:rPr>
        <w:t xml:space="preserve">  The % change in body weight (BW) was calculated by the formula (BW on observation day - BW on initial day) / BW initial day x 100%.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8F3" w:rsidRPr="00882CDE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CD3 T cell immunohistochemistry</w:t>
      </w:r>
    </w:p>
    <w:p w:rsidR="008668F3" w:rsidRPr="00344ECD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L55 NSCLC cells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(University of Pennsylvania) were injected subcutaneously into NSG mice (</w:t>
      </w:r>
      <w:r>
        <w:rPr>
          <w:rFonts w:ascii="Times New Roman" w:eastAsia="Times New Roman" w:hAnsi="Times New Roman" w:cs="Times New Roman"/>
          <w:sz w:val="24"/>
          <w:szCs w:val="24"/>
        </w:rPr>
        <w:t>5x10</w:t>
      </w:r>
      <w:r w:rsidRPr="00251E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cells).  When tumor xenografts were established (day 37), mice were randomized into groups and human PBMCs injected (</w:t>
      </w:r>
      <w:r>
        <w:rPr>
          <w:rFonts w:ascii="Times New Roman" w:eastAsia="Times New Roman" w:hAnsi="Times New Roman" w:cs="Times New Roman"/>
          <w:sz w:val="24"/>
          <w:szCs w:val="24"/>
        </w:rPr>
        <w:t>8x10</w:t>
      </w:r>
      <w:r w:rsidRPr="00251E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cells).  Human IgG1 and 7A5 antibody were dosed at 10mg/kg IP weekly for 4 weeks.  Tumors were collected at end of study in formalin, processed into paraffin, sectioned and stained for CD3+ T cells.  Images were acquired at 200x magnification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XT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semiquantitatively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analyzed by pathologist.  The percentage CD3+ T cell infiltrates per 20x field was scored: no T cells (-), 10-20 cells (+), 30-70 cells (++), &gt;100 cells (+++). </w:t>
      </w:r>
    </w:p>
    <w:p w:rsidR="008668F3" w:rsidRPr="00E30B9D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Mechanism of action study in NCI-H292 human tumor xenograft mouse model</w:t>
      </w:r>
    </w:p>
    <w:p w:rsidR="008668F3" w:rsidRDefault="008668F3" w:rsidP="008668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47E7">
        <w:rPr>
          <w:rFonts w:ascii="Times New Roman" w:hAnsi="Times New Roman" w:cs="Times New Roman"/>
          <w:sz w:val="24"/>
          <w:szCs w:val="24"/>
        </w:rPr>
        <w:t>NSG mice were injected subcutaneously on the right flank with 0.2 ml mixture of 2x10</w:t>
      </w:r>
      <w:r w:rsidRPr="001747E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747E7">
        <w:rPr>
          <w:rFonts w:ascii="Times New Roman" w:hAnsi="Times New Roman" w:cs="Times New Roman"/>
          <w:sz w:val="24"/>
          <w:szCs w:val="24"/>
        </w:rPr>
        <w:t xml:space="preserve"> NCI-H292 cells and 0.5x10</w:t>
      </w:r>
      <w:r w:rsidRPr="001747E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747E7">
        <w:rPr>
          <w:rFonts w:ascii="Times New Roman" w:hAnsi="Times New Roman" w:cs="Times New Roman"/>
          <w:sz w:val="24"/>
          <w:szCs w:val="24"/>
        </w:rPr>
        <w:t xml:space="preserve"> PBMCs.  Mice implanted with NCI-H292 cells only </w:t>
      </w:r>
      <w:r>
        <w:rPr>
          <w:rFonts w:ascii="Times New Roman" w:hAnsi="Times New Roman" w:cs="Times New Roman"/>
          <w:sz w:val="24"/>
          <w:szCs w:val="24"/>
        </w:rPr>
        <w:t xml:space="preserve">served as a control group </w:t>
      </w:r>
      <w:r w:rsidRPr="001747E7">
        <w:rPr>
          <w:rFonts w:ascii="Times New Roman" w:hAnsi="Times New Roman" w:cs="Times New Roman"/>
          <w:sz w:val="24"/>
          <w:szCs w:val="24"/>
        </w:rPr>
        <w:t xml:space="preserve">and received human IgG1 antibody, while mice injected with the mixture of NCI-H292 and PBMCs were randomly assigned to antibody treatment groups (n=5/group) receiving human IgG1, 7A5 or </w:t>
      </w:r>
      <w:r>
        <w:rPr>
          <w:rFonts w:ascii="Times New Roman" w:hAnsi="Times New Roman" w:cs="Times New Roman"/>
          <w:sz w:val="24"/>
          <w:szCs w:val="24"/>
        </w:rPr>
        <w:t xml:space="preserve">anti-PD-L1 antibody </w:t>
      </w:r>
      <w:r w:rsidRPr="001747E7">
        <w:rPr>
          <w:rFonts w:ascii="Times New Roman" w:hAnsi="Times New Roman" w:cs="Times New Roman"/>
          <w:sz w:val="24"/>
          <w:szCs w:val="24"/>
        </w:rPr>
        <w:t>LY3300054.  Antibodies were dosed at 10mg/kg (except LY3300054 at 1mg/kg) and giv</w:t>
      </w:r>
      <w:r>
        <w:rPr>
          <w:rFonts w:ascii="Times New Roman" w:hAnsi="Times New Roman" w:cs="Times New Roman"/>
          <w:sz w:val="24"/>
          <w:szCs w:val="24"/>
        </w:rPr>
        <w:t>en on day 0 or 1, 7 and 14 by IP</w:t>
      </w:r>
      <w:r w:rsidRPr="001747E7">
        <w:rPr>
          <w:rFonts w:ascii="Times New Roman" w:hAnsi="Times New Roman" w:cs="Times New Roman"/>
          <w:sz w:val="24"/>
          <w:szCs w:val="24"/>
        </w:rPr>
        <w:t xml:space="preserve"> administration.  Tumors were collected on day 15 and snap frozen in liquid N</w:t>
      </w:r>
      <w:r w:rsidRPr="001747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47E7">
        <w:rPr>
          <w:rFonts w:ascii="Times New Roman" w:hAnsi="Times New Roman" w:cs="Times New Roman"/>
          <w:sz w:val="24"/>
          <w:szCs w:val="24"/>
        </w:rPr>
        <w:t>.</w:t>
      </w:r>
    </w:p>
    <w:p w:rsidR="008668F3" w:rsidRPr="004314CE" w:rsidRDefault="008668F3" w:rsidP="00866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Quantigene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Plex gene expression a</w:t>
      </w:r>
      <w:r w:rsidRPr="004314CE">
        <w:rPr>
          <w:rFonts w:ascii="Times New Roman" w:hAnsi="Times New Roman" w:cs="Times New Roman"/>
          <w:b/>
          <w:sz w:val="24"/>
          <w:szCs w:val="24"/>
        </w:rPr>
        <w:t>ssay</w:t>
      </w: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7C7A">
        <w:rPr>
          <w:rFonts w:ascii="Times New Roman" w:hAnsi="Times New Roman" w:cs="Times New Roman"/>
          <w:sz w:val="24"/>
          <w:szCs w:val="24"/>
        </w:rPr>
        <w:t>List of targets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14CE">
        <w:rPr>
          <w:rFonts w:ascii="Times New Roman" w:hAnsi="Times New Roman" w:cs="Times New Roman"/>
          <w:i/>
          <w:sz w:val="24"/>
          <w:szCs w:val="24"/>
        </w:rPr>
        <w:t xml:space="preserve">ARG1, C10ORF54, CCL2, CCL22, CCL3, CCL4, CCL5, CCR6, CD14, CD19, CD200R1, CD226, CD27, CD274, CD28, CD3E, CD4, CD40LG, CD68, CD8b, CSF1, CSF2, CTLA4, CXCL10, CXCL9, DPP4, EOMES, FAS, FOXP3, GATA3, GUSB, GZMB, HAVCR2, HLA-DRA, HPRT1, ICAM1, ICOS, IDO1, IFNA2, IFNB1, IFNG, IL10, IL15, IL17A, IL1B, IL2, IL21, IL23A, IL2RA, IL3RA, IL6, IL7, IL7R, IL8, ITGAL, ITGAM, ITGAX, LAG3, NCAM1, </w:t>
      </w:r>
      <w:r w:rsidRPr="004314CE">
        <w:rPr>
          <w:rFonts w:ascii="Times New Roman" w:hAnsi="Times New Roman" w:cs="Times New Roman"/>
          <w:i/>
          <w:sz w:val="24"/>
          <w:szCs w:val="24"/>
        </w:rPr>
        <w:lastRenderedPageBreak/>
        <w:t>NOS2, PAF1, PDCD1, PDCD1LG2, PPIB, PRF1, PTPRC, RORC, RPS18, TBX21, TDO2, TGFB1, TGFB2, TGFB3, TIGIT, TNF, TNFRSF18, TNFRSF4, TNFRSF9, TNFSF18, TNFSF9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668F3" w:rsidRPr="00F263B3" w:rsidSect="009A68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56" w:rsidRDefault="00225356" w:rsidP="008C0A54">
      <w:pPr>
        <w:spacing w:after="0" w:line="240" w:lineRule="auto"/>
      </w:pPr>
      <w:r>
        <w:separator/>
      </w:r>
    </w:p>
  </w:endnote>
  <w:endnote w:type="continuationSeparator" w:id="0">
    <w:p w:rsidR="00225356" w:rsidRDefault="00225356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56" w:rsidRDefault="00225356" w:rsidP="008C0A54">
      <w:pPr>
        <w:spacing w:after="0" w:line="240" w:lineRule="auto"/>
      </w:pPr>
      <w:r>
        <w:separator/>
      </w:r>
    </w:p>
  </w:footnote>
  <w:footnote w:type="continuationSeparator" w:id="0">
    <w:p w:rsidR="00225356" w:rsidRDefault="00225356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958E8"/>
    <w:rsid w:val="000A04CE"/>
    <w:rsid w:val="000A1ABA"/>
    <w:rsid w:val="000A3BF3"/>
    <w:rsid w:val="000D02A8"/>
    <w:rsid w:val="000D15BD"/>
    <w:rsid w:val="001136B8"/>
    <w:rsid w:val="00144179"/>
    <w:rsid w:val="001820FB"/>
    <w:rsid w:val="001A35E1"/>
    <w:rsid w:val="001B2A21"/>
    <w:rsid w:val="001C0737"/>
    <w:rsid w:val="001E2DFE"/>
    <w:rsid w:val="001E3F4C"/>
    <w:rsid w:val="001E6F38"/>
    <w:rsid w:val="00200249"/>
    <w:rsid w:val="00212B42"/>
    <w:rsid w:val="00225356"/>
    <w:rsid w:val="00231826"/>
    <w:rsid w:val="002523BA"/>
    <w:rsid w:val="00255EFD"/>
    <w:rsid w:val="002635C2"/>
    <w:rsid w:val="00270CC0"/>
    <w:rsid w:val="002A1EB8"/>
    <w:rsid w:val="002B34D0"/>
    <w:rsid w:val="002E0CB2"/>
    <w:rsid w:val="002E2E89"/>
    <w:rsid w:val="002E353F"/>
    <w:rsid w:val="003179C9"/>
    <w:rsid w:val="00333824"/>
    <w:rsid w:val="00344889"/>
    <w:rsid w:val="00350195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970E1"/>
    <w:rsid w:val="004A5333"/>
    <w:rsid w:val="004B0BC5"/>
    <w:rsid w:val="004C35F0"/>
    <w:rsid w:val="004E3333"/>
    <w:rsid w:val="004E6CC8"/>
    <w:rsid w:val="004F40C3"/>
    <w:rsid w:val="004F4B3B"/>
    <w:rsid w:val="004F5381"/>
    <w:rsid w:val="0051624C"/>
    <w:rsid w:val="005164CC"/>
    <w:rsid w:val="005213F5"/>
    <w:rsid w:val="005552C3"/>
    <w:rsid w:val="0057494B"/>
    <w:rsid w:val="005776AC"/>
    <w:rsid w:val="00586187"/>
    <w:rsid w:val="00594B8D"/>
    <w:rsid w:val="005A0DB3"/>
    <w:rsid w:val="005C769C"/>
    <w:rsid w:val="005F5927"/>
    <w:rsid w:val="005F6288"/>
    <w:rsid w:val="005F6C51"/>
    <w:rsid w:val="00601226"/>
    <w:rsid w:val="00607DDB"/>
    <w:rsid w:val="00623E2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6E240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75A15"/>
    <w:rsid w:val="009A03B0"/>
    <w:rsid w:val="009A4C3F"/>
    <w:rsid w:val="009A689D"/>
    <w:rsid w:val="009A7B44"/>
    <w:rsid w:val="009B2AF3"/>
    <w:rsid w:val="009B5B42"/>
    <w:rsid w:val="009C23C8"/>
    <w:rsid w:val="009D1D30"/>
    <w:rsid w:val="009E5D53"/>
    <w:rsid w:val="00A17429"/>
    <w:rsid w:val="00A2651B"/>
    <w:rsid w:val="00A55E7D"/>
    <w:rsid w:val="00A625E6"/>
    <w:rsid w:val="00A70F97"/>
    <w:rsid w:val="00A74712"/>
    <w:rsid w:val="00A80E40"/>
    <w:rsid w:val="00A821C8"/>
    <w:rsid w:val="00AD3F5B"/>
    <w:rsid w:val="00AF2C64"/>
    <w:rsid w:val="00AF3ECC"/>
    <w:rsid w:val="00B260ED"/>
    <w:rsid w:val="00B415C7"/>
    <w:rsid w:val="00B451D5"/>
    <w:rsid w:val="00B53CF4"/>
    <w:rsid w:val="00B668BE"/>
    <w:rsid w:val="00B758CE"/>
    <w:rsid w:val="00B82B2A"/>
    <w:rsid w:val="00B8399C"/>
    <w:rsid w:val="00B93216"/>
    <w:rsid w:val="00BA424C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56529"/>
    <w:rsid w:val="00D61DF1"/>
    <w:rsid w:val="00D853B6"/>
    <w:rsid w:val="00DB6F9D"/>
    <w:rsid w:val="00DD0488"/>
    <w:rsid w:val="00E07B01"/>
    <w:rsid w:val="00E179CA"/>
    <w:rsid w:val="00E231BD"/>
    <w:rsid w:val="00E4234B"/>
    <w:rsid w:val="00E4767F"/>
    <w:rsid w:val="00E5001B"/>
    <w:rsid w:val="00E509FE"/>
    <w:rsid w:val="00EB5435"/>
    <w:rsid w:val="00EC0614"/>
    <w:rsid w:val="00EC0EFD"/>
    <w:rsid w:val="00F124E4"/>
    <w:rsid w:val="00F1790C"/>
    <w:rsid w:val="00F17BCB"/>
    <w:rsid w:val="00F263B3"/>
    <w:rsid w:val="00F30459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8F0C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3</cp:revision>
  <dcterms:created xsi:type="dcterms:W3CDTF">2020-01-23T02:35:00Z</dcterms:created>
  <dcterms:modified xsi:type="dcterms:W3CDTF">2020-01-23T02:39:00Z</dcterms:modified>
</cp:coreProperties>
</file>