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E132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Figure S1. Comparative potency of tucatinib, neratinib, and lapatinib in cellular HER2 and EGFR phosphorylation assays</w:t>
      </w:r>
    </w:p>
    <w:p w14:paraId="670F191F" w14:textId="2E391B54" w:rsidR="00E3526E" w:rsidRDefault="00E3526E" w:rsidP="00E3526E">
      <w:pPr>
        <w:pStyle w:val="Normal0"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Inhibition of HER2 and EGFR phosphorylation by tucatinib, neratinib, or lapatinib in tumor-derived cell lines.</w:t>
      </w:r>
      <w:r>
        <w:t xml:space="preserve"> </w:t>
      </w:r>
      <w:r>
        <w:rPr>
          <w:rFonts w:asciiTheme="minorHAnsi" w:hAnsiTheme="minorHAnsi" w:cstheme="minorHAnsi"/>
        </w:rPr>
        <w:t>BT-474, A431, and NCI-N87 cells were treated with tucatinib, neratinib, or lapatinib using an 11-point titration. Samples were analyzed by ELISA using a protein or phospho-specific protein (anti-HER2, anti–phospho-HER2, anti-EGFR, anti–phospho-EGFR). Results are expressed as total phosphoprotein signal normalized to total protein</w:t>
      </w:r>
      <w:r w:rsidR="003B5C0B">
        <w:rPr>
          <w:rFonts w:asciiTheme="minorHAnsi" w:hAnsiTheme="minorHAnsi" w:cstheme="minorHAnsi"/>
        </w:rPr>
        <w:t xml:space="preserve"> </w:t>
      </w:r>
      <w:r w:rsidR="003B5C0B" w:rsidRPr="003544E8">
        <w:rPr>
          <w:rFonts w:asciiTheme="minorHAnsi" w:hAnsiTheme="minorHAnsi" w:cstheme="minorHAnsi"/>
        </w:rPr>
        <w:t>±</w:t>
      </w:r>
      <w:r w:rsidR="003B5C0B">
        <w:rPr>
          <w:rFonts w:asciiTheme="minorHAnsi" w:hAnsiTheme="minorHAnsi" w:cstheme="minorHAnsi"/>
        </w:rPr>
        <w:t xml:space="preserve"> SD</w:t>
      </w:r>
      <w:r w:rsidR="003B5C0B">
        <w:rPr>
          <w:rFonts w:asciiTheme="minorHAnsi" w:hAnsiTheme="minorHAnsi" w:cstheme="minorHAnsi"/>
        </w:rPr>
        <w:t>.</w:t>
      </w:r>
    </w:p>
    <w:p w14:paraId="4943B1EC" w14:textId="3355FCF8" w:rsidR="00E3526E" w:rsidRDefault="004B4E2A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4D6775C" wp14:editId="3BF5B665">
            <wp:extent cx="6457422" cy="40671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70" cy="40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87A5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</w:rPr>
      </w:pPr>
    </w:p>
    <w:p w14:paraId="3319A7C6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</w:p>
    <w:p w14:paraId="7A4620CE" w14:textId="77777777" w:rsidR="00E3526E" w:rsidRDefault="00E3526E" w:rsidP="00E352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6F6582C8" w14:textId="77777777" w:rsidR="00E3526E" w:rsidRPr="00E3526E" w:rsidRDefault="00E3526E" w:rsidP="00BC50F6">
      <w:pPr>
        <w:spacing w:line="480" w:lineRule="auto"/>
        <w:rPr>
          <w:rFonts w:cstheme="minorHAnsi"/>
          <w:b/>
          <w:sz w:val="24"/>
          <w:szCs w:val="24"/>
        </w:rPr>
      </w:pPr>
      <w:r w:rsidRPr="00E3526E">
        <w:rPr>
          <w:rFonts w:cstheme="minorHAnsi"/>
          <w:b/>
          <w:sz w:val="24"/>
          <w:szCs w:val="24"/>
        </w:rPr>
        <w:lastRenderedPageBreak/>
        <w:t xml:space="preserve">Supplementary Figure S2. Effect of tucatinib, trastuzumab, or combination treatment on mouse body weight in HER2+ PDX models </w:t>
      </w:r>
    </w:p>
    <w:p w14:paraId="3F893C34" w14:textId="3FA65521" w:rsidR="00E3526E" w:rsidRPr="00E3526E" w:rsidRDefault="00E3526E" w:rsidP="00BC50F6">
      <w:pPr>
        <w:pStyle w:val="Normal0"/>
        <w:spacing w:line="480" w:lineRule="auto"/>
        <w:jc w:val="both"/>
        <w:rPr>
          <w:rFonts w:asciiTheme="minorHAnsi" w:hAnsiTheme="minorHAnsi" w:cstheme="minorHAnsi"/>
        </w:rPr>
      </w:pPr>
      <w:r w:rsidRPr="00E3526E">
        <w:rPr>
          <w:rFonts w:asciiTheme="minorHAnsi" w:hAnsiTheme="minorHAnsi" w:cstheme="minorHAnsi"/>
        </w:rPr>
        <w:t>Percent body weight change in mice treated with vehicle, 50 mg/kg BID tucatinib, 20 mg</w:t>
      </w:r>
      <w:r w:rsidR="00D83872">
        <w:rPr>
          <w:rFonts w:asciiTheme="minorHAnsi" w:hAnsiTheme="minorHAnsi" w:cstheme="minorHAnsi"/>
        </w:rPr>
        <w:t>/</w:t>
      </w:r>
      <w:r w:rsidRPr="00E3526E">
        <w:rPr>
          <w:rFonts w:asciiTheme="minorHAnsi" w:hAnsiTheme="minorHAnsi" w:cstheme="minorHAnsi"/>
        </w:rPr>
        <w:t>kg</w:t>
      </w:r>
      <w:r w:rsidR="00D83872">
        <w:rPr>
          <w:rFonts w:asciiTheme="minorHAnsi" w:hAnsiTheme="minorHAnsi" w:cstheme="minorHAnsi"/>
        </w:rPr>
        <w:t xml:space="preserve"> </w:t>
      </w:r>
      <w:r w:rsidRPr="00E3526E">
        <w:rPr>
          <w:rFonts w:asciiTheme="minorHAnsi" w:hAnsiTheme="minorHAnsi" w:cstheme="minorHAnsi"/>
        </w:rPr>
        <w:t>QW trastuzumab or the combination of tucatinib + trastuzumab.</w:t>
      </w:r>
      <w:r w:rsidR="003B5C0B">
        <w:rPr>
          <w:rFonts w:asciiTheme="minorHAnsi" w:hAnsiTheme="minorHAnsi" w:cstheme="minorHAnsi"/>
        </w:rPr>
        <w:t xml:space="preserve"> Error bars represent </w:t>
      </w:r>
      <w:r w:rsidR="003B5C0B" w:rsidRPr="003544E8">
        <w:rPr>
          <w:rFonts w:asciiTheme="minorHAnsi" w:hAnsiTheme="minorHAnsi" w:cstheme="minorHAnsi"/>
        </w:rPr>
        <w:t>±</w:t>
      </w:r>
      <w:r w:rsidR="003B5C0B">
        <w:rPr>
          <w:rFonts w:asciiTheme="minorHAnsi" w:hAnsiTheme="minorHAnsi" w:cstheme="minorHAnsi"/>
        </w:rPr>
        <w:t xml:space="preserve"> </w:t>
      </w:r>
      <w:r w:rsidR="003B5C0B">
        <w:rPr>
          <w:rFonts w:asciiTheme="minorHAnsi" w:hAnsiTheme="minorHAnsi" w:cstheme="minorHAnsi"/>
        </w:rPr>
        <w:t>SEM.</w:t>
      </w:r>
    </w:p>
    <w:p w14:paraId="18502229" w14:textId="39205913" w:rsidR="00E3526E" w:rsidRDefault="004B4E2A" w:rsidP="00E352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</w:rPr>
        <w:drawing>
          <wp:inline distT="0" distB="0" distL="0" distR="0" wp14:anchorId="2906130F" wp14:editId="4D78F321">
            <wp:extent cx="5962650" cy="653698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14" cy="65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26E">
        <w:rPr>
          <w:rFonts w:cstheme="minorHAnsi"/>
          <w:b/>
        </w:rPr>
        <w:br w:type="page"/>
      </w:r>
    </w:p>
    <w:p w14:paraId="5B08382F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Supplementary Table S1. Tucatinib activity correlates with HER2 surface receptor density</w:t>
      </w:r>
    </w:p>
    <w:tbl>
      <w:tblPr>
        <w:tblStyle w:val="TableSeaGe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34"/>
        <w:gridCol w:w="1832"/>
        <w:gridCol w:w="1906"/>
        <w:gridCol w:w="1972"/>
      </w:tblGrid>
      <w:tr w:rsidR="00E3526E" w14:paraId="02D6A034" w14:textId="77777777" w:rsidTr="00AF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6" w:type="dxa"/>
          </w:tcPr>
          <w:p w14:paraId="65603C76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Cell line</w:t>
            </w:r>
          </w:p>
        </w:tc>
        <w:tc>
          <w:tcPr>
            <w:tcW w:w="1634" w:type="dxa"/>
          </w:tcPr>
          <w:p w14:paraId="37FC6F75" w14:textId="77777777" w:rsidR="00E3526E" w:rsidRPr="00E3526E" w:rsidRDefault="00E3526E" w:rsidP="00AF0E44">
            <w:pPr>
              <w:pStyle w:val="TableLef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HER2 status</w:t>
            </w:r>
          </w:p>
        </w:tc>
        <w:tc>
          <w:tcPr>
            <w:tcW w:w="1832" w:type="dxa"/>
          </w:tcPr>
          <w:p w14:paraId="6A4CA741" w14:textId="77777777" w:rsidR="00E3526E" w:rsidRPr="00E3526E" w:rsidRDefault="00E3526E" w:rsidP="00AF0E44">
            <w:pPr>
              <w:pStyle w:val="TableLef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HER2 expression</w:t>
            </w:r>
          </w:p>
        </w:tc>
        <w:tc>
          <w:tcPr>
            <w:tcW w:w="1906" w:type="dxa"/>
          </w:tcPr>
          <w:p w14:paraId="19B95AF5" w14:textId="77777777" w:rsidR="00E3526E" w:rsidRPr="00E3526E" w:rsidRDefault="00E3526E" w:rsidP="00AF0E44">
            <w:pPr>
              <w:pStyle w:val="TableLef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 xml:space="preserve">Tucatinib potency </w:t>
            </w:r>
            <w:r w:rsidRPr="00E3526E">
              <w:rPr>
                <w:rFonts w:asciiTheme="minorHAnsi" w:hAnsiTheme="minorHAnsi" w:cstheme="minorHAnsi"/>
                <w:b/>
              </w:rPr>
              <w:br/>
              <w:t>(EC</w:t>
            </w:r>
            <w:r w:rsidRPr="00E3526E">
              <w:rPr>
                <w:rFonts w:asciiTheme="minorHAnsi" w:hAnsiTheme="minorHAnsi" w:cstheme="minorHAnsi"/>
                <w:b/>
                <w:vertAlign w:val="subscript"/>
              </w:rPr>
              <w:t>50</w:t>
            </w:r>
            <w:r w:rsidRPr="00E3526E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E3526E">
              <w:rPr>
                <w:rFonts w:asciiTheme="minorHAnsi" w:hAnsiTheme="minorHAnsi" w:cstheme="minorHAnsi"/>
                <w:b/>
              </w:rPr>
              <w:t>nM</w:t>
            </w:r>
            <w:proofErr w:type="spellEnd"/>
            <w:r w:rsidRPr="00E3526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72" w:type="dxa"/>
          </w:tcPr>
          <w:p w14:paraId="76E32385" w14:textId="77777777" w:rsidR="00E3526E" w:rsidRPr="00E3526E" w:rsidRDefault="00E3526E" w:rsidP="00AF0E44">
            <w:pPr>
              <w:pStyle w:val="TableLef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T-DM1 potency</w:t>
            </w:r>
            <w:r w:rsidRPr="00E3526E">
              <w:rPr>
                <w:rFonts w:asciiTheme="minorHAnsi" w:hAnsiTheme="minorHAnsi" w:cstheme="minorHAnsi"/>
                <w:b/>
              </w:rPr>
              <w:br/>
              <w:t>(EC</w:t>
            </w:r>
            <w:r w:rsidRPr="00E3526E">
              <w:rPr>
                <w:rFonts w:asciiTheme="minorHAnsi" w:hAnsiTheme="minorHAnsi" w:cstheme="minorHAnsi"/>
                <w:b/>
                <w:vertAlign w:val="subscript"/>
              </w:rPr>
              <w:t>50</w:t>
            </w:r>
            <w:r w:rsidRPr="00E3526E">
              <w:rPr>
                <w:rFonts w:asciiTheme="minorHAnsi" w:hAnsiTheme="minorHAnsi" w:cstheme="minorHAnsi"/>
                <w:b/>
              </w:rPr>
              <w:t xml:space="preserve"> in ng/mL)</w:t>
            </w:r>
          </w:p>
        </w:tc>
      </w:tr>
      <w:tr w:rsidR="00E3526E" w14:paraId="286D75B9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ECC9A2B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HCC-1419</w:t>
            </w:r>
          </w:p>
        </w:tc>
        <w:tc>
          <w:tcPr>
            <w:tcW w:w="1634" w:type="dxa"/>
            <w:vAlign w:val="center"/>
          </w:tcPr>
          <w:p w14:paraId="0A43551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542337E1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1,515,661</w:t>
            </w:r>
          </w:p>
        </w:tc>
        <w:tc>
          <w:tcPr>
            <w:tcW w:w="1906" w:type="dxa"/>
            <w:vAlign w:val="center"/>
          </w:tcPr>
          <w:p w14:paraId="6623903F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972" w:type="dxa"/>
            <w:vAlign w:val="center"/>
          </w:tcPr>
          <w:p w14:paraId="7D61B51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704</w:t>
            </w:r>
          </w:p>
        </w:tc>
      </w:tr>
      <w:tr w:rsidR="00E3526E" w14:paraId="2F0B8F69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A49F494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SK-BR-3</w:t>
            </w:r>
          </w:p>
        </w:tc>
        <w:tc>
          <w:tcPr>
            <w:tcW w:w="1634" w:type="dxa"/>
            <w:vAlign w:val="center"/>
          </w:tcPr>
          <w:p w14:paraId="5238985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60396C3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1,384,157</w:t>
            </w:r>
          </w:p>
        </w:tc>
        <w:tc>
          <w:tcPr>
            <w:tcW w:w="1906" w:type="dxa"/>
            <w:vAlign w:val="center"/>
          </w:tcPr>
          <w:p w14:paraId="15F96AA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972" w:type="dxa"/>
            <w:vAlign w:val="center"/>
          </w:tcPr>
          <w:p w14:paraId="1C7E2985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E3526E" w14:paraId="374173E8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9897C8B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HCC-1954</w:t>
            </w:r>
          </w:p>
        </w:tc>
        <w:tc>
          <w:tcPr>
            <w:tcW w:w="1634" w:type="dxa"/>
            <w:vAlign w:val="center"/>
          </w:tcPr>
          <w:p w14:paraId="5A7BD2AF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5B4E7CE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1,259,398</w:t>
            </w:r>
          </w:p>
        </w:tc>
        <w:tc>
          <w:tcPr>
            <w:tcW w:w="1906" w:type="dxa"/>
            <w:vAlign w:val="center"/>
          </w:tcPr>
          <w:p w14:paraId="6D19C6DC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972" w:type="dxa"/>
            <w:vAlign w:val="center"/>
          </w:tcPr>
          <w:p w14:paraId="10EEE12F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3526E" w14:paraId="47971943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5086F15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ZR-75-30</w:t>
            </w:r>
          </w:p>
        </w:tc>
        <w:tc>
          <w:tcPr>
            <w:tcW w:w="1634" w:type="dxa"/>
            <w:vAlign w:val="center"/>
          </w:tcPr>
          <w:p w14:paraId="0F9A76B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33C9D8AC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1,240,426</w:t>
            </w:r>
          </w:p>
        </w:tc>
        <w:tc>
          <w:tcPr>
            <w:tcW w:w="1906" w:type="dxa"/>
            <w:vAlign w:val="center"/>
          </w:tcPr>
          <w:p w14:paraId="618A182C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972" w:type="dxa"/>
            <w:vAlign w:val="center"/>
          </w:tcPr>
          <w:p w14:paraId="09CE3A16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</w:tr>
      <w:tr w:rsidR="00E3526E" w14:paraId="1B8B4D08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AB0ECD2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AU-565</w:t>
            </w:r>
          </w:p>
        </w:tc>
        <w:tc>
          <w:tcPr>
            <w:tcW w:w="1634" w:type="dxa"/>
            <w:vAlign w:val="center"/>
          </w:tcPr>
          <w:p w14:paraId="4079E0B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1EAEE80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1,153,419</w:t>
            </w:r>
          </w:p>
        </w:tc>
        <w:tc>
          <w:tcPr>
            <w:tcW w:w="1906" w:type="dxa"/>
            <w:vAlign w:val="center"/>
          </w:tcPr>
          <w:p w14:paraId="3708580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972" w:type="dxa"/>
            <w:vAlign w:val="center"/>
          </w:tcPr>
          <w:p w14:paraId="56266F5E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E3526E" w14:paraId="35B76B4E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A16E441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HCC-1569</w:t>
            </w:r>
          </w:p>
        </w:tc>
        <w:tc>
          <w:tcPr>
            <w:tcW w:w="1634" w:type="dxa"/>
            <w:vAlign w:val="center"/>
          </w:tcPr>
          <w:p w14:paraId="6B3F5BD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78B42DB6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938,858</w:t>
            </w:r>
          </w:p>
        </w:tc>
        <w:tc>
          <w:tcPr>
            <w:tcW w:w="1906" w:type="dxa"/>
            <w:vAlign w:val="center"/>
          </w:tcPr>
          <w:p w14:paraId="334A85D8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  <w:tc>
          <w:tcPr>
            <w:tcW w:w="1972" w:type="dxa"/>
            <w:vAlign w:val="center"/>
          </w:tcPr>
          <w:p w14:paraId="4CFD8A8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</w:tr>
      <w:tr w:rsidR="00E3526E" w14:paraId="55DD0A8C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89C4D27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HCC2218</w:t>
            </w:r>
          </w:p>
        </w:tc>
        <w:tc>
          <w:tcPr>
            <w:tcW w:w="1634" w:type="dxa"/>
            <w:vAlign w:val="center"/>
          </w:tcPr>
          <w:p w14:paraId="7F48A56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20FDA71A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905,340</w:t>
            </w:r>
          </w:p>
        </w:tc>
        <w:tc>
          <w:tcPr>
            <w:tcW w:w="1906" w:type="dxa"/>
            <w:vAlign w:val="center"/>
          </w:tcPr>
          <w:p w14:paraId="3E0045B8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972" w:type="dxa"/>
            <w:vAlign w:val="center"/>
          </w:tcPr>
          <w:p w14:paraId="2B7F834E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</w:tr>
      <w:tr w:rsidR="00E3526E" w14:paraId="1F4626FF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BEA7414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BT-474</w:t>
            </w:r>
          </w:p>
        </w:tc>
        <w:tc>
          <w:tcPr>
            <w:tcW w:w="1634" w:type="dxa"/>
            <w:vAlign w:val="center"/>
          </w:tcPr>
          <w:p w14:paraId="0C73E73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557A6C3E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864,064</w:t>
            </w:r>
          </w:p>
        </w:tc>
        <w:tc>
          <w:tcPr>
            <w:tcW w:w="1906" w:type="dxa"/>
            <w:vAlign w:val="center"/>
          </w:tcPr>
          <w:p w14:paraId="54976E00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972" w:type="dxa"/>
            <w:vAlign w:val="center"/>
          </w:tcPr>
          <w:p w14:paraId="5063C9E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</w:tr>
      <w:tr w:rsidR="00E3526E" w14:paraId="6FF015FC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152CA51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UACC-893</w:t>
            </w:r>
          </w:p>
        </w:tc>
        <w:tc>
          <w:tcPr>
            <w:tcW w:w="1634" w:type="dxa"/>
            <w:vAlign w:val="center"/>
          </w:tcPr>
          <w:p w14:paraId="402882C8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6D2E081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775,719</w:t>
            </w:r>
          </w:p>
        </w:tc>
        <w:tc>
          <w:tcPr>
            <w:tcW w:w="1906" w:type="dxa"/>
            <w:vAlign w:val="center"/>
          </w:tcPr>
          <w:p w14:paraId="19F89D71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431</w:t>
            </w:r>
          </w:p>
        </w:tc>
        <w:tc>
          <w:tcPr>
            <w:tcW w:w="1972" w:type="dxa"/>
            <w:vAlign w:val="center"/>
          </w:tcPr>
          <w:p w14:paraId="71BCB81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2392A09E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88862A6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UACC-812</w:t>
            </w:r>
          </w:p>
        </w:tc>
        <w:tc>
          <w:tcPr>
            <w:tcW w:w="1634" w:type="dxa"/>
            <w:vAlign w:val="center"/>
          </w:tcPr>
          <w:p w14:paraId="533D6F1E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76DCB28E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722,241</w:t>
            </w:r>
          </w:p>
        </w:tc>
        <w:tc>
          <w:tcPr>
            <w:tcW w:w="1906" w:type="dxa"/>
            <w:vAlign w:val="center"/>
          </w:tcPr>
          <w:p w14:paraId="0BBAD791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972" w:type="dxa"/>
            <w:vAlign w:val="center"/>
          </w:tcPr>
          <w:p w14:paraId="19EC9165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</w:tr>
      <w:tr w:rsidR="00E3526E" w14:paraId="7A2D2E09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B288778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HCC-202</w:t>
            </w:r>
          </w:p>
        </w:tc>
        <w:tc>
          <w:tcPr>
            <w:tcW w:w="1634" w:type="dxa"/>
            <w:vAlign w:val="center"/>
          </w:tcPr>
          <w:p w14:paraId="6CE1D7AA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832" w:type="dxa"/>
            <w:vAlign w:val="center"/>
          </w:tcPr>
          <w:p w14:paraId="2F1B8321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303,584</w:t>
            </w:r>
          </w:p>
        </w:tc>
        <w:tc>
          <w:tcPr>
            <w:tcW w:w="1906" w:type="dxa"/>
            <w:vAlign w:val="center"/>
          </w:tcPr>
          <w:p w14:paraId="4D8251E5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282</w:t>
            </w:r>
          </w:p>
        </w:tc>
        <w:tc>
          <w:tcPr>
            <w:tcW w:w="1972" w:type="dxa"/>
            <w:vAlign w:val="center"/>
          </w:tcPr>
          <w:p w14:paraId="1B8C8DE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3526E" w14:paraId="43637C0D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24BFBEB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JIMT-1</w:t>
            </w:r>
          </w:p>
        </w:tc>
        <w:tc>
          <w:tcPr>
            <w:tcW w:w="1634" w:type="dxa"/>
            <w:vAlign w:val="center"/>
          </w:tcPr>
          <w:p w14:paraId="280C288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757BD22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123,626</w:t>
            </w:r>
          </w:p>
        </w:tc>
        <w:tc>
          <w:tcPr>
            <w:tcW w:w="1906" w:type="dxa"/>
            <w:vAlign w:val="center"/>
          </w:tcPr>
          <w:p w14:paraId="2A3A1FD3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15147</w:t>
            </w:r>
          </w:p>
        </w:tc>
        <w:tc>
          <w:tcPr>
            <w:tcW w:w="1972" w:type="dxa"/>
            <w:vAlign w:val="center"/>
          </w:tcPr>
          <w:p w14:paraId="12E3ACA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1395</w:t>
            </w:r>
          </w:p>
        </w:tc>
      </w:tr>
      <w:tr w:rsidR="00E3526E" w14:paraId="0FCCCE49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A9AE273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BT-483</w:t>
            </w:r>
          </w:p>
        </w:tc>
        <w:tc>
          <w:tcPr>
            <w:tcW w:w="1634" w:type="dxa"/>
            <w:vAlign w:val="center"/>
          </w:tcPr>
          <w:p w14:paraId="02EE4CE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0B097F8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82,187</w:t>
            </w:r>
          </w:p>
        </w:tc>
        <w:tc>
          <w:tcPr>
            <w:tcW w:w="1906" w:type="dxa"/>
            <w:vAlign w:val="center"/>
          </w:tcPr>
          <w:p w14:paraId="066D512F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  <w:tc>
          <w:tcPr>
            <w:tcW w:w="1972" w:type="dxa"/>
            <w:vAlign w:val="center"/>
          </w:tcPr>
          <w:p w14:paraId="2AD02FF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723BF02E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F1271E7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CAMA-1</w:t>
            </w:r>
          </w:p>
        </w:tc>
        <w:tc>
          <w:tcPr>
            <w:tcW w:w="1634" w:type="dxa"/>
            <w:vAlign w:val="center"/>
          </w:tcPr>
          <w:p w14:paraId="41A88B4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79F3ECE5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57,568</w:t>
            </w:r>
          </w:p>
        </w:tc>
        <w:tc>
          <w:tcPr>
            <w:tcW w:w="1906" w:type="dxa"/>
            <w:vAlign w:val="center"/>
          </w:tcPr>
          <w:p w14:paraId="1DD3FFAF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7309</w:t>
            </w:r>
          </w:p>
        </w:tc>
        <w:tc>
          <w:tcPr>
            <w:tcW w:w="1972" w:type="dxa"/>
            <w:vAlign w:val="center"/>
          </w:tcPr>
          <w:p w14:paraId="6904A50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4997</w:t>
            </w:r>
          </w:p>
        </w:tc>
      </w:tr>
      <w:tr w:rsidR="00E3526E" w14:paraId="031F4496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07A1179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T47D</w:t>
            </w:r>
          </w:p>
        </w:tc>
        <w:tc>
          <w:tcPr>
            <w:tcW w:w="1634" w:type="dxa"/>
            <w:vAlign w:val="center"/>
          </w:tcPr>
          <w:p w14:paraId="65FCECB4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33119381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25,797</w:t>
            </w:r>
          </w:p>
        </w:tc>
        <w:tc>
          <w:tcPr>
            <w:tcW w:w="1906" w:type="dxa"/>
            <w:vAlign w:val="center"/>
          </w:tcPr>
          <w:p w14:paraId="44548033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4938</w:t>
            </w:r>
          </w:p>
        </w:tc>
        <w:tc>
          <w:tcPr>
            <w:tcW w:w="1972" w:type="dxa"/>
            <w:vAlign w:val="center"/>
          </w:tcPr>
          <w:p w14:paraId="78C6F12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524BDEB6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196DE12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MCF7 (ATCC)</w:t>
            </w:r>
          </w:p>
        </w:tc>
        <w:tc>
          <w:tcPr>
            <w:tcW w:w="1634" w:type="dxa"/>
            <w:vAlign w:val="center"/>
          </w:tcPr>
          <w:p w14:paraId="73D23F7D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63DAA54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20,855</w:t>
            </w:r>
          </w:p>
        </w:tc>
        <w:tc>
          <w:tcPr>
            <w:tcW w:w="1906" w:type="dxa"/>
            <w:vAlign w:val="center"/>
          </w:tcPr>
          <w:p w14:paraId="5603933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10020</w:t>
            </w:r>
          </w:p>
        </w:tc>
        <w:tc>
          <w:tcPr>
            <w:tcW w:w="1972" w:type="dxa"/>
            <w:vAlign w:val="center"/>
          </w:tcPr>
          <w:p w14:paraId="6232CF69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70F415A5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3ABD7B7" w14:textId="77777777" w:rsidR="00E3526E" w:rsidRPr="00E3526E" w:rsidRDefault="00E3526E" w:rsidP="00AF0E44">
            <w:pPr>
              <w:pStyle w:val="TableLef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MCF7 (NCI)</w:t>
            </w:r>
          </w:p>
        </w:tc>
        <w:tc>
          <w:tcPr>
            <w:tcW w:w="1634" w:type="dxa"/>
            <w:vAlign w:val="center"/>
          </w:tcPr>
          <w:p w14:paraId="327F5B07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5AD3E353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17,859</w:t>
            </w:r>
          </w:p>
        </w:tc>
        <w:tc>
          <w:tcPr>
            <w:tcW w:w="1906" w:type="dxa"/>
            <w:vAlign w:val="center"/>
          </w:tcPr>
          <w:p w14:paraId="0DC4C172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  <w:tc>
          <w:tcPr>
            <w:tcW w:w="1972" w:type="dxa"/>
            <w:vAlign w:val="center"/>
          </w:tcPr>
          <w:p w14:paraId="503DE12B" w14:textId="77777777" w:rsidR="00E3526E" w:rsidRPr="00E3526E" w:rsidRDefault="00E3526E" w:rsidP="00AF0E44">
            <w:pPr>
              <w:pStyle w:val="TableLef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135E6591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EEF51C7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MDA-MB-231</w:t>
            </w:r>
          </w:p>
        </w:tc>
        <w:tc>
          <w:tcPr>
            <w:tcW w:w="1634" w:type="dxa"/>
            <w:vAlign w:val="center"/>
          </w:tcPr>
          <w:p w14:paraId="1E211C6E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832" w:type="dxa"/>
            <w:vAlign w:val="center"/>
          </w:tcPr>
          <w:p w14:paraId="774C7954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4,350</w:t>
            </w:r>
          </w:p>
        </w:tc>
        <w:tc>
          <w:tcPr>
            <w:tcW w:w="1906" w:type="dxa"/>
            <w:vAlign w:val="center"/>
          </w:tcPr>
          <w:p w14:paraId="4BD795C2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16482</w:t>
            </w:r>
          </w:p>
        </w:tc>
        <w:tc>
          <w:tcPr>
            <w:tcW w:w="1972" w:type="dxa"/>
            <w:vAlign w:val="center"/>
          </w:tcPr>
          <w:p w14:paraId="28991243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  <w:tr w:rsidR="00E3526E" w14:paraId="6524D8F9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76B1B42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MDA-MB-436</w:t>
            </w:r>
          </w:p>
        </w:tc>
        <w:tc>
          <w:tcPr>
            <w:tcW w:w="1634" w:type="dxa"/>
            <w:vAlign w:val="center"/>
          </w:tcPr>
          <w:p w14:paraId="53017390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1832" w:type="dxa"/>
            <w:vAlign w:val="center"/>
          </w:tcPr>
          <w:p w14:paraId="79BB4B2D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1,702</w:t>
            </w:r>
          </w:p>
        </w:tc>
        <w:tc>
          <w:tcPr>
            <w:tcW w:w="1906" w:type="dxa"/>
            <w:vAlign w:val="center"/>
          </w:tcPr>
          <w:p w14:paraId="214004D2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17601</w:t>
            </w:r>
          </w:p>
        </w:tc>
        <w:tc>
          <w:tcPr>
            <w:tcW w:w="1972" w:type="dxa"/>
            <w:vAlign w:val="center"/>
          </w:tcPr>
          <w:p w14:paraId="3005AF5A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23878</w:t>
            </w:r>
          </w:p>
        </w:tc>
      </w:tr>
      <w:tr w:rsidR="00E3526E" w14:paraId="4970447D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1A4BB06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Hs578T</w:t>
            </w:r>
          </w:p>
        </w:tc>
        <w:tc>
          <w:tcPr>
            <w:tcW w:w="1634" w:type="dxa"/>
            <w:vAlign w:val="center"/>
          </w:tcPr>
          <w:p w14:paraId="37A7A49B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1832" w:type="dxa"/>
            <w:vAlign w:val="center"/>
          </w:tcPr>
          <w:p w14:paraId="35629677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1,663</w:t>
            </w:r>
          </w:p>
        </w:tc>
        <w:tc>
          <w:tcPr>
            <w:tcW w:w="1906" w:type="dxa"/>
            <w:vAlign w:val="center"/>
          </w:tcPr>
          <w:p w14:paraId="22332A00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12394</w:t>
            </w:r>
          </w:p>
        </w:tc>
        <w:tc>
          <w:tcPr>
            <w:tcW w:w="1972" w:type="dxa"/>
            <w:vAlign w:val="center"/>
          </w:tcPr>
          <w:p w14:paraId="1FDF0284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11493</w:t>
            </w:r>
          </w:p>
        </w:tc>
      </w:tr>
      <w:tr w:rsidR="00E3526E" w14:paraId="05818955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30054A3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MDA-MB-468</w:t>
            </w:r>
          </w:p>
        </w:tc>
        <w:tc>
          <w:tcPr>
            <w:tcW w:w="1634" w:type="dxa"/>
            <w:vAlign w:val="center"/>
          </w:tcPr>
          <w:p w14:paraId="6EBBDA43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1832" w:type="dxa"/>
            <w:vAlign w:val="center"/>
          </w:tcPr>
          <w:p w14:paraId="37B12FA8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526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6" w:type="dxa"/>
            <w:vAlign w:val="center"/>
          </w:tcPr>
          <w:p w14:paraId="237E087D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9617</w:t>
            </w:r>
          </w:p>
        </w:tc>
        <w:tc>
          <w:tcPr>
            <w:tcW w:w="1972" w:type="dxa"/>
            <w:vAlign w:val="center"/>
          </w:tcPr>
          <w:p w14:paraId="35186FB0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7695</w:t>
            </w:r>
          </w:p>
        </w:tc>
      </w:tr>
      <w:tr w:rsidR="00E3526E" w14:paraId="1186D073" w14:textId="77777777" w:rsidTr="00AF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57E45EA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DU4475</w:t>
            </w:r>
          </w:p>
        </w:tc>
        <w:tc>
          <w:tcPr>
            <w:tcW w:w="1634" w:type="dxa"/>
            <w:vAlign w:val="center"/>
          </w:tcPr>
          <w:p w14:paraId="684CF926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Negative</w:t>
            </w:r>
          </w:p>
        </w:tc>
        <w:tc>
          <w:tcPr>
            <w:tcW w:w="1832" w:type="dxa"/>
            <w:vAlign w:val="center"/>
          </w:tcPr>
          <w:p w14:paraId="6BFF0A28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526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6" w:type="dxa"/>
            <w:vAlign w:val="center"/>
          </w:tcPr>
          <w:p w14:paraId="32359B31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8973</w:t>
            </w:r>
          </w:p>
        </w:tc>
        <w:tc>
          <w:tcPr>
            <w:tcW w:w="1972" w:type="dxa"/>
            <w:vAlign w:val="center"/>
          </w:tcPr>
          <w:p w14:paraId="4D8F679D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3526E">
              <w:rPr>
                <w:rFonts w:asciiTheme="minorHAnsi" w:hAnsiTheme="minorHAnsi" w:cstheme="minorHAnsi"/>
                <w:sz w:val="18"/>
                <w:szCs w:val="18"/>
              </w:rPr>
              <w:t>&gt; 25000</w:t>
            </w:r>
          </w:p>
        </w:tc>
      </w:tr>
    </w:tbl>
    <w:p w14:paraId="7BF77A28" w14:textId="77777777" w:rsidR="00E3526E" w:rsidRDefault="00E3526E" w:rsidP="00E3526E">
      <w:pPr>
        <w:pStyle w:val="Normal0"/>
        <w:widowControl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T-DM1, ado-trastuzumab emtansine.</w:t>
      </w:r>
    </w:p>
    <w:p w14:paraId="60163B14" w14:textId="77777777" w:rsidR="00E3526E" w:rsidRDefault="00E3526E" w:rsidP="00E3526E">
      <w:pPr>
        <w:pStyle w:val="Normal0"/>
        <w:widowControl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Expression below the quantifiable level of detection.</w:t>
      </w:r>
    </w:p>
    <w:p w14:paraId="4FE5537E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Tucatinib activity was investigated in 22 breast cancer cell lines with or without HER2 overexpression.</w:t>
      </w:r>
    </w:p>
    <w:p w14:paraId="2BC0F1D3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</w:p>
    <w:p w14:paraId="2409F875" w14:textId="77777777" w:rsidR="00E3526E" w:rsidRDefault="00E3526E" w:rsidP="00E352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2D8D5AF3" w14:textId="17938A71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Supplementa</w:t>
      </w:r>
      <w:r w:rsidR="00751CE4">
        <w:rPr>
          <w:rFonts w:asciiTheme="minorHAnsi" w:hAnsiTheme="minorHAnsi" w:cstheme="minorHAnsi"/>
          <w:b/>
        </w:rPr>
        <w:t>ry</w:t>
      </w:r>
      <w:r>
        <w:rPr>
          <w:rFonts w:asciiTheme="minorHAnsi" w:hAnsiTheme="minorHAnsi" w:cstheme="minorHAnsi"/>
          <w:b/>
        </w:rPr>
        <w:t xml:space="preserve"> Table S2. HER2 copy number variation in PDX models</w:t>
      </w:r>
    </w:p>
    <w:tbl>
      <w:tblPr>
        <w:tblStyle w:val="TableSeaGen"/>
        <w:tblW w:w="7520" w:type="dxa"/>
        <w:tblLook w:val="04A0" w:firstRow="1" w:lastRow="0" w:firstColumn="1" w:lastColumn="0" w:noHBand="0" w:noVBand="1"/>
      </w:tblPr>
      <w:tblGrid>
        <w:gridCol w:w="1350"/>
        <w:gridCol w:w="2330"/>
        <w:gridCol w:w="3840"/>
      </w:tblGrid>
      <w:tr w:rsidR="00E3526E" w14:paraId="1ACE18EF" w14:textId="77777777" w:rsidTr="00AF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noWrap/>
            <w:hideMark/>
          </w:tcPr>
          <w:p w14:paraId="22E6E9D5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2330" w:type="dxa"/>
            <w:noWrap/>
            <w:hideMark/>
          </w:tcPr>
          <w:p w14:paraId="0FA543C8" w14:textId="77777777" w:rsidR="00E3526E" w:rsidRPr="00E3526E" w:rsidRDefault="00E3526E" w:rsidP="00AF0E44">
            <w:pPr>
              <w:pStyle w:val="Table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Histology</w:t>
            </w:r>
          </w:p>
        </w:tc>
        <w:tc>
          <w:tcPr>
            <w:tcW w:w="3840" w:type="dxa"/>
            <w:noWrap/>
            <w:hideMark/>
          </w:tcPr>
          <w:p w14:paraId="52261A5C" w14:textId="77777777" w:rsidR="00E3526E" w:rsidRPr="00E3526E" w:rsidRDefault="00E3526E" w:rsidP="00AF0E44">
            <w:pPr>
              <w:pStyle w:val="Table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HER2 Copy Number (NGS)</w:t>
            </w:r>
          </w:p>
        </w:tc>
      </w:tr>
      <w:tr w:rsidR="00333502" w14:paraId="1519BF35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32DCA216" w14:textId="77777777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CTG-0807</w:t>
            </w:r>
          </w:p>
          <w:p w14:paraId="5542E30F" w14:textId="77777777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CTG-0708</w:t>
            </w:r>
          </w:p>
          <w:p w14:paraId="28A457FF" w14:textId="020D91B7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CTG-0717</w:t>
            </w:r>
          </w:p>
        </w:tc>
        <w:tc>
          <w:tcPr>
            <w:tcW w:w="2330" w:type="dxa"/>
            <w:noWrap/>
            <w:hideMark/>
          </w:tcPr>
          <w:p w14:paraId="3E7154E7" w14:textId="77777777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OLE_LINK3"/>
            <w:r w:rsidRPr="00E3526E">
              <w:rPr>
                <w:rFonts w:asciiTheme="minorHAnsi" w:hAnsiTheme="minorHAnsi" w:cstheme="minorHAnsi"/>
              </w:rPr>
              <w:t>Breast Cancer</w:t>
            </w:r>
            <w:bookmarkEnd w:id="0"/>
          </w:p>
          <w:p w14:paraId="1CD2E7E7" w14:textId="77777777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Breast Cancer</w:t>
            </w:r>
          </w:p>
          <w:p w14:paraId="4099F3C3" w14:textId="6217556B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Breast Cancer</w:t>
            </w:r>
          </w:p>
        </w:tc>
        <w:tc>
          <w:tcPr>
            <w:tcW w:w="3840" w:type="dxa"/>
            <w:noWrap/>
            <w:hideMark/>
          </w:tcPr>
          <w:p w14:paraId="69E2B0A7" w14:textId="77777777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68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  <w:p w14:paraId="389FF54C" w14:textId="77777777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69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  <w:p w14:paraId="3BBB2225" w14:textId="6B923D66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77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333502" w14:paraId="7CAE991B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17C91EF6" w14:textId="12B5B1B3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CTG-0137</w:t>
            </w:r>
          </w:p>
        </w:tc>
        <w:tc>
          <w:tcPr>
            <w:tcW w:w="2330" w:type="dxa"/>
            <w:noWrap/>
            <w:hideMark/>
          </w:tcPr>
          <w:p w14:paraId="19B57A84" w14:textId="3CEDC86B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Esophageal Cancer</w:t>
            </w:r>
          </w:p>
        </w:tc>
        <w:tc>
          <w:tcPr>
            <w:tcW w:w="3840" w:type="dxa"/>
            <w:noWrap/>
            <w:hideMark/>
          </w:tcPr>
          <w:p w14:paraId="6229E7CD" w14:textId="5A750F50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85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333502" w14:paraId="7A9254CC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5134A7C1" w14:textId="479B8194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CTG-0138</w:t>
            </w:r>
          </w:p>
        </w:tc>
        <w:tc>
          <w:tcPr>
            <w:tcW w:w="2330" w:type="dxa"/>
            <w:noWrap/>
            <w:hideMark/>
          </w:tcPr>
          <w:p w14:paraId="6C147632" w14:textId="715F32EA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Esophageal Cancer</w:t>
            </w:r>
          </w:p>
        </w:tc>
        <w:tc>
          <w:tcPr>
            <w:tcW w:w="3840" w:type="dxa"/>
            <w:noWrap/>
            <w:hideMark/>
          </w:tcPr>
          <w:p w14:paraId="68074942" w14:textId="38856F42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333502" w14:paraId="7895AEAA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5ACBFE8F" w14:textId="05A185B5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CTG-0121</w:t>
            </w:r>
          </w:p>
        </w:tc>
        <w:tc>
          <w:tcPr>
            <w:tcW w:w="2330" w:type="dxa"/>
            <w:noWrap/>
            <w:hideMark/>
          </w:tcPr>
          <w:p w14:paraId="5EF195E1" w14:textId="480FBB09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Colorectal</w:t>
            </w:r>
          </w:p>
        </w:tc>
        <w:tc>
          <w:tcPr>
            <w:tcW w:w="3840" w:type="dxa"/>
            <w:noWrap/>
            <w:hideMark/>
          </w:tcPr>
          <w:p w14:paraId="750FC216" w14:textId="42C10BFF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333502" w14:paraId="34E3CBBF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15AA685" w14:textId="35AE0221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CTG-0383</w:t>
            </w:r>
          </w:p>
        </w:tc>
        <w:tc>
          <w:tcPr>
            <w:tcW w:w="2330" w:type="dxa"/>
            <w:noWrap/>
            <w:hideMark/>
          </w:tcPr>
          <w:p w14:paraId="2DB31269" w14:textId="2FAB4105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Colorectal</w:t>
            </w:r>
          </w:p>
        </w:tc>
        <w:tc>
          <w:tcPr>
            <w:tcW w:w="3840" w:type="dxa"/>
            <w:noWrap/>
            <w:hideMark/>
          </w:tcPr>
          <w:p w14:paraId="49D614AB" w14:textId="4D73B165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41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333502" w14:paraId="7D0B2A6D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20C403F" w14:textId="65396C70" w:rsidR="00333502" w:rsidRPr="00E3526E" w:rsidRDefault="00333502" w:rsidP="00333502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CTG-0784</w:t>
            </w:r>
          </w:p>
        </w:tc>
        <w:tc>
          <w:tcPr>
            <w:tcW w:w="2330" w:type="dxa"/>
            <w:noWrap/>
            <w:hideMark/>
          </w:tcPr>
          <w:p w14:paraId="4B096CE7" w14:textId="4F9A1D81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Colorectal</w:t>
            </w:r>
          </w:p>
        </w:tc>
        <w:tc>
          <w:tcPr>
            <w:tcW w:w="3840" w:type="dxa"/>
            <w:noWrap/>
            <w:hideMark/>
          </w:tcPr>
          <w:p w14:paraId="43A3C6B7" w14:textId="29386D7E" w:rsidR="00333502" w:rsidRPr="00E3526E" w:rsidRDefault="00333502" w:rsidP="00333502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80</w:t>
            </w:r>
            <w:r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</w:tr>
      <w:tr w:rsidR="00E3526E" w14:paraId="0D64CAB8" w14:textId="77777777" w:rsidTr="00AF0E4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uto"/>
            </w:tcBorders>
            <w:noWrap/>
            <w:hideMark/>
          </w:tcPr>
          <w:p w14:paraId="30679089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noWrap/>
            <w:hideMark/>
          </w:tcPr>
          <w:p w14:paraId="102091D8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14:paraId="4C87B62D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3526E" w14:paraId="0B03BEDD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C1BDAC" w14:textId="77777777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965E9B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Histology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B8222C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3526E">
              <w:rPr>
                <w:rFonts w:asciiTheme="minorHAnsi" w:hAnsiTheme="minorHAnsi" w:cstheme="minorHAnsi"/>
                <w:b/>
              </w:rPr>
              <w:t>HER2 Copy Number (PICNIC score)</w:t>
            </w:r>
          </w:p>
        </w:tc>
      </w:tr>
      <w:tr w:rsidR="00E3526E" w14:paraId="569E1032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</w:tcBorders>
            <w:noWrap/>
            <w:hideMark/>
          </w:tcPr>
          <w:p w14:paraId="29BDE5B3" w14:textId="6C646752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GXA</w:t>
            </w:r>
            <w:r w:rsidR="00A30846">
              <w:rPr>
                <w:rFonts w:asciiTheme="minorHAnsi" w:hAnsiTheme="minorHAnsi" w:cstheme="minorHAnsi"/>
              </w:rPr>
              <w:t>-</w:t>
            </w:r>
            <w:r w:rsidRPr="00E3526E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noWrap/>
            <w:hideMark/>
          </w:tcPr>
          <w:p w14:paraId="7521CD74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Gastric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noWrap/>
            <w:hideMark/>
          </w:tcPr>
          <w:p w14:paraId="2CD3DBA5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E3526E" w14:paraId="089C8879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08E04468" w14:textId="488E20A5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GXA</w:t>
            </w:r>
            <w:r w:rsidR="00A30846">
              <w:rPr>
                <w:rFonts w:asciiTheme="minorHAnsi" w:hAnsiTheme="minorHAnsi" w:cstheme="minorHAnsi"/>
              </w:rPr>
              <w:t>-</w:t>
            </w:r>
            <w:r w:rsidRPr="00E3526E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2330" w:type="dxa"/>
            <w:noWrap/>
            <w:hideMark/>
          </w:tcPr>
          <w:p w14:paraId="1EACEF06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Gastric</w:t>
            </w:r>
          </w:p>
        </w:tc>
        <w:tc>
          <w:tcPr>
            <w:tcW w:w="3840" w:type="dxa"/>
            <w:noWrap/>
            <w:hideMark/>
          </w:tcPr>
          <w:p w14:paraId="6B5A7738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  <w:tr w:rsidR="00E3526E" w14:paraId="0DB2D64B" w14:textId="77777777" w:rsidTr="00AF0E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uto"/>
            </w:tcBorders>
            <w:noWrap/>
            <w:hideMark/>
          </w:tcPr>
          <w:p w14:paraId="782C376F" w14:textId="4E760CE0" w:rsidR="00E3526E" w:rsidRPr="00E3526E" w:rsidRDefault="00E3526E" w:rsidP="00AF0E44">
            <w:pPr>
              <w:pStyle w:val="TableLeft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GXA</w:t>
            </w:r>
            <w:r w:rsidR="00A30846">
              <w:rPr>
                <w:rFonts w:asciiTheme="minorHAnsi" w:hAnsiTheme="minorHAnsi" w:cstheme="minorHAnsi"/>
              </w:rPr>
              <w:t>-</w:t>
            </w:r>
            <w:r w:rsidRPr="00E3526E"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  <w:hideMark/>
          </w:tcPr>
          <w:p w14:paraId="5357A757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Gastric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14:paraId="64BBA4EC" w14:textId="77777777" w:rsidR="00E3526E" w:rsidRPr="00E3526E" w:rsidRDefault="00E3526E" w:rsidP="00AF0E44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26E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</w:tr>
    </w:tbl>
    <w:p w14:paraId="20D3A595" w14:textId="77777777" w:rsidR="00E3526E" w:rsidRDefault="00E3526E" w:rsidP="00E3526E">
      <w:pPr>
        <w:pStyle w:val="Normal0"/>
        <w:widowControl/>
        <w:spacing w:line="480" w:lineRule="auto"/>
        <w:jc w:val="both"/>
        <w:rPr>
          <w:rFonts w:asciiTheme="minorHAnsi" w:hAnsiTheme="minorHAnsi" w:cstheme="minorHAnsi"/>
          <w:b/>
        </w:rPr>
      </w:pPr>
    </w:p>
    <w:p w14:paraId="728410A7" w14:textId="77777777" w:rsidR="00E3526E" w:rsidRPr="00E3526E" w:rsidRDefault="00E3526E" w:rsidP="00E3526E">
      <w:pPr>
        <w:pStyle w:val="Normal0"/>
        <w:widowControl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526E">
        <w:rPr>
          <w:rFonts w:asciiTheme="minorHAnsi" w:hAnsiTheme="minorHAnsi" w:cstheme="minorHAnsi"/>
          <w:bCs/>
          <w:sz w:val="20"/>
          <w:szCs w:val="20"/>
        </w:rPr>
        <w:t xml:space="preserve">*HER2 copy number provided by Champions Oncology and are based on NGS analysis of PDX tumor samples.  </w:t>
      </w:r>
    </w:p>
    <w:p w14:paraId="0E370F53" w14:textId="5E5368D3" w:rsidR="00B92B3B" w:rsidRPr="00E3526E" w:rsidRDefault="00E3526E" w:rsidP="00E3526E">
      <w:pPr>
        <w:pStyle w:val="Normal0"/>
        <w:widowControl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526E">
        <w:rPr>
          <w:rFonts w:asciiTheme="minorHAnsi" w:hAnsiTheme="minorHAnsi" w:cstheme="minorHAnsi"/>
          <w:bCs/>
          <w:sz w:val="20"/>
          <w:szCs w:val="20"/>
          <w:vertAlign w:val="superscript"/>
        </w:rPr>
        <w:t>#</w:t>
      </w:r>
      <w:r w:rsidRPr="00E3526E">
        <w:rPr>
          <w:rFonts w:asciiTheme="minorHAnsi" w:hAnsiTheme="minorHAnsi" w:cstheme="minorHAnsi"/>
          <w:bCs/>
          <w:sz w:val="20"/>
          <w:szCs w:val="20"/>
        </w:rPr>
        <w:t>HER2 copy number provided by Charles River Laboratories and are based on Affymetrix® Genome-Wide Human SNP Array 6.0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bookmarkStart w:id="1" w:name="_GoBack"/>
      <w:bookmarkEnd w:id="1"/>
    </w:p>
    <w:sectPr w:rsidR="00B92B3B" w:rsidRPr="00E3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E"/>
    <w:rsid w:val="0000552C"/>
    <w:rsid w:val="00006E2F"/>
    <w:rsid w:val="00015881"/>
    <w:rsid w:val="00020B1C"/>
    <w:rsid w:val="00025630"/>
    <w:rsid w:val="000403CC"/>
    <w:rsid w:val="00042557"/>
    <w:rsid w:val="0004318D"/>
    <w:rsid w:val="00045C36"/>
    <w:rsid w:val="00052995"/>
    <w:rsid w:val="00057DA1"/>
    <w:rsid w:val="00060D08"/>
    <w:rsid w:val="00060FBF"/>
    <w:rsid w:val="000632C8"/>
    <w:rsid w:val="0007232D"/>
    <w:rsid w:val="00072EDC"/>
    <w:rsid w:val="00073518"/>
    <w:rsid w:val="00092E4B"/>
    <w:rsid w:val="00092EFF"/>
    <w:rsid w:val="00093A5E"/>
    <w:rsid w:val="000E009A"/>
    <w:rsid w:val="000E0B3A"/>
    <w:rsid w:val="000F1580"/>
    <w:rsid w:val="000F49F7"/>
    <w:rsid w:val="000F75A0"/>
    <w:rsid w:val="001038CA"/>
    <w:rsid w:val="001055EA"/>
    <w:rsid w:val="00110C7D"/>
    <w:rsid w:val="001152C4"/>
    <w:rsid w:val="00122B0F"/>
    <w:rsid w:val="0013089C"/>
    <w:rsid w:val="00131DF8"/>
    <w:rsid w:val="00142A02"/>
    <w:rsid w:val="00145BA2"/>
    <w:rsid w:val="00155D17"/>
    <w:rsid w:val="00160D88"/>
    <w:rsid w:val="001643AD"/>
    <w:rsid w:val="00167BFD"/>
    <w:rsid w:val="00180E1B"/>
    <w:rsid w:val="001814E8"/>
    <w:rsid w:val="0018297A"/>
    <w:rsid w:val="00190F7E"/>
    <w:rsid w:val="00192633"/>
    <w:rsid w:val="001A0BD6"/>
    <w:rsid w:val="001A7DB1"/>
    <w:rsid w:val="001C24AF"/>
    <w:rsid w:val="001C5324"/>
    <w:rsid w:val="001D0085"/>
    <w:rsid w:val="001D2869"/>
    <w:rsid w:val="001D53AA"/>
    <w:rsid w:val="001E7C7B"/>
    <w:rsid w:val="001F3FDC"/>
    <w:rsid w:val="001F676A"/>
    <w:rsid w:val="00200D41"/>
    <w:rsid w:val="00214A31"/>
    <w:rsid w:val="00215FB3"/>
    <w:rsid w:val="0022329C"/>
    <w:rsid w:val="00234CF5"/>
    <w:rsid w:val="0023510E"/>
    <w:rsid w:val="00235C45"/>
    <w:rsid w:val="00260267"/>
    <w:rsid w:val="00262D1E"/>
    <w:rsid w:val="002639F7"/>
    <w:rsid w:val="00265F2E"/>
    <w:rsid w:val="00275CB0"/>
    <w:rsid w:val="002929FE"/>
    <w:rsid w:val="00292E48"/>
    <w:rsid w:val="00294D83"/>
    <w:rsid w:val="002A6CDA"/>
    <w:rsid w:val="002A7D88"/>
    <w:rsid w:val="002B3BDE"/>
    <w:rsid w:val="002B57EC"/>
    <w:rsid w:val="002B7C80"/>
    <w:rsid w:val="002C2A4F"/>
    <w:rsid w:val="002D410F"/>
    <w:rsid w:val="002E139F"/>
    <w:rsid w:val="002F5D1C"/>
    <w:rsid w:val="002F7658"/>
    <w:rsid w:val="003011DE"/>
    <w:rsid w:val="003067EB"/>
    <w:rsid w:val="0031431A"/>
    <w:rsid w:val="00317DA4"/>
    <w:rsid w:val="003210BF"/>
    <w:rsid w:val="00324BCD"/>
    <w:rsid w:val="00333502"/>
    <w:rsid w:val="00335036"/>
    <w:rsid w:val="00337D37"/>
    <w:rsid w:val="00342F17"/>
    <w:rsid w:val="00343216"/>
    <w:rsid w:val="00344C53"/>
    <w:rsid w:val="00356B5E"/>
    <w:rsid w:val="00360254"/>
    <w:rsid w:val="00361D29"/>
    <w:rsid w:val="00361F01"/>
    <w:rsid w:val="00363908"/>
    <w:rsid w:val="00366507"/>
    <w:rsid w:val="00371992"/>
    <w:rsid w:val="0037564C"/>
    <w:rsid w:val="00381534"/>
    <w:rsid w:val="00387AC0"/>
    <w:rsid w:val="00392F74"/>
    <w:rsid w:val="0039599B"/>
    <w:rsid w:val="003B2252"/>
    <w:rsid w:val="003B585F"/>
    <w:rsid w:val="003B5C0B"/>
    <w:rsid w:val="003C173C"/>
    <w:rsid w:val="003C482D"/>
    <w:rsid w:val="003C6D15"/>
    <w:rsid w:val="003C6F62"/>
    <w:rsid w:val="003C7EC2"/>
    <w:rsid w:val="003D0DDE"/>
    <w:rsid w:val="003D13E7"/>
    <w:rsid w:val="003D63E5"/>
    <w:rsid w:val="003E1A9E"/>
    <w:rsid w:val="003E5EE1"/>
    <w:rsid w:val="003F28A1"/>
    <w:rsid w:val="003F44CE"/>
    <w:rsid w:val="004018E7"/>
    <w:rsid w:val="004079AE"/>
    <w:rsid w:val="00411573"/>
    <w:rsid w:val="00432318"/>
    <w:rsid w:val="00436061"/>
    <w:rsid w:val="00441090"/>
    <w:rsid w:val="00443804"/>
    <w:rsid w:val="00445727"/>
    <w:rsid w:val="0045265F"/>
    <w:rsid w:val="004529DC"/>
    <w:rsid w:val="00466AA8"/>
    <w:rsid w:val="004730BB"/>
    <w:rsid w:val="004807FD"/>
    <w:rsid w:val="00483910"/>
    <w:rsid w:val="0048765D"/>
    <w:rsid w:val="00494248"/>
    <w:rsid w:val="00497635"/>
    <w:rsid w:val="004B4E2A"/>
    <w:rsid w:val="004B6920"/>
    <w:rsid w:val="004C0B7A"/>
    <w:rsid w:val="004C1CE7"/>
    <w:rsid w:val="004C44F5"/>
    <w:rsid w:val="004D351D"/>
    <w:rsid w:val="004D7C61"/>
    <w:rsid w:val="004F40EF"/>
    <w:rsid w:val="004F6700"/>
    <w:rsid w:val="004F67BE"/>
    <w:rsid w:val="004F72BC"/>
    <w:rsid w:val="0050418E"/>
    <w:rsid w:val="00517538"/>
    <w:rsid w:val="00525B2F"/>
    <w:rsid w:val="00532A57"/>
    <w:rsid w:val="0053421E"/>
    <w:rsid w:val="0053480E"/>
    <w:rsid w:val="00534912"/>
    <w:rsid w:val="00543CC9"/>
    <w:rsid w:val="005462BF"/>
    <w:rsid w:val="005463B6"/>
    <w:rsid w:val="00547C73"/>
    <w:rsid w:val="005570D0"/>
    <w:rsid w:val="00564453"/>
    <w:rsid w:val="005670CF"/>
    <w:rsid w:val="005707D1"/>
    <w:rsid w:val="005717A7"/>
    <w:rsid w:val="005832BA"/>
    <w:rsid w:val="00585E3F"/>
    <w:rsid w:val="005918BE"/>
    <w:rsid w:val="00592D74"/>
    <w:rsid w:val="005A73D8"/>
    <w:rsid w:val="005C6C6E"/>
    <w:rsid w:val="005D712D"/>
    <w:rsid w:val="005D7BA8"/>
    <w:rsid w:val="005E59CF"/>
    <w:rsid w:val="005E7761"/>
    <w:rsid w:val="005F1496"/>
    <w:rsid w:val="005F478F"/>
    <w:rsid w:val="00607F76"/>
    <w:rsid w:val="0061066E"/>
    <w:rsid w:val="006111AC"/>
    <w:rsid w:val="0061481D"/>
    <w:rsid w:val="00615934"/>
    <w:rsid w:val="006208E4"/>
    <w:rsid w:val="00621056"/>
    <w:rsid w:val="00623256"/>
    <w:rsid w:val="0063149C"/>
    <w:rsid w:val="006326B2"/>
    <w:rsid w:val="00633E51"/>
    <w:rsid w:val="006510CA"/>
    <w:rsid w:val="00655E1D"/>
    <w:rsid w:val="0065686A"/>
    <w:rsid w:val="00661802"/>
    <w:rsid w:val="00666468"/>
    <w:rsid w:val="00671E7F"/>
    <w:rsid w:val="006A4168"/>
    <w:rsid w:val="006B0F64"/>
    <w:rsid w:val="006B2622"/>
    <w:rsid w:val="006C0FFB"/>
    <w:rsid w:val="006C12E7"/>
    <w:rsid w:val="006D36E1"/>
    <w:rsid w:val="006D75E2"/>
    <w:rsid w:val="00700475"/>
    <w:rsid w:val="00702BDE"/>
    <w:rsid w:val="00704DF1"/>
    <w:rsid w:val="00706600"/>
    <w:rsid w:val="00710BAE"/>
    <w:rsid w:val="00726D11"/>
    <w:rsid w:val="00740410"/>
    <w:rsid w:val="007416F8"/>
    <w:rsid w:val="00745E87"/>
    <w:rsid w:val="00746829"/>
    <w:rsid w:val="00751CE4"/>
    <w:rsid w:val="0075398A"/>
    <w:rsid w:val="00761BA2"/>
    <w:rsid w:val="00763451"/>
    <w:rsid w:val="007644A9"/>
    <w:rsid w:val="00765304"/>
    <w:rsid w:val="007765E3"/>
    <w:rsid w:val="007852E0"/>
    <w:rsid w:val="00785EBA"/>
    <w:rsid w:val="00795C70"/>
    <w:rsid w:val="007A5C1F"/>
    <w:rsid w:val="007A75CE"/>
    <w:rsid w:val="007C1B82"/>
    <w:rsid w:val="007C36AA"/>
    <w:rsid w:val="007C4A76"/>
    <w:rsid w:val="007C68FA"/>
    <w:rsid w:val="007D16F7"/>
    <w:rsid w:val="007D3C80"/>
    <w:rsid w:val="007E4B7B"/>
    <w:rsid w:val="007F3ED0"/>
    <w:rsid w:val="007F3F23"/>
    <w:rsid w:val="007F7053"/>
    <w:rsid w:val="008006E7"/>
    <w:rsid w:val="00801080"/>
    <w:rsid w:val="00803239"/>
    <w:rsid w:val="00810ABE"/>
    <w:rsid w:val="00811F72"/>
    <w:rsid w:val="0081523A"/>
    <w:rsid w:val="00815CDA"/>
    <w:rsid w:val="008227CF"/>
    <w:rsid w:val="00823177"/>
    <w:rsid w:val="0082465F"/>
    <w:rsid w:val="008256DF"/>
    <w:rsid w:val="00830A86"/>
    <w:rsid w:val="00831A75"/>
    <w:rsid w:val="00843B98"/>
    <w:rsid w:val="008463BF"/>
    <w:rsid w:val="0085260D"/>
    <w:rsid w:val="00856D48"/>
    <w:rsid w:val="0086282C"/>
    <w:rsid w:val="00864D0F"/>
    <w:rsid w:val="00866902"/>
    <w:rsid w:val="00872015"/>
    <w:rsid w:val="00872A88"/>
    <w:rsid w:val="00876245"/>
    <w:rsid w:val="00877D05"/>
    <w:rsid w:val="00884CD9"/>
    <w:rsid w:val="0088569F"/>
    <w:rsid w:val="00887006"/>
    <w:rsid w:val="00891719"/>
    <w:rsid w:val="00897709"/>
    <w:rsid w:val="008A3226"/>
    <w:rsid w:val="008A6B95"/>
    <w:rsid w:val="008A78C1"/>
    <w:rsid w:val="008A7ED2"/>
    <w:rsid w:val="008B0494"/>
    <w:rsid w:val="008C0FDB"/>
    <w:rsid w:val="008C6A56"/>
    <w:rsid w:val="008E33CD"/>
    <w:rsid w:val="008F70C6"/>
    <w:rsid w:val="009020BA"/>
    <w:rsid w:val="009032D0"/>
    <w:rsid w:val="00906400"/>
    <w:rsid w:val="009070BD"/>
    <w:rsid w:val="00930D72"/>
    <w:rsid w:val="00944629"/>
    <w:rsid w:val="0094761F"/>
    <w:rsid w:val="00951422"/>
    <w:rsid w:val="00953AE6"/>
    <w:rsid w:val="009563A0"/>
    <w:rsid w:val="0096049B"/>
    <w:rsid w:val="009658F6"/>
    <w:rsid w:val="00966440"/>
    <w:rsid w:val="009701E4"/>
    <w:rsid w:val="009706A4"/>
    <w:rsid w:val="00982564"/>
    <w:rsid w:val="00986EFD"/>
    <w:rsid w:val="00990FCE"/>
    <w:rsid w:val="009911E5"/>
    <w:rsid w:val="00993CD3"/>
    <w:rsid w:val="00996709"/>
    <w:rsid w:val="009A4675"/>
    <w:rsid w:val="009B2846"/>
    <w:rsid w:val="009B43CF"/>
    <w:rsid w:val="009B796C"/>
    <w:rsid w:val="009C0238"/>
    <w:rsid w:val="009C076D"/>
    <w:rsid w:val="009C32CD"/>
    <w:rsid w:val="009C7DB3"/>
    <w:rsid w:val="009D5B6B"/>
    <w:rsid w:val="009D6294"/>
    <w:rsid w:val="009E2678"/>
    <w:rsid w:val="009E6D73"/>
    <w:rsid w:val="009F4718"/>
    <w:rsid w:val="009F78FE"/>
    <w:rsid w:val="00A0789C"/>
    <w:rsid w:val="00A11D45"/>
    <w:rsid w:val="00A17B75"/>
    <w:rsid w:val="00A26C6F"/>
    <w:rsid w:val="00A26FA8"/>
    <w:rsid w:val="00A27207"/>
    <w:rsid w:val="00A30846"/>
    <w:rsid w:val="00A401D8"/>
    <w:rsid w:val="00A451A4"/>
    <w:rsid w:val="00A55F9D"/>
    <w:rsid w:val="00A5748B"/>
    <w:rsid w:val="00A6071C"/>
    <w:rsid w:val="00A6294A"/>
    <w:rsid w:val="00A708B7"/>
    <w:rsid w:val="00A70A70"/>
    <w:rsid w:val="00A72C45"/>
    <w:rsid w:val="00A72C8E"/>
    <w:rsid w:val="00A76C1A"/>
    <w:rsid w:val="00A851B0"/>
    <w:rsid w:val="00A861D6"/>
    <w:rsid w:val="00A9068D"/>
    <w:rsid w:val="00A91FC1"/>
    <w:rsid w:val="00A97A1A"/>
    <w:rsid w:val="00AA70DA"/>
    <w:rsid w:val="00AC519B"/>
    <w:rsid w:val="00AC666D"/>
    <w:rsid w:val="00AD60D4"/>
    <w:rsid w:val="00AE48C8"/>
    <w:rsid w:val="00AE6CF4"/>
    <w:rsid w:val="00AF22B7"/>
    <w:rsid w:val="00AF6493"/>
    <w:rsid w:val="00B03962"/>
    <w:rsid w:val="00B11A3C"/>
    <w:rsid w:val="00B1268E"/>
    <w:rsid w:val="00B16DB8"/>
    <w:rsid w:val="00B176AB"/>
    <w:rsid w:val="00B17C68"/>
    <w:rsid w:val="00B24E0C"/>
    <w:rsid w:val="00B32C63"/>
    <w:rsid w:val="00B373F2"/>
    <w:rsid w:val="00B378E8"/>
    <w:rsid w:val="00B402C9"/>
    <w:rsid w:val="00B40572"/>
    <w:rsid w:val="00B4155E"/>
    <w:rsid w:val="00B41F27"/>
    <w:rsid w:val="00B436D8"/>
    <w:rsid w:val="00B5151E"/>
    <w:rsid w:val="00B54066"/>
    <w:rsid w:val="00B66890"/>
    <w:rsid w:val="00B74DB6"/>
    <w:rsid w:val="00B751D9"/>
    <w:rsid w:val="00B85741"/>
    <w:rsid w:val="00B9297C"/>
    <w:rsid w:val="00B92B3B"/>
    <w:rsid w:val="00B94470"/>
    <w:rsid w:val="00B94691"/>
    <w:rsid w:val="00BA00BF"/>
    <w:rsid w:val="00BA259F"/>
    <w:rsid w:val="00BA5B3D"/>
    <w:rsid w:val="00BB26FE"/>
    <w:rsid w:val="00BB4F5D"/>
    <w:rsid w:val="00BB612A"/>
    <w:rsid w:val="00BB65DB"/>
    <w:rsid w:val="00BC4366"/>
    <w:rsid w:val="00BC50F6"/>
    <w:rsid w:val="00BC5C08"/>
    <w:rsid w:val="00BE135E"/>
    <w:rsid w:val="00BE4157"/>
    <w:rsid w:val="00C00528"/>
    <w:rsid w:val="00C10109"/>
    <w:rsid w:val="00C22B14"/>
    <w:rsid w:val="00C23CA8"/>
    <w:rsid w:val="00C42793"/>
    <w:rsid w:val="00C50958"/>
    <w:rsid w:val="00C67F19"/>
    <w:rsid w:val="00C72357"/>
    <w:rsid w:val="00C847E2"/>
    <w:rsid w:val="00C84F42"/>
    <w:rsid w:val="00C86F18"/>
    <w:rsid w:val="00C91F04"/>
    <w:rsid w:val="00C93E5E"/>
    <w:rsid w:val="00C96F8D"/>
    <w:rsid w:val="00CA4959"/>
    <w:rsid w:val="00CA4CDA"/>
    <w:rsid w:val="00CA6637"/>
    <w:rsid w:val="00CA693F"/>
    <w:rsid w:val="00CB70A9"/>
    <w:rsid w:val="00CB733C"/>
    <w:rsid w:val="00CC120A"/>
    <w:rsid w:val="00CC40F6"/>
    <w:rsid w:val="00CC48F3"/>
    <w:rsid w:val="00CC6B5D"/>
    <w:rsid w:val="00CE0D35"/>
    <w:rsid w:val="00CE4062"/>
    <w:rsid w:val="00CF323D"/>
    <w:rsid w:val="00D02455"/>
    <w:rsid w:val="00D030C4"/>
    <w:rsid w:val="00D03478"/>
    <w:rsid w:val="00D10E4B"/>
    <w:rsid w:val="00D14EB2"/>
    <w:rsid w:val="00D1639A"/>
    <w:rsid w:val="00D2059A"/>
    <w:rsid w:val="00D27708"/>
    <w:rsid w:val="00D40929"/>
    <w:rsid w:val="00D4344B"/>
    <w:rsid w:val="00D46ABD"/>
    <w:rsid w:val="00D47812"/>
    <w:rsid w:val="00D5263E"/>
    <w:rsid w:val="00D57972"/>
    <w:rsid w:val="00D6085A"/>
    <w:rsid w:val="00D60B3F"/>
    <w:rsid w:val="00D62938"/>
    <w:rsid w:val="00D64810"/>
    <w:rsid w:val="00D64FC3"/>
    <w:rsid w:val="00D65004"/>
    <w:rsid w:val="00D65EAA"/>
    <w:rsid w:val="00D67E12"/>
    <w:rsid w:val="00D717AF"/>
    <w:rsid w:val="00D751AD"/>
    <w:rsid w:val="00D8147A"/>
    <w:rsid w:val="00D831BC"/>
    <w:rsid w:val="00D83872"/>
    <w:rsid w:val="00D8609D"/>
    <w:rsid w:val="00DA08F7"/>
    <w:rsid w:val="00DA1959"/>
    <w:rsid w:val="00DA460B"/>
    <w:rsid w:val="00DA4A45"/>
    <w:rsid w:val="00DA72C2"/>
    <w:rsid w:val="00DC4D37"/>
    <w:rsid w:val="00DD511F"/>
    <w:rsid w:val="00DE03C9"/>
    <w:rsid w:val="00DE1BCB"/>
    <w:rsid w:val="00DF3469"/>
    <w:rsid w:val="00E02C1D"/>
    <w:rsid w:val="00E02D97"/>
    <w:rsid w:val="00E03D04"/>
    <w:rsid w:val="00E063DE"/>
    <w:rsid w:val="00E15D13"/>
    <w:rsid w:val="00E1723E"/>
    <w:rsid w:val="00E24EDD"/>
    <w:rsid w:val="00E31158"/>
    <w:rsid w:val="00E3526E"/>
    <w:rsid w:val="00E414B3"/>
    <w:rsid w:val="00E461B7"/>
    <w:rsid w:val="00E51165"/>
    <w:rsid w:val="00E560EA"/>
    <w:rsid w:val="00E638A3"/>
    <w:rsid w:val="00E75FC5"/>
    <w:rsid w:val="00E853D5"/>
    <w:rsid w:val="00E86E8D"/>
    <w:rsid w:val="00E871E4"/>
    <w:rsid w:val="00E97233"/>
    <w:rsid w:val="00EA0E87"/>
    <w:rsid w:val="00EA7ABA"/>
    <w:rsid w:val="00EB0DBA"/>
    <w:rsid w:val="00EB39F2"/>
    <w:rsid w:val="00EB489D"/>
    <w:rsid w:val="00EC4D85"/>
    <w:rsid w:val="00EE57EA"/>
    <w:rsid w:val="00EE7992"/>
    <w:rsid w:val="00EF0DC4"/>
    <w:rsid w:val="00EF6670"/>
    <w:rsid w:val="00EF7316"/>
    <w:rsid w:val="00F00A17"/>
    <w:rsid w:val="00F05588"/>
    <w:rsid w:val="00F12068"/>
    <w:rsid w:val="00F13F30"/>
    <w:rsid w:val="00F208CC"/>
    <w:rsid w:val="00F2749D"/>
    <w:rsid w:val="00F275CC"/>
    <w:rsid w:val="00F432EA"/>
    <w:rsid w:val="00F55426"/>
    <w:rsid w:val="00F565B0"/>
    <w:rsid w:val="00F60B8F"/>
    <w:rsid w:val="00F71823"/>
    <w:rsid w:val="00F75DF6"/>
    <w:rsid w:val="00F7607B"/>
    <w:rsid w:val="00F80982"/>
    <w:rsid w:val="00F873F9"/>
    <w:rsid w:val="00F93C74"/>
    <w:rsid w:val="00F964F3"/>
    <w:rsid w:val="00F9798F"/>
    <w:rsid w:val="00FA67FC"/>
    <w:rsid w:val="00FB11DD"/>
    <w:rsid w:val="00FD382B"/>
    <w:rsid w:val="00FD5B72"/>
    <w:rsid w:val="00FD7098"/>
    <w:rsid w:val="00FD75CC"/>
    <w:rsid w:val="00FE02E0"/>
    <w:rsid w:val="00FE0596"/>
    <w:rsid w:val="00FE3A34"/>
    <w:rsid w:val="00FF6876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CD81"/>
  <w15:chartTrackingRefBased/>
  <w15:docId w15:val="{C78FF9E9-9EBF-4BA7-A36A-E5FB9AC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link w:val="NormalChar"/>
    <w:rsid w:val="00E352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Left">
    <w:name w:val="Table Left"/>
    <w:rsid w:val="00E3526E"/>
    <w:pPr>
      <w:tabs>
        <w:tab w:val="left" w:pos="360"/>
        <w:tab w:val="left" w:pos="720"/>
        <w:tab w:val="left" w:pos="1080"/>
        <w:tab w:val="left" w:pos="1440"/>
      </w:tabs>
      <w:spacing w:before="20" w:after="20"/>
    </w:pPr>
    <w:rPr>
      <w:rFonts w:ascii="Times New Roman" w:eastAsia="Arial" w:hAnsi="Times New Roman" w:cs="Times New Roman"/>
      <w:sz w:val="20"/>
      <w:szCs w:val="20"/>
    </w:rPr>
  </w:style>
  <w:style w:type="table" w:customStyle="1" w:styleId="TableSeaGen">
    <w:name w:val="Table SeaGen"/>
    <w:basedOn w:val="TableNormal"/>
    <w:rsid w:val="00E3526E"/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tblPr/>
      <w:tcPr>
        <w:tcBorders>
          <w:top w:val="single" w:sz="4" w:space="0" w:color="auto"/>
          <w:bottom w:val="single" w:sz="4" w:space="0" w:color="auto"/>
        </w:tcBorders>
        <w:vAlign w:val="bottom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NormalChar">
    <w:name w:val="[Normal] Char"/>
    <w:basedOn w:val="DefaultParagraphFont"/>
    <w:link w:val="Normal0"/>
    <w:rsid w:val="00E3526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Convente, PhD (SP)</dc:creator>
  <cp:keywords/>
  <dc:description/>
  <cp:lastModifiedBy>Michael Convente, PhD (SP)</cp:lastModifiedBy>
  <cp:revision>10</cp:revision>
  <dcterms:created xsi:type="dcterms:W3CDTF">2019-11-06T22:23:00Z</dcterms:created>
  <dcterms:modified xsi:type="dcterms:W3CDTF">2019-11-08T20:41:00Z</dcterms:modified>
</cp:coreProperties>
</file>