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388A1" w14:textId="72C6901F" w:rsidR="006E3141" w:rsidRPr="008F26C6" w:rsidRDefault="006E3141" w:rsidP="006E314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8F26C6">
        <w:rPr>
          <w:rFonts w:ascii="Times New Roman" w:hAnsi="Times New Roman" w:cs="Times New Roman"/>
          <w:b/>
          <w:bCs/>
        </w:rPr>
        <w:t xml:space="preserve">MP-Pt(IV): A MAOB-sensitive mitochondrial-specific drug for treating </w:t>
      </w:r>
      <w:r w:rsidR="00F7691C" w:rsidRPr="008F26C6">
        <w:rPr>
          <w:rFonts w:ascii="Times New Roman" w:hAnsi="Times New Roman" w:cs="Times New Roman"/>
          <w:b/>
          <w:bCs/>
        </w:rPr>
        <w:t>g</w:t>
      </w:r>
      <w:r w:rsidR="009C30CE" w:rsidRPr="008F26C6">
        <w:rPr>
          <w:rFonts w:ascii="Times New Roman" w:hAnsi="Times New Roman" w:cs="Times New Roman"/>
          <w:b/>
          <w:bCs/>
        </w:rPr>
        <w:t>lioblastoma</w:t>
      </w:r>
    </w:p>
    <w:p w14:paraId="50834790" w14:textId="77777777" w:rsidR="006E3141" w:rsidRPr="008F26C6" w:rsidRDefault="006E3141" w:rsidP="006E3141">
      <w:pPr>
        <w:spacing w:line="480" w:lineRule="auto"/>
        <w:jc w:val="both"/>
        <w:rPr>
          <w:rFonts w:ascii="Times New Roman" w:hAnsi="Times New Roman" w:cs="Times New Roman"/>
          <w:b/>
          <w:vertAlign w:val="superscript"/>
        </w:rPr>
      </w:pPr>
      <w:r w:rsidRPr="008F26C6">
        <w:rPr>
          <w:rFonts w:ascii="Times New Roman" w:hAnsi="Times New Roman" w:cs="Times New Roman"/>
          <w:b/>
        </w:rPr>
        <w:t>Sudhir Raghavan</w:t>
      </w:r>
      <w:r w:rsidRPr="008F26C6">
        <w:rPr>
          <w:rFonts w:ascii="Times New Roman" w:hAnsi="Times New Roman" w:cs="Times New Roman"/>
          <w:b/>
          <w:vertAlign w:val="superscript"/>
        </w:rPr>
        <w:t>1</w:t>
      </w:r>
      <w:r w:rsidR="00655D30" w:rsidRPr="008F26C6">
        <w:rPr>
          <w:rFonts w:ascii="Times New Roman" w:hAnsi="Times New Roman" w:cs="Times New Roman"/>
          <w:b/>
          <w:vertAlign w:val="superscript"/>
        </w:rPr>
        <w:t>,2</w:t>
      </w:r>
      <w:r w:rsidRPr="008F26C6">
        <w:rPr>
          <w:rFonts w:ascii="Times New Roman" w:hAnsi="Times New Roman" w:cs="Times New Roman"/>
          <w:b/>
        </w:rPr>
        <w:t>, David S. Baskin</w:t>
      </w:r>
      <w:r w:rsidRPr="008F26C6">
        <w:rPr>
          <w:rFonts w:ascii="Times New Roman" w:hAnsi="Times New Roman" w:cs="Times New Roman"/>
          <w:b/>
          <w:vertAlign w:val="superscript"/>
        </w:rPr>
        <w:t>1</w:t>
      </w:r>
      <w:r w:rsidR="00655D30" w:rsidRPr="008F26C6">
        <w:rPr>
          <w:rFonts w:ascii="Times New Roman" w:hAnsi="Times New Roman" w:cs="Times New Roman"/>
          <w:b/>
          <w:vertAlign w:val="superscript"/>
        </w:rPr>
        <w:t>,2</w:t>
      </w:r>
      <w:r w:rsidRPr="008F26C6">
        <w:rPr>
          <w:rFonts w:ascii="Times New Roman" w:hAnsi="Times New Roman" w:cs="Times New Roman"/>
          <w:b/>
          <w:vertAlign w:val="superscript"/>
        </w:rPr>
        <w:t>*</w:t>
      </w:r>
      <w:r w:rsidRPr="008F26C6">
        <w:rPr>
          <w:rFonts w:ascii="Times New Roman" w:hAnsi="Times New Roman" w:cs="Times New Roman"/>
          <w:b/>
        </w:rPr>
        <w:t xml:space="preserve"> and Martyn A. Sharpe</w:t>
      </w:r>
      <w:r w:rsidRPr="008F26C6">
        <w:rPr>
          <w:rFonts w:ascii="Times New Roman" w:hAnsi="Times New Roman" w:cs="Times New Roman"/>
          <w:b/>
          <w:vertAlign w:val="superscript"/>
        </w:rPr>
        <w:t>1</w:t>
      </w:r>
      <w:r w:rsidR="00655D30" w:rsidRPr="008F26C6">
        <w:rPr>
          <w:rFonts w:ascii="Times New Roman" w:hAnsi="Times New Roman" w:cs="Times New Roman"/>
          <w:b/>
          <w:vertAlign w:val="superscript"/>
        </w:rPr>
        <w:t>,2</w:t>
      </w:r>
      <w:r w:rsidRPr="008F26C6">
        <w:rPr>
          <w:rFonts w:ascii="Times New Roman" w:hAnsi="Times New Roman" w:cs="Times New Roman"/>
          <w:b/>
          <w:vertAlign w:val="superscript"/>
        </w:rPr>
        <w:t>*</w:t>
      </w:r>
    </w:p>
    <w:p w14:paraId="06DC24D0" w14:textId="59DD697A" w:rsidR="006E3141" w:rsidRPr="008F26C6" w:rsidRDefault="006E3141" w:rsidP="00440518">
      <w:pPr>
        <w:spacing w:line="480" w:lineRule="auto"/>
        <w:jc w:val="both"/>
        <w:rPr>
          <w:rFonts w:ascii="Times New Roman" w:hAnsi="Times New Roman" w:cs="Times New Roman"/>
        </w:rPr>
      </w:pPr>
      <w:r w:rsidRPr="008F26C6">
        <w:rPr>
          <w:rFonts w:ascii="Times New Roman" w:hAnsi="Times New Roman" w:cs="Times New Roman"/>
          <w:vertAlign w:val="superscript"/>
        </w:rPr>
        <w:t>1</w:t>
      </w:r>
      <w:r w:rsidRPr="008F26C6">
        <w:rPr>
          <w:rFonts w:ascii="Times New Roman" w:hAnsi="Times New Roman" w:cs="Times New Roman"/>
        </w:rPr>
        <w:t xml:space="preserve"> Kenneth R. Peak Brain and Pituitary Treatment Center and the Department of Neurosurgery, Houston Methodist Hospital</w:t>
      </w:r>
      <w:r w:rsidR="0056094D" w:rsidRPr="008F26C6">
        <w:rPr>
          <w:rFonts w:ascii="Times New Roman" w:hAnsi="Times New Roman" w:cs="Times New Roman"/>
        </w:rPr>
        <w:t>,</w:t>
      </w:r>
      <w:r w:rsidRPr="008F26C6">
        <w:rPr>
          <w:rFonts w:ascii="Times New Roman" w:hAnsi="Times New Roman" w:cs="Times New Roman"/>
        </w:rPr>
        <w:t xml:space="preserve"> and </w:t>
      </w:r>
      <w:r w:rsidR="00655D30" w:rsidRPr="008F26C6">
        <w:rPr>
          <w:rFonts w:ascii="Times New Roman" w:hAnsi="Times New Roman" w:cs="Times New Roman"/>
        </w:rPr>
        <w:t>2</w:t>
      </w:r>
      <w:r w:rsidR="003A586A" w:rsidRPr="008F26C6">
        <w:rPr>
          <w:rFonts w:ascii="Times New Roman" w:hAnsi="Times New Roman" w:cs="Times New Roman"/>
        </w:rPr>
        <w:t xml:space="preserve"> </w:t>
      </w:r>
      <w:r w:rsidRPr="008F26C6">
        <w:rPr>
          <w:rFonts w:ascii="Times New Roman" w:hAnsi="Times New Roman" w:cs="Times New Roman"/>
        </w:rPr>
        <w:t>Houston Methodist Research Institute, 6565 Fannin Street, Houston, TX 77030.</w:t>
      </w:r>
    </w:p>
    <w:p w14:paraId="0870D5B6" w14:textId="77777777" w:rsidR="009C1260" w:rsidRPr="008F26C6" w:rsidRDefault="009C1260" w:rsidP="00415D21">
      <w:pPr>
        <w:spacing w:line="480" w:lineRule="auto"/>
        <w:rPr>
          <w:rStyle w:val="Hyperlink"/>
          <w:rFonts w:ascii="Times New Roman" w:eastAsia="Times New Roman" w:hAnsi="Times New Roman" w:cs="Times New Roman"/>
          <w:b/>
          <w:bCs/>
          <w:color w:val="auto"/>
          <w:u w:val="none"/>
        </w:rPr>
      </w:pPr>
    </w:p>
    <w:p w14:paraId="0FF72F4D" w14:textId="77777777" w:rsidR="00415D21" w:rsidRPr="008F26C6" w:rsidRDefault="00415D21" w:rsidP="00415D21">
      <w:pPr>
        <w:spacing w:line="480" w:lineRule="auto"/>
        <w:rPr>
          <w:rFonts w:ascii="Times New Roman" w:hAnsi="Times New Roman" w:cs="Times New Roman"/>
          <w:bCs/>
        </w:rPr>
      </w:pPr>
      <w:r w:rsidRPr="008F26C6">
        <w:rPr>
          <w:rStyle w:val="Hyperlink"/>
          <w:rFonts w:ascii="Times New Roman" w:eastAsia="Times New Roman" w:hAnsi="Times New Roman" w:cs="Times New Roman"/>
          <w:b/>
          <w:bCs/>
          <w:color w:val="auto"/>
          <w:u w:val="none"/>
        </w:rPr>
        <w:t xml:space="preserve">Running title: </w:t>
      </w:r>
      <w:r w:rsidRPr="008F26C6">
        <w:rPr>
          <w:rFonts w:ascii="Times New Roman" w:hAnsi="Times New Roman" w:cs="Times New Roman"/>
          <w:bCs/>
        </w:rPr>
        <w:t>MP-Pt(IV): A MAOB-sensitive prodrug against GBM</w:t>
      </w:r>
    </w:p>
    <w:p w14:paraId="6BC35D4A" w14:textId="040EFA5C" w:rsidR="009C1260" w:rsidRPr="008F26C6" w:rsidRDefault="009C1260" w:rsidP="009C1260">
      <w:pPr>
        <w:spacing w:before="100" w:beforeAutospacing="1" w:after="100" w:afterAutospacing="1" w:line="480" w:lineRule="auto"/>
        <w:jc w:val="both"/>
        <w:outlineLvl w:val="1"/>
        <w:rPr>
          <w:rStyle w:val="Hyperlink"/>
          <w:rFonts w:ascii="Times New Roman" w:eastAsia="Times New Roman" w:hAnsi="Times New Roman" w:cs="Times New Roman"/>
          <w:bCs/>
        </w:rPr>
      </w:pPr>
      <w:r w:rsidRPr="008F26C6">
        <w:rPr>
          <w:rFonts w:ascii="Times New Roman" w:hAnsi="Times New Roman" w:cs="Times New Roman"/>
        </w:rPr>
        <w:t>*</w:t>
      </w:r>
      <w:r w:rsidRPr="008F26C6">
        <w:rPr>
          <w:rFonts w:ascii="Times New Roman" w:hAnsi="Times New Roman" w:cs="Times New Roman"/>
          <w:b/>
        </w:rPr>
        <w:t>Corresponding authors:</w:t>
      </w:r>
      <w:r w:rsidRPr="008F26C6">
        <w:rPr>
          <w:rFonts w:ascii="Times New Roman" w:hAnsi="Times New Roman" w:cs="Times New Roman"/>
        </w:rPr>
        <w:t xml:space="preserve"> </w:t>
      </w:r>
      <w:r w:rsidRPr="008F26C6">
        <w:rPr>
          <w:rFonts w:ascii="Times New Roman" w:eastAsia="Times New Roman" w:hAnsi="Times New Roman" w:cs="Times New Roman"/>
          <w:bCs/>
        </w:rPr>
        <w:t xml:space="preserve">Martyn A Sharpe: Department of Neurosurgery, </w:t>
      </w:r>
      <w:r w:rsidRPr="008F26C6">
        <w:rPr>
          <w:rFonts w:ascii="Times New Roman" w:hAnsi="Times New Roman" w:cs="Times New Roman"/>
        </w:rPr>
        <w:t xml:space="preserve">Kenneth R. Peak Brain and Pituitary Tumor Center, Houston Methodist Hospital, 6565 Fannin Street, Houston, TX 77030; </w:t>
      </w:r>
      <w:hyperlink r:id="rId8" w:history="1">
        <w:r w:rsidRPr="008F26C6">
          <w:rPr>
            <w:rStyle w:val="Hyperlink"/>
            <w:rFonts w:ascii="Times New Roman" w:eastAsia="Times New Roman" w:hAnsi="Times New Roman" w:cs="Times New Roman"/>
            <w:bCs/>
          </w:rPr>
          <w:t>masharpe@houstonmethodist.org</w:t>
        </w:r>
      </w:hyperlink>
      <w:r w:rsidRPr="008F26C6">
        <w:rPr>
          <w:rFonts w:ascii="Times New Roman" w:eastAsia="Times New Roman" w:hAnsi="Times New Roman" w:cs="Times New Roman"/>
          <w:bCs/>
        </w:rPr>
        <w:t xml:space="preserve">; or David S. Baskin, MD: Department of Neurosurgery, </w:t>
      </w:r>
      <w:r w:rsidRPr="008F26C6">
        <w:rPr>
          <w:rFonts w:ascii="Times New Roman" w:hAnsi="Times New Roman" w:cs="Times New Roman"/>
        </w:rPr>
        <w:t xml:space="preserve">Kenneth R. Peak Brain and Pituitary Tumor Center, Houston Methodist Hospital, </w:t>
      </w:r>
      <w:r w:rsidR="000242CA" w:rsidRPr="008F26C6">
        <w:rPr>
          <w:rFonts w:ascii="Times New Roman" w:hAnsi="Times New Roman" w:cs="Times New Roman"/>
        </w:rPr>
        <w:t xml:space="preserve">6445 Main Street, OPC 24, </w:t>
      </w:r>
      <w:r w:rsidRPr="008F26C6">
        <w:rPr>
          <w:rFonts w:ascii="Times New Roman" w:hAnsi="Times New Roman" w:cs="Times New Roman"/>
        </w:rPr>
        <w:t xml:space="preserve">Houston, TX 77030; </w:t>
      </w:r>
      <w:hyperlink r:id="rId9" w:history="1">
        <w:r w:rsidRPr="008F26C6">
          <w:rPr>
            <w:rStyle w:val="Hyperlink"/>
            <w:rFonts w:ascii="Times New Roman" w:eastAsia="Times New Roman" w:hAnsi="Times New Roman" w:cs="Times New Roman"/>
            <w:bCs/>
          </w:rPr>
          <w:t>dbaskin@houstonmethodist.org</w:t>
        </w:r>
      </w:hyperlink>
    </w:p>
    <w:p w14:paraId="624558A5" w14:textId="77777777" w:rsidR="00372A62" w:rsidRPr="008F26C6" w:rsidRDefault="00372A62">
      <w:pPr>
        <w:rPr>
          <w:rFonts w:ascii="Times New Roman" w:eastAsia="Times New Roman" w:hAnsi="Times New Roman" w:cs="Times New Roman"/>
          <w:b/>
          <w:color w:val="000000"/>
        </w:rPr>
      </w:pPr>
      <w:r w:rsidRPr="008F26C6">
        <w:rPr>
          <w:rFonts w:ascii="Times New Roman" w:eastAsia="Times New Roman" w:hAnsi="Times New Roman" w:cs="Times New Roman"/>
          <w:b/>
          <w:color w:val="000000"/>
        </w:rPr>
        <w:br w:type="page"/>
      </w:r>
    </w:p>
    <w:p w14:paraId="0B3E3CF1" w14:textId="17568B2F" w:rsidR="00870F74" w:rsidRPr="008F26C6" w:rsidRDefault="00870F74" w:rsidP="00870F74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8F26C6">
        <w:rPr>
          <w:rFonts w:ascii="Times New Roman" w:hAnsi="Times New Roman" w:cs="Times New Roman"/>
          <w:b/>
        </w:rPr>
        <w:lastRenderedPageBreak/>
        <w:t>Supplementary Information:</w:t>
      </w:r>
    </w:p>
    <w:p w14:paraId="377525AF" w14:textId="77777777" w:rsidR="000B5933" w:rsidRPr="008F26C6" w:rsidRDefault="00DA2537" w:rsidP="00DA2537">
      <w:p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8F26C6">
        <w:rPr>
          <w:rFonts w:ascii="Times New Roman" w:hAnsi="Times New Roman" w:cs="Times New Roman"/>
          <w:b/>
          <w:noProof/>
        </w:rPr>
        <w:drawing>
          <wp:inline distT="0" distB="0" distL="0" distR="0" wp14:anchorId="5AC2407D" wp14:editId="5DFCF6C5">
            <wp:extent cx="5149969" cy="76171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1 (Survival MAOB, mitochondria and Warburg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" b="1367"/>
                    <a:stretch/>
                  </pic:blipFill>
                  <pic:spPr bwMode="auto">
                    <a:xfrm>
                      <a:off x="0" y="0"/>
                      <a:ext cx="5149969" cy="761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D6B890" w14:textId="4809BEB1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eastAsia="Times New Roman" w:hAnsi="Times New Roman" w:cs="Times New Roman"/>
          <w:b/>
          <w:color w:val="000000"/>
        </w:rPr>
        <w:lastRenderedPageBreak/>
        <w:t>Supplemental Figure 1.</w:t>
      </w:r>
      <w:r w:rsidRPr="008F26C6">
        <w:rPr>
          <w:rFonts w:ascii="Times New Roman" w:hAnsi="Times New Roman" w:cs="Times New Roman"/>
          <w:color w:val="000000" w:themeColor="text1"/>
        </w:rPr>
        <w:t xml:space="preserve"> </w:t>
      </w:r>
    </w:p>
    <w:p w14:paraId="54735955" w14:textId="7200E616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hAnsi="Times New Roman" w:cs="Times New Roman"/>
          <w:color w:val="000000" w:themeColor="text1"/>
        </w:rPr>
        <w:t>In Supplemental Figure 1 we show a series of Kaplan-Meier curves, using data of GBM patient survival drawn from the TCGA RNASeq, the Gravendeel</w:t>
      </w:r>
      <w:r w:rsidR="00CF1A06">
        <w:rPr>
          <w:rFonts w:ascii="Times New Roman" w:hAnsi="Times New Roman" w:cs="Times New Roman"/>
          <w:color w:val="000000" w:themeColor="text1"/>
        </w:rPr>
        <w:t>,</w:t>
      </w:r>
      <w:r w:rsidRPr="008F26C6">
        <w:rPr>
          <w:rFonts w:ascii="Times New Roman" w:hAnsi="Times New Roman" w:cs="Times New Roman"/>
          <w:color w:val="000000" w:themeColor="text1"/>
        </w:rPr>
        <w:t xml:space="preserve"> and the Chinese Glioma Genome Atlas (CGGA) databases. The effects of the mitochondrial proxies, TFAM (A) and MTPAP (B), and the ratio of MAOB to these mitochondria-proxies, is the essentially the same as that observed in Figure 1 using the mitochondrial proxy COX15. Patients whose tumors have low levels of the mitochondrial-proxies have poor outcomes and a high MAOB/Mitochondrial-proxy ratio is also linked to early death. In Supplemental Figure 1C., we show that expression of the Warburg-linked gene, LDHA (Lactate dehydrogenase A), negatively effects GBM patient survival. Large Warburg-shifts are indicative of aggressive GBM, which is seen from examining the tumor LDHA/COX15 ratio and outcome.  </w:t>
      </w:r>
    </w:p>
    <w:p w14:paraId="6836F6CE" w14:textId="77777777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hAnsi="Times New Roman" w:cs="Times New Roman"/>
          <w:color w:val="000000" w:themeColor="text1"/>
        </w:rPr>
        <w:t xml:space="preserve">Survival curves of tumors with high transcript levels/ratios are shown with red circles and low transcript levels/ratios using blue triangles. The Kaplan-Meier curves were analyzed using the chi-square log-rank test and the calculated </w:t>
      </w:r>
      <w:r w:rsidRPr="008F26C6">
        <w:rPr>
          <w:rFonts w:ascii="Times New Roman" w:hAnsi="Times New Roman" w:cs="Times New Roman"/>
          <w:i/>
          <w:color w:val="000000" w:themeColor="text1"/>
        </w:rPr>
        <w:t>p</w:t>
      </w:r>
      <w:r w:rsidRPr="008F26C6">
        <w:rPr>
          <w:rFonts w:ascii="Times New Roman" w:hAnsi="Times New Roman" w:cs="Times New Roman"/>
          <w:color w:val="000000" w:themeColor="text1"/>
        </w:rPr>
        <w:t>-value is indicated on each plot.</w:t>
      </w:r>
    </w:p>
    <w:p w14:paraId="1FA73061" w14:textId="77777777" w:rsidR="00DA2537" w:rsidRPr="008F26C6" w:rsidRDefault="00DA2537" w:rsidP="00DA2537">
      <w:pPr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hAnsi="Times New Roman" w:cs="Times New Roman"/>
          <w:color w:val="000000" w:themeColor="text1"/>
        </w:rPr>
        <w:br w:type="page"/>
      </w:r>
    </w:p>
    <w:p w14:paraId="182DF435" w14:textId="77777777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eastAsia="Times New Roman" w:hAnsi="Times New Roman" w:cs="Times New Roman"/>
          <w:b/>
          <w:noProof/>
          <w:color w:val="000000"/>
        </w:rPr>
        <w:lastRenderedPageBreak/>
        <w:drawing>
          <wp:inline distT="0" distB="0" distL="0" distR="0" wp14:anchorId="12775E28" wp14:editId="0863E02E">
            <wp:extent cx="5943600" cy="3268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2 (Gtex MAOB and mitochondria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6C6">
        <w:rPr>
          <w:rFonts w:ascii="Times New Roman" w:eastAsia="Times New Roman" w:hAnsi="Times New Roman" w:cs="Times New Roman"/>
          <w:b/>
          <w:color w:val="000000"/>
        </w:rPr>
        <w:t>Supplemental Figure 2.</w:t>
      </w:r>
      <w:r w:rsidRPr="008F26C6">
        <w:rPr>
          <w:rFonts w:ascii="Times New Roman" w:hAnsi="Times New Roman" w:cs="Times New Roman"/>
          <w:color w:val="000000" w:themeColor="text1"/>
        </w:rPr>
        <w:t xml:space="preserve"> </w:t>
      </w:r>
    </w:p>
    <w:p w14:paraId="35FE4A87" w14:textId="7A837C2C" w:rsidR="000B5933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hAnsi="Times New Roman" w:cs="Times New Roman"/>
          <w:color w:val="000000" w:themeColor="text1"/>
        </w:rPr>
        <w:t xml:space="preserve">In Supplemental Figure 2 we show the MAOB mRNA transcript levels in human tissues and three mRNA transcript levels of mitochondrial-proxy genes; proxies used in Figure 2 and Supplemental Figure 1. Data was drawn from the Gtex database (https://gtexportal.org/home/). MAOB levels are highest in the hypothalamus and liver. The levels of normal human brain and liver are comparable, and MAOB activity in GBM is ≈8-fold greater in GBM than in normal brain tissue.  </w:t>
      </w:r>
    </w:p>
    <w:p w14:paraId="213FA3AA" w14:textId="77777777" w:rsidR="000B5933" w:rsidRPr="008F26C6" w:rsidRDefault="000B5933">
      <w:pPr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hAnsi="Times New Roman" w:cs="Times New Roman"/>
          <w:color w:val="000000" w:themeColor="text1"/>
        </w:rPr>
        <w:br w:type="page"/>
      </w:r>
    </w:p>
    <w:p w14:paraId="2D6FCB8D" w14:textId="77777777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7DFB770" wp14:editId="5C8D31AE">
            <wp:extent cx="5936776" cy="2968389"/>
            <wp:effectExtent l="0" t="0" r="698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imental Figure 5 (mass spec)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36754" r="2029"/>
                    <a:stretch/>
                  </pic:blipFill>
                  <pic:spPr bwMode="auto">
                    <a:xfrm>
                      <a:off x="0" y="0"/>
                      <a:ext cx="5939049" cy="296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0A5AF" w14:textId="4FF2C64D" w:rsidR="00DA2537" w:rsidRPr="008F26C6" w:rsidRDefault="00DA2537" w:rsidP="00440518">
      <w:pPr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eastAsia="Times New Roman" w:hAnsi="Times New Roman" w:cs="Times New Roman"/>
          <w:b/>
          <w:color w:val="000000"/>
        </w:rPr>
        <w:t xml:space="preserve">Supplemental Figure </w:t>
      </w:r>
      <w:r w:rsidR="00281578" w:rsidRPr="008F26C6">
        <w:rPr>
          <w:rFonts w:ascii="Times New Roman" w:eastAsia="Times New Roman" w:hAnsi="Times New Roman" w:cs="Times New Roman"/>
          <w:b/>
          <w:color w:val="000000"/>
        </w:rPr>
        <w:t>3</w:t>
      </w:r>
      <w:r w:rsidRPr="008F26C6">
        <w:rPr>
          <w:rFonts w:ascii="Times New Roman" w:eastAsia="Times New Roman" w:hAnsi="Times New Roman" w:cs="Times New Roman"/>
          <w:b/>
          <w:color w:val="000000"/>
        </w:rPr>
        <w:t>.</w:t>
      </w:r>
      <w:r w:rsidRPr="008F26C6">
        <w:rPr>
          <w:rFonts w:ascii="Times New Roman" w:hAnsi="Times New Roman" w:cs="Times New Roman"/>
          <w:color w:val="000000" w:themeColor="text1"/>
        </w:rPr>
        <w:t xml:space="preserve"> </w:t>
      </w:r>
    </w:p>
    <w:p w14:paraId="2940ECAA" w14:textId="77777777" w:rsidR="00DA2537" w:rsidRPr="008F26C6" w:rsidRDefault="00DA2537" w:rsidP="00DA2537">
      <w:pPr>
        <w:jc w:val="both"/>
        <w:rPr>
          <w:rFonts w:ascii="Times New Roman" w:hAnsi="Times New Roman" w:cs="Times New Roman"/>
          <w:bCs/>
        </w:rPr>
      </w:pPr>
      <w:r w:rsidRPr="008F26C6">
        <w:rPr>
          <w:rFonts w:ascii="Times New Roman" w:hAnsi="Times New Roman" w:cs="Times New Roman"/>
          <w:color w:val="000000" w:themeColor="text1"/>
        </w:rPr>
        <w:t>Reduction of MP-Pt(IV) by ascorbate (Asc). MP-Pt(IV) undergoes a two-step transformation into the active Pt(II) species and releases the MP-ethylene glycol conjugate. (A) Mass spectra (ESI, positive mode) of the cell lysates shows unchanged MP-Pt(IV) (m/z 596.9, M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Na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H</w:t>
      </w:r>
      <w:r w:rsidRPr="008F26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8F26C6">
        <w:rPr>
          <w:rFonts w:ascii="Times New Roman" w:hAnsi="Times New Roman" w:cs="Times New Roman"/>
          <w:color w:val="000000" w:themeColor="text1"/>
        </w:rPr>
        <w:t>O) and the single electron reduced Pt(III) species (m/z 551.9, M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H</w:t>
      </w:r>
      <w:r w:rsidRPr="008F26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8F26C6">
        <w:rPr>
          <w:rFonts w:ascii="Times New Roman" w:hAnsi="Times New Roman" w:cs="Times New Roman"/>
          <w:color w:val="000000" w:themeColor="text1"/>
        </w:rPr>
        <w:t>O). MP-ethylene glycol adducts are also observed at m/z 214.1 (M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H) and 236.1 (M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Na). Cisplatin (m/z 300, M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H) and the MP-carboxylic acid (m/z 169. M</w:t>
      </w:r>
      <w:r w:rsidRPr="008F26C6">
        <w:rPr>
          <w:rFonts w:ascii="Times New Roman" w:hAnsi="Times New Roman" w:cs="Times New Roman"/>
          <w:color w:val="000000" w:themeColor="text1"/>
          <w:vertAlign w:val="superscript"/>
        </w:rPr>
        <w:t>+</w:t>
      </w:r>
      <w:r w:rsidRPr="008F26C6">
        <w:rPr>
          <w:rFonts w:ascii="Times New Roman" w:hAnsi="Times New Roman" w:cs="Times New Roman"/>
          <w:color w:val="000000" w:themeColor="text1"/>
        </w:rPr>
        <w:t>H) are not seen in the ESI mass spectra. (B) Proposed route for the sequential activation of MP-Pt(IV) by Asc-mediated reduction into the Pt(II) species in the mitochondria.  (C) Kinetics of Pt(IV) reduction show that it is first order with respect to Pt(IV).</w:t>
      </w:r>
    </w:p>
    <w:p w14:paraId="3AC3F12D" w14:textId="1E8B511A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  <w:lang w:val="en-CA"/>
        </w:rPr>
      </w:pPr>
      <w:r w:rsidRPr="008F26C6">
        <w:rPr>
          <w:rFonts w:ascii="Times New Roman" w:hAnsi="Times New Roman" w:cs="Times New Roman"/>
          <w:color w:val="000000" w:themeColor="text1"/>
          <w:lang w:val="en-CA"/>
        </w:rPr>
        <w:t>We monitored the reduction of Pt(IV) to Pt(II) by Asc using mass spectrometry and uv spectroscopy. Asc (5 mM) was incubated with 100 µM MP-Pt(IV) in PBS (pH 7.0) for 1 hour, 37 ºC, and an ESI (+) mass spectrum was obtained (Suppl</w:t>
      </w:r>
      <w:r w:rsidR="00F7367A" w:rsidRPr="008F26C6">
        <w:rPr>
          <w:rFonts w:ascii="Times New Roman" w:hAnsi="Times New Roman" w:cs="Times New Roman"/>
          <w:color w:val="000000" w:themeColor="text1"/>
          <w:lang w:val="en-CA"/>
        </w:rPr>
        <w:t>emental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Fig5A). </w:t>
      </w:r>
    </w:p>
    <w:p w14:paraId="0A0826C4" w14:textId="77777777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  <w:lang w:val="en-CA"/>
        </w:rPr>
      </w:pPr>
      <w:r w:rsidRPr="008F26C6">
        <w:rPr>
          <w:rFonts w:ascii="Times New Roman" w:hAnsi="Times New Roman" w:cs="Times New Roman"/>
          <w:color w:val="000000" w:themeColor="text1"/>
          <w:lang w:val="en-CA"/>
        </w:rPr>
        <w:t>We see the unreacted prodrug either as an aqua/sodium adduct or as the aqua/methanol protonated species (m/z centered at 596.9). We also observe the Na</w:t>
      </w:r>
      <w:r w:rsidRPr="008F26C6">
        <w:rPr>
          <w:rFonts w:ascii="Times New Roman" w:hAnsi="Times New Roman" w:cs="Times New Roman"/>
          <w:color w:val="000000" w:themeColor="text1"/>
          <w:vertAlign w:val="superscript"/>
          <w:lang w:val="en-CA"/>
        </w:rPr>
        <w:t>+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>/H</w:t>
      </w:r>
      <w:r w:rsidRPr="008F26C6">
        <w:rPr>
          <w:rFonts w:ascii="Times New Roman" w:hAnsi="Times New Roman" w:cs="Times New Roman"/>
          <w:color w:val="000000" w:themeColor="text1"/>
          <w:vertAlign w:val="superscript"/>
          <w:lang w:val="en-CA"/>
        </w:rPr>
        <w:t>+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adducts of the MP-ethylene glycol (m/z 236.1 and 214.1 respectively), indicating loss of the platinum from the prodrug. We do not observe the MP-carboxylate (M</w:t>
      </w:r>
      <w:r w:rsidRPr="008F26C6">
        <w:rPr>
          <w:rFonts w:ascii="Times New Roman" w:hAnsi="Times New Roman" w:cs="Times New Roman"/>
          <w:color w:val="000000" w:themeColor="text1"/>
          <w:vertAlign w:val="superscript"/>
          <w:lang w:val="en-CA"/>
        </w:rPr>
        <w:t>+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H, m/z 169), indicating the absence of reductive de-esterification. We also did not observe cisplatin, which is not surprising as this species forms few charged adducts. The released MP-carboxylate species could not be observed in mass spectra conducted under identical conditions for MP-Pt(IV) without incubation with Asc. </w:t>
      </w:r>
    </w:p>
    <w:p w14:paraId="75C3D164" w14:textId="77777777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  <w:lang w:val="en-CA"/>
        </w:rPr>
      </w:pPr>
    </w:p>
    <w:p w14:paraId="7444DF43" w14:textId="77777777" w:rsidR="00DA2537" w:rsidRPr="008F26C6" w:rsidRDefault="00DA2537" w:rsidP="00DA2537">
      <w:pPr>
        <w:rPr>
          <w:rFonts w:ascii="Times New Roman" w:hAnsi="Times New Roman" w:cs="Times New Roman"/>
          <w:color w:val="000000" w:themeColor="text1"/>
          <w:lang w:val="en-CA"/>
        </w:rPr>
      </w:pPr>
      <w:r w:rsidRPr="008F26C6">
        <w:rPr>
          <w:rFonts w:ascii="Times New Roman" w:hAnsi="Times New Roman" w:cs="Times New Roman"/>
          <w:color w:val="000000" w:themeColor="text1"/>
          <w:lang w:val="en-CA"/>
        </w:rPr>
        <w:br w:type="page"/>
      </w:r>
    </w:p>
    <w:p w14:paraId="5E907C85" w14:textId="77777777" w:rsidR="00372A62" w:rsidRPr="008F26C6" w:rsidRDefault="00DA2537" w:rsidP="005B7E51">
      <w:pPr>
        <w:spacing w:line="240" w:lineRule="auto"/>
        <w:jc w:val="center"/>
        <w:rPr>
          <w:rFonts w:ascii="Times New Roman" w:hAnsi="Times New Roman" w:cs="Times New Roman"/>
          <w:b/>
          <w:lang w:val="en-CA"/>
        </w:rPr>
      </w:pPr>
      <w:r w:rsidRPr="008F26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B7D2ED" wp14:editId="16079253">
            <wp:extent cx="5195150" cy="6740080"/>
            <wp:effectExtent l="0" t="0" r="571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ure 6 (GBM115and156 MT and MAOB)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" b="1567"/>
                    <a:stretch/>
                  </pic:blipFill>
                  <pic:spPr bwMode="auto">
                    <a:xfrm>
                      <a:off x="0" y="0"/>
                      <a:ext cx="5215787" cy="676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86573" w14:textId="6805D786" w:rsidR="00DA2537" w:rsidRPr="008F26C6" w:rsidRDefault="00DA2537" w:rsidP="00440518">
      <w:pPr>
        <w:spacing w:line="240" w:lineRule="auto"/>
        <w:rPr>
          <w:rFonts w:ascii="Times New Roman" w:hAnsi="Times New Roman" w:cs="Times New Roman"/>
          <w:lang w:val="en-CA"/>
        </w:rPr>
      </w:pPr>
      <w:r w:rsidRPr="008F26C6">
        <w:rPr>
          <w:rFonts w:ascii="Times New Roman" w:hAnsi="Times New Roman" w:cs="Times New Roman"/>
          <w:b/>
          <w:lang w:val="en-CA"/>
        </w:rPr>
        <w:t xml:space="preserve">Supplemental Figure </w:t>
      </w:r>
      <w:r w:rsidR="00281578" w:rsidRPr="008F26C6">
        <w:rPr>
          <w:rFonts w:ascii="Times New Roman" w:hAnsi="Times New Roman" w:cs="Times New Roman"/>
          <w:b/>
          <w:lang w:val="en-CA"/>
        </w:rPr>
        <w:t>4</w:t>
      </w:r>
    </w:p>
    <w:p w14:paraId="65C8D321" w14:textId="409EA42B" w:rsidR="00DA2537" w:rsidRPr="008F26C6" w:rsidRDefault="00DA2537" w:rsidP="00DA2537">
      <w:pPr>
        <w:jc w:val="both"/>
        <w:rPr>
          <w:rFonts w:ascii="Times New Roman" w:hAnsi="Times New Roman" w:cs="Times New Roman"/>
          <w:bCs/>
        </w:rPr>
      </w:pPr>
      <w:r w:rsidRPr="008F26C6">
        <w:rPr>
          <w:rFonts w:ascii="Times New Roman" w:hAnsi="Times New Roman" w:cs="Times New Roman"/>
          <w:lang w:val="en-CA"/>
        </w:rPr>
        <w:t>Representative images of GBM115 and GBM157 cells, treated with increasing concentrations of MP-Pt(IV) for 24 hours. The cells labeled with Mitotracker, DAPI and with an antibody to MAOB. MAOB levels, and cytosolic volume, increase with [MP-Pt(IV)]. Mitochondria levels increase in response to this prodrug, until near the ≈IC</w:t>
      </w:r>
      <w:r w:rsidRPr="008F26C6">
        <w:rPr>
          <w:rFonts w:ascii="Times New Roman" w:hAnsi="Times New Roman" w:cs="Times New Roman"/>
          <w:vertAlign w:val="subscript"/>
          <w:lang w:val="en-CA"/>
        </w:rPr>
        <w:t>50</w:t>
      </w:r>
      <w:r w:rsidRPr="008F26C6">
        <w:rPr>
          <w:rFonts w:ascii="Times New Roman" w:hAnsi="Times New Roman" w:cs="Times New Roman"/>
          <w:lang w:val="en-CA"/>
        </w:rPr>
        <w:t xml:space="preserve"> level, after when Mitotracker levels per cell fall. There is also a change in cellular </w:t>
      </w:r>
      <w:r w:rsidRPr="008F26C6">
        <w:rPr>
          <w:rFonts w:ascii="Times New Roman" w:hAnsi="Times New Roman" w:cs="Times New Roman"/>
          <w:lang w:val="en-CA"/>
        </w:rPr>
        <w:lastRenderedPageBreak/>
        <w:t xml:space="preserve">morphology, with cells generally becoming larger, and the nuclei appear to be swollen, distended or misshapen.   </w:t>
      </w:r>
    </w:p>
    <w:p w14:paraId="4442455C" w14:textId="39539AE5" w:rsidR="002E4E17" w:rsidRDefault="002E4E17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br w:type="page"/>
      </w:r>
    </w:p>
    <w:p w14:paraId="64587779" w14:textId="77777777" w:rsidR="00DA2537" w:rsidRPr="008F26C6" w:rsidRDefault="00DA2537" w:rsidP="00DA2537">
      <w:pPr>
        <w:jc w:val="both"/>
        <w:rPr>
          <w:rFonts w:ascii="Times New Roman" w:hAnsi="Times New Roman" w:cs="Times New Roman"/>
          <w:bCs/>
        </w:rPr>
      </w:pPr>
      <w:r w:rsidRPr="008F26C6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05758DC9" wp14:editId="09CD092D">
            <wp:extent cx="5943600" cy="21164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l Figure 6 weights of animals.t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22"/>
                    <a:stretch/>
                  </pic:blipFill>
                  <pic:spPr bwMode="auto">
                    <a:xfrm>
                      <a:off x="0" y="0"/>
                      <a:ext cx="5943600" cy="211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C38AC" w14:textId="2B620199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eastAsia="Times New Roman" w:hAnsi="Times New Roman" w:cs="Times New Roman"/>
          <w:b/>
          <w:color w:val="000000"/>
        </w:rPr>
        <w:t xml:space="preserve">Supplemental Figure </w:t>
      </w:r>
      <w:r w:rsidR="00281578" w:rsidRPr="008F26C6">
        <w:rPr>
          <w:rFonts w:ascii="Times New Roman" w:eastAsia="Times New Roman" w:hAnsi="Times New Roman" w:cs="Times New Roman"/>
          <w:b/>
          <w:color w:val="000000"/>
        </w:rPr>
        <w:t>5</w:t>
      </w:r>
      <w:r w:rsidRPr="008F26C6">
        <w:rPr>
          <w:rFonts w:ascii="Times New Roman" w:eastAsia="Times New Roman" w:hAnsi="Times New Roman" w:cs="Times New Roman"/>
          <w:b/>
          <w:color w:val="000000"/>
        </w:rPr>
        <w:t>.</w:t>
      </w:r>
      <w:r w:rsidRPr="008F26C6">
        <w:rPr>
          <w:rFonts w:ascii="Times New Roman" w:hAnsi="Times New Roman" w:cs="Times New Roman"/>
          <w:color w:val="000000" w:themeColor="text1"/>
        </w:rPr>
        <w:t xml:space="preserve"> </w:t>
      </w:r>
    </w:p>
    <w:p w14:paraId="7146DE8C" w14:textId="5A943D99" w:rsidR="00DA2537" w:rsidRPr="008F26C6" w:rsidRDefault="00DA2537" w:rsidP="00DA2537">
      <w:pPr>
        <w:jc w:val="both"/>
        <w:rPr>
          <w:rFonts w:ascii="Times New Roman" w:hAnsi="Times New Roman" w:cs="Times New Roman"/>
          <w:color w:val="000000" w:themeColor="text1"/>
          <w:lang w:val="en-CA"/>
        </w:rPr>
      </w:pP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We show the </w:t>
      </w:r>
      <w:r w:rsidR="00870F74" w:rsidRPr="008F26C6">
        <w:rPr>
          <w:rFonts w:ascii="Times New Roman" w:hAnsi="Times New Roman" w:cs="Times New Roman"/>
          <w:color w:val="000000" w:themeColor="text1"/>
          <w:lang w:val="en-CA"/>
        </w:rPr>
        <w:t>mean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animal weights</w:t>
      </w:r>
      <w:r w:rsidR="00870F74" w:rsidRPr="008F26C6">
        <w:rPr>
          <w:rFonts w:ascii="Times New Roman" w:hAnsi="Times New Roman" w:cs="Times New Roman"/>
          <w:color w:val="000000" w:themeColor="text1"/>
          <w:lang w:val="en-CA"/>
        </w:rPr>
        <w:t>,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obtained </w:t>
      </w:r>
      <w:r w:rsidR="00870F74" w:rsidRPr="008F26C6">
        <w:rPr>
          <w:rFonts w:ascii="Times New Roman" w:hAnsi="Times New Roman" w:cs="Times New Roman"/>
          <w:color w:val="000000" w:themeColor="text1"/>
          <w:lang w:val="en-CA"/>
        </w:rPr>
        <w:t>during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their treatment with drugs/radiation, beginning day 11 post-intracranial xenograft. The panel on the left is the recording of animals which did not receive radiation and those on the right from the three groups which received 6 treatments of whole head radiation, each at 2 Gy. Of note is the loss of weight, and </w:t>
      </w:r>
      <w:r w:rsidR="00C126FA" w:rsidRPr="008F26C6">
        <w:rPr>
          <w:rFonts w:ascii="Times New Roman" w:hAnsi="Times New Roman" w:cs="Times New Roman"/>
          <w:color w:val="000000" w:themeColor="text1"/>
          <w:lang w:val="en-CA"/>
        </w:rPr>
        <w:t>rebound that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is apparent in animals received radiation compared to SHAM treatment. Other than the raising of the cesium source, the SHAM-treated animals underwent identical treatment to the radiation group. </w:t>
      </w:r>
    </w:p>
    <w:p w14:paraId="2B23DADA" w14:textId="77777777" w:rsidR="000B5933" w:rsidRPr="008F26C6" w:rsidRDefault="000B5933">
      <w:pPr>
        <w:rPr>
          <w:rFonts w:ascii="Times New Roman" w:hAnsi="Times New Roman" w:cs="Times New Roman"/>
          <w:color w:val="000000" w:themeColor="text1"/>
          <w:lang w:val="en-CA"/>
        </w:rPr>
      </w:pPr>
      <w:r w:rsidRPr="008F26C6">
        <w:rPr>
          <w:rFonts w:ascii="Times New Roman" w:hAnsi="Times New Roman" w:cs="Times New Roman"/>
          <w:color w:val="000000" w:themeColor="text1"/>
          <w:lang w:val="en-CA"/>
        </w:rPr>
        <w:br w:type="page"/>
      </w:r>
    </w:p>
    <w:tbl>
      <w:tblPr>
        <w:tblStyle w:val="TableGrid"/>
        <w:tblpPr w:leftFromText="180" w:rightFromText="180" w:horzAnchor="margin" w:tblpY="405"/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1207"/>
        <w:gridCol w:w="1207"/>
        <w:gridCol w:w="1207"/>
        <w:gridCol w:w="1207"/>
        <w:gridCol w:w="1207"/>
        <w:gridCol w:w="1211"/>
        <w:gridCol w:w="1207"/>
      </w:tblGrid>
      <w:tr w:rsidR="000B5933" w:rsidRPr="008F26C6" w14:paraId="21D6A541" w14:textId="77777777" w:rsidTr="00440518">
        <w:trPr>
          <w:trHeight w:val="311"/>
        </w:trPr>
        <w:tc>
          <w:tcPr>
            <w:tcW w:w="1207" w:type="dxa"/>
            <w:tcBorders>
              <w:top w:val="nil"/>
              <w:left w:val="nil"/>
              <w:bottom w:val="single" w:sz="12" w:space="0" w:color="auto"/>
            </w:tcBorders>
            <w:noWrap/>
            <w:vAlign w:val="center"/>
          </w:tcPr>
          <w:p w14:paraId="7CF6EC3C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7D1C5FD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2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35A54F0E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Statistical significance</w:t>
            </w:r>
          </w:p>
        </w:tc>
      </w:tr>
      <w:tr w:rsidR="000B5933" w:rsidRPr="008F26C6" w14:paraId="1BD6C1D6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28E67EF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Group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C3613F0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Control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1A7CF67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DCC8DF1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TMZ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B6E2334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  <w:p w14:paraId="0B4954C4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TMZ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74592A3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  <w:p w14:paraId="631729DD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IR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AADFB66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TMZ</w:t>
            </w:r>
          </w:p>
          <w:p w14:paraId="4F92320C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&amp;IR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3696E6D4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  <w:p w14:paraId="56221F24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TMZ</w:t>
            </w:r>
          </w:p>
          <w:p w14:paraId="761196E5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IR</w:t>
            </w:r>
          </w:p>
        </w:tc>
      </w:tr>
      <w:tr w:rsidR="000B5933" w:rsidRPr="008F26C6" w14:paraId="198ECA8B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8D6DEEC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Control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noWrap/>
            <w:vAlign w:val="center"/>
          </w:tcPr>
          <w:p w14:paraId="0632D5B6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73D4FA7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6259DC6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C22822E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*******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2E902F7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02398EB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60AE4B62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*****</w:t>
            </w:r>
          </w:p>
        </w:tc>
      </w:tr>
      <w:tr w:rsidR="000B5933" w:rsidRPr="008F26C6" w14:paraId="767EA929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5FCE51B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1EDEF8A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4.2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noWrap/>
            <w:vAlign w:val="center"/>
          </w:tcPr>
          <w:p w14:paraId="400B337C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8C2F84A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ABBD300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29A6F9B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9B86787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02684DD5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</w:tr>
      <w:tr w:rsidR="000B5933" w:rsidRPr="008F26C6" w14:paraId="4C8622EB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42C805B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TMZ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A451A91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2.8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8192216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0.66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noWrap/>
            <w:vAlign w:val="center"/>
          </w:tcPr>
          <w:p w14:paraId="773D9808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0FE566E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846869E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4A707E9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66E72512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</w:tr>
      <w:tr w:rsidR="000B5933" w:rsidRPr="008F26C6" w14:paraId="75D15211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0F6631E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  <w:p w14:paraId="17455642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TMZ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A0AEC14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6.4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00FADC1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1.5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489B3EF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2.2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noWrap/>
            <w:vAlign w:val="center"/>
          </w:tcPr>
          <w:p w14:paraId="51C8A42D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94F2FB6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DE61909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4F5B1F6C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***</w:t>
            </w:r>
          </w:p>
        </w:tc>
      </w:tr>
      <w:tr w:rsidR="000B5933" w:rsidRPr="008F26C6" w14:paraId="51E390CB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A463C3A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  <w:p w14:paraId="73816631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IR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63A6002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2.6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8821075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0.6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0BE2947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0.93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A425B4A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0.4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noWrap/>
            <w:vAlign w:val="center"/>
          </w:tcPr>
          <w:p w14:paraId="3EB4FF33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0AF0EC9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16D704E5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</w:tr>
      <w:tr w:rsidR="000B5933" w:rsidRPr="008F26C6" w14:paraId="0F980DF4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236A027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TMZ</w:t>
            </w:r>
          </w:p>
          <w:p w14:paraId="24AABAEE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&amp;IR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4D2103B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2.9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9C5841F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0.7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96A6730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1.1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20572AE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0.46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60D59AC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1.13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noWrap/>
            <w:vAlign w:val="center"/>
          </w:tcPr>
          <w:p w14:paraId="2935FADF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16E5F942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NS</w:t>
            </w:r>
          </w:p>
        </w:tc>
      </w:tr>
      <w:tr w:rsidR="000B5933" w:rsidRPr="008F26C6" w14:paraId="39F82E18" w14:textId="77777777" w:rsidTr="000B5933">
        <w:trPr>
          <w:trHeight w:val="623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75C0D3A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MP-Pt(IV)</w:t>
            </w:r>
          </w:p>
          <w:p w14:paraId="01743DC5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TMZ</w:t>
            </w:r>
          </w:p>
          <w:p w14:paraId="63725DEB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>&amp; IR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589F8C8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5.4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919F1FE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1.3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3654EE0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1.95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208FCAA8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0.85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75E5C5B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2.1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A09FA49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1.9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tl2br w:val="single" w:sz="4" w:space="0" w:color="auto"/>
            </w:tcBorders>
            <w:noWrap/>
            <w:vAlign w:val="center"/>
          </w:tcPr>
          <w:p w14:paraId="3BD37339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B5933" w:rsidRPr="008F26C6" w14:paraId="0651D615" w14:textId="77777777" w:rsidTr="00440518">
        <w:trPr>
          <w:trHeight w:val="311"/>
        </w:trPr>
        <w:tc>
          <w:tcPr>
            <w:tcW w:w="120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010D2723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2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0A32A13" w14:textId="77777777" w:rsidR="000B5933" w:rsidRPr="008F26C6" w:rsidRDefault="000B5933" w:rsidP="000B59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26C6">
              <w:rPr>
                <w:rFonts w:ascii="Times New Roman" w:eastAsia="Times New Roman" w:hAnsi="Times New Roman" w:cs="Times New Roman"/>
                <w:b/>
                <w:color w:val="000000"/>
              </w:rPr>
              <w:t>Cumulative mouse survival ratio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center"/>
          </w:tcPr>
          <w:p w14:paraId="3E921C3B" w14:textId="77777777" w:rsidR="000B5933" w:rsidRPr="008F26C6" w:rsidRDefault="000B5933" w:rsidP="000B59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6C6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</w:tr>
    </w:tbl>
    <w:p w14:paraId="0C8EA485" w14:textId="77777777" w:rsidR="000B5933" w:rsidRPr="008F26C6" w:rsidRDefault="000B5933" w:rsidP="000B5933">
      <w:pPr>
        <w:spacing w:after="0" w:line="240" w:lineRule="auto"/>
        <w:rPr>
          <w:rFonts w:ascii="Times New Roman" w:hAnsi="Times New Roman" w:cs="Times New Roman"/>
        </w:rPr>
      </w:pPr>
    </w:p>
    <w:p w14:paraId="574A4154" w14:textId="6E455B63" w:rsidR="000B5933" w:rsidRPr="008F26C6" w:rsidRDefault="000B5933" w:rsidP="000B593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8F26C6">
        <w:rPr>
          <w:rFonts w:ascii="Times New Roman" w:hAnsi="Times New Roman" w:cs="Times New Roman"/>
          <w:b/>
          <w:i/>
          <w:iCs/>
          <w:color w:val="000000" w:themeColor="text1"/>
        </w:rPr>
        <w:t xml:space="preserve">p value </w:t>
      </w:r>
      <w:r w:rsidRPr="008F26C6">
        <w:rPr>
          <w:rFonts w:ascii="Times New Roman" w:hAnsi="Times New Roman" w:cs="Times New Roman"/>
          <w:b/>
          <w:iCs/>
          <w:color w:val="000000" w:themeColor="text1"/>
        </w:rPr>
        <w:t xml:space="preserve">and 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symbol used; &lt;0.05 = </w:t>
      </w:r>
      <w:r w:rsidR="002E4E17">
        <w:rPr>
          <w:rFonts w:ascii="Symbol" w:hAnsi="Symbol" w:cs="Symbol"/>
          <w:b/>
          <w:color w:val="000000" w:themeColor="text1"/>
        </w:rPr>
        <w:t>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, &lt;0.01 = </w:t>
      </w:r>
      <w:r w:rsidR="002E4E17">
        <w:rPr>
          <w:rFonts w:ascii="Times New Roman" w:hAnsi="Times New Roman" w:cs="Times New Roman"/>
          <w:b/>
          <w:color w:val="000000" w:themeColor="text1"/>
        </w:rPr>
        <w:t>**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, &lt;0.005 = </w:t>
      </w:r>
      <w:r w:rsidR="002E4E17">
        <w:rPr>
          <w:rFonts w:ascii="Times New Roman" w:hAnsi="Times New Roman" w:cs="Times New Roman"/>
          <w:b/>
          <w:color w:val="000000" w:themeColor="text1"/>
        </w:rPr>
        <w:t>***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, &lt;0.001 = </w:t>
      </w:r>
      <w:r w:rsidR="002E4E17">
        <w:rPr>
          <w:rFonts w:ascii="Times New Roman" w:hAnsi="Times New Roman" w:cs="Times New Roman"/>
          <w:b/>
          <w:color w:val="000000" w:themeColor="text1"/>
        </w:rPr>
        <w:t>****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, &lt;0.0005 = </w:t>
      </w:r>
      <w:r w:rsidR="002E4E17">
        <w:rPr>
          <w:rFonts w:ascii="Times New Roman" w:hAnsi="Times New Roman" w:cs="Times New Roman"/>
          <w:b/>
          <w:color w:val="000000" w:themeColor="text1"/>
        </w:rPr>
        <w:t>*****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, &lt;0.0001 = </w:t>
      </w:r>
      <w:r w:rsidR="002E4E17">
        <w:rPr>
          <w:rFonts w:ascii="Times New Roman" w:hAnsi="Times New Roman" w:cs="Times New Roman"/>
          <w:b/>
          <w:color w:val="000000" w:themeColor="text1"/>
        </w:rPr>
        <w:t>******</w:t>
      </w:r>
      <w:r w:rsidRPr="008F26C6">
        <w:rPr>
          <w:rFonts w:ascii="Times New Roman" w:hAnsi="Times New Roman" w:cs="Times New Roman"/>
          <w:b/>
          <w:color w:val="000000" w:themeColor="text1"/>
        </w:rPr>
        <w:t xml:space="preserve">, &lt;0.00005 = </w:t>
      </w:r>
      <w:r w:rsidR="002E4E17">
        <w:rPr>
          <w:rFonts w:ascii="Times New Roman" w:hAnsi="Times New Roman" w:cs="Times New Roman"/>
          <w:b/>
          <w:color w:val="000000" w:themeColor="text1"/>
        </w:rPr>
        <w:t>*******</w:t>
      </w:r>
    </w:p>
    <w:p w14:paraId="46D48650" w14:textId="7356EB92" w:rsidR="00DA2537" w:rsidRPr="008F26C6" w:rsidRDefault="00DA2537" w:rsidP="00DA2537">
      <w:pPr>
        <w:rPr>
          <w:rFonts w:ascii="Times New Roman" w:hAnsi="Times New Roman" w:cs="Times New Roman"/>
          <w:color w:val="000000" w:themeColor="text1"/>
          <w:lang w:val="en-CA"/>
        </w:rPr>
      </w:pPr>
    </w:p>
    <w:p w14:paraId="63363666" w14:textId="020881C2" w:rsidR="000B5933" w:rsidRPr="008F26C6" w:rsidRDefault="000B5933" w:rsidP="000B5933">
      <w:pPr>
        <w:jc w:val="both"/>
        <w:rPr>
          <w:rFonts w:ascii="Times New Roman" w:hAnsi="Times New Roman" w:cs="Times New Roman"/>
          <w:color w:val="000000" w:themeColor="text1"/>
        </w:rPr>
      </w:pPr>
      <w:r w:rsidRPr="008F26C6">
        <w:rPr>
          <w:rFonts w:ascii="Times New Roman" w:eastAsia="Times New Roman" w:hAnsi="Times New Roman" w:cs="Times New Roman"/>
          <w:b/>
          <w:color w:val="000000"/>
        </w:rPr>
        <w:t>Supplemental Table 1.</w:t>
      </w:r>
      <w:r w:rsidRPr="008F26C6">
        <w:rPr>
          <w:rFonts w:ascii="Times New Roman" w:hAnsi="Times New Roman" w:cs="Times New Roman"/>
          <w:color w:val="000000" w:themeColor="text1"/>
        </w:rPr>
        <w:t xml:space="preserve"> </w:t>
      </w:r>
    </w:p>
    <w:p w14:paraId="31D1E323" w14:textId="50BF90C2" w:rsidR="000B5933" w:rsidRPr="008F26C6" w:rsidRDefault="000B5933" w:rsidP="000B5933">
      <w:pPr>
        <w:jc w:val="both"/>
        <w:rPr>
          <w:rFonts w:ascii="Times New Roman" w:hAnsi="Times New Roman" w:cs="Times New Roman"/>
          <w:color w:val="000000" w:themeColor="text1"/>
          <w:lang w:val="en-CA"/>
        </w:rPr>
      </w:pP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Supplemental Table 1 shows the </w:t>
      </w:r>
      <w:r w:rsidR="009011E2">
        <w:rPr>
          <w:rFonts w:ascii="Times New Roman" w:hAnsi="Times New Roman" w:cs="Times New Roman"/>
          <w:color w:val="000000" w:themeColor="text1"/>
          <w:lang w:val="en-CA"/>
        </w:rPr>
        <w:t xml:space="preserve">ratios of </w:t>
      </w:r>
      <w:r w:rsidR="006A3098">
        <w:rPr>
          <w:rFonts w:ascii="Times New Roman" w:hAnsi="Times New Roman" w:cs="Times New Roman"/>
          <w:iCs/>
          <w:color w:val="000000" w:themeColor="text1"/>
          <w:lang w:val="en-CA"/>
        </w:rPr>
        <w:t xml:space="preserve">cumulative mouse survival </w:t>
      </w:r>
      <w:r w:rsidR="009011E2">
        <w:rPr>
          <w:rFonts w:ascii="Times New Roman" w:hAnsi="Times New Roman" w:cs="Times New Roman"/>
          <w:iCs/>
          <w:color w:val="000000" w:themeColor="text1"/>
          <w:lang w:val="en-CA"/>
        </w:rPr>
        <w:t xml:space="preserve">days </w:t>
      </w:r>
      <w:r w:rsidR="00C740EF">
        <w:rPr>
          <w:rFonts w:ascii="Times New Roman" w:hAnsi="Times New Roman" w:cs="Times New Roman"/>
          <w:color w:val="000000" w:themeColor="text1"/>
          <w:lang w:val="en-CA"/>
        </w:rPr>
        <w:t xml:space="preserve">(left of diagonal) 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and </w:t>
      </w:r>
      <w:r w:rsidR="00C740EF" w:rsidRPr="008F26C6">
        <w:rPr>
          <w:rFonts w:ascii="Times New Roman" w:hAnsi="Times New Roman" w:cs="Times New Roman"/>
          <w:color w:val="000000" w:themeColor="text1"/>
          <w:lang w:val="en-CA"/>
        </w:rPr>
        <w:t xml:space="preserve">statistical significance </w:t>
      </w:r>
      <w:r w:rsidR="00C740EF">
        <w:rPr>
          <w:rFonts w:ascii="Times New Roman" w:hAnsi="Times New Roman" w:cs="Times New Roman"/>
          <w:color w:val="000000" w:themeColor="text1"/>
          <w:lang w:val="en-CA"/>
        </w:rPr>
        <w:t xml:space="preserve">(right of diagonal) </w:t>
      </w:r>
      <w:r w:rsidR="00C740EF" w:rsidRPr="008F26C6">
        <w:rPr>
          <w:rFonts w:ascii="Times New Roman" w:hAnsi="Times New Roman" w:cs="Times New Roman"/>
          <w:color w:val="000000" w:themeColor="text1"/>
          <w:lang w:val="en-CA"/>
        </w:rPr>
        <w:t xml:space="preserve">between 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the different treatment and control groups in the animal studies. </w:t>
      </w:r>
      <w:r w:rsidR="00435847">
        <w:rPr>
          <w:rFonts w:ascii="Times New Roman" w:hAnsi="Times New Roman" w:cs="Times New Roman"/>
          <w:color w:val="000000" w:themeColor="text1"/>
          <w:lang w:val="en-CA"/>
        </w:rPr>
        <w:t>Numerical v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alues </w:t>
      </w:r>
      <w:r w:rsidR="00393FAB">
        <w:rPr>
          <w:rFonts w:ascii="Times New Roman" w:hAnsi="Times New Roman" w:cs="Times New Roman"/>
          <w:color w:val="000000" w:themeColor="text1"/>
          <w:lang w:val="en-CA"/>
        </w:rPr>
        <w:t xml:space="preserve">which have been 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underlined are statistically significant. </w:t>
      </w:r>
      <w:r w:rsidR="006C112C">
        <w:rPr>
          <w:rFonts w:ascii="Times New Roman" w:hAnsi="Times New Roman" w:cs="Times New Roman"/>
          <w:color w:val="000000" w:themeColor="text1"/>
          <w:lang w:val="en-CA"/>
        </w:rPr>
        <w:t>The b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 xml:space="preserve">est survival ratios, compared to control, are obtained </w:t>
      </w:r>
      <w:r w:rsidR="00FC1C51">
        <w:rPr>
          <w:rFonts w:ascii="Times New Roman" w:hAnsi="Times New Roman" w:cs="Times New Roman"/>
          <w:color w:val="000000" w:themeColor="text1"/>
          <w:lang w:val="en-CA"/>
        </w:rPr>
        <w:t xml:space="preserve">for the treatment arm that </w:t>
      </w:r>
      <w:r w:rsidR="00FC1C51" w:rsidRPr="008F26C6">
        <w:rPr>
          <w:rFonts w:ascii="Times New Roman" w:hAnsi="Times New Roman" w:cs="Times New Roman"/>
          <w:color w:val="000000" w:themeColor="text1"/>
          <w:lang w:val="en-CA"/>
        </w:rPr>
        <w:t>combined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 xml:space="preserve"> MP-Pt(IV) and TMZ </w:t>
      </w:r>
      <w:r w:rsidR="00163C4C">
        <w:rPr>
          <w:rFonts w:ascii="Times New Roman" w:hAnsi="Times New Roman" w:cs="Times New Roman"/>
          <w:color w:val="000000" w:themeColor="text1"/>
          <w:lang w:val="en-CA"/>
        </w:rPr>
        <w:t xml:space="preserve">(6.4-fold longer survival compared to control) 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>and this combination is slightly better than the triple-treatment arm (MP-Pt(IV), TMZ and radiation</w:t>
      </w:r>
      <w:r w:rsidR="00163C4C">
        <w:rPr>
          <w:rFonts w:ascii="Times New Roman" w:hAnsi="Times New Roman" w:cs="Times New Roman"/>
          <w:color w:val="000000" w:themeColor="text1"/>
          <w:lang w:val="en-CA"/>
        </w:rPr>
        <w:t>, 5.4-fold longer survival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 xml:space="preserve">). </w:t>
      </w:r>
      <w:r w:rsidR="00361188">
        <w:rPr>
          <w:rFonts w:ascii="Times New Roman" w:hAnsi="Times New Roman" w:cs="Times New Roman"/>
          <w:color w:val="000000" w:themeColor="text1"/>
          <w:lang w:val="en-CA"/>
        </w:rPr>
        <w:t xml:space="preserve">Row 1 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shows that all treatment arms </w:t>
      </w:r>
      <w:r w:rsidR="00163C4C">
        <w:rPr>
          <w:rFonts w:ascii="Times New Roman" w:hAnsi="Times New Roman" w:cs="Times New Roman"/>
          <w:color w:val="000000" w:themeColor="text1"/>
          <w:lang w:val="en-CA"/>
        </w:rPr>
        <w:t xml:space="preserve">demonstrate 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 xml:space="preserve">statistically significant 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>improve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>ments in</w:t>
      </w:r>
      <w:r w:rsidRPr="008F26C6">
        <w:rPr>
          <w:rFonts w:ascii="Times New Roman" w:hAnsi="Times New Roman" w:cs="Times New Roman"/>
          <w:color w:val="000000" w:themeColor="text1"/>
          <w:lang w:val="en-CA"/>
        </w:rPr>
        <w:t xml:space="preserve"> survival ratios compared to control</w:t>
      </w:r>
      <w:r w:rsidR="00132CEE" w:rsidRPr="008F26C6">
        <w:rPr>
          <w:rFonts w:ascii="Times New Roman" w:hAnsi="Times New Roman" w:cs="Times New Roman"/>
          <w:color w:val="000000" w:themeColor="text1"/>
          <w:lang w:val="en-CA"/>
        </w:rPr>
        <w:t xml:space="preserve">. Combining MP-Pt(IV) and TMZ (row 4) significantly improved mouse survival compared to MP-Pt(IV) or TMZ alone. Comparing TMZ and MP-Pt(IV) treatment arms shows that MP-Pt(IV) when used alone is slightly better than TMZ, but the difference is not significant. </w:t>
      </w:r>
    </w:p>
    <w:p w14:paraId="4FBC4CAC" w14:textId="77777777" w:rsidR="000B5933" w:rsidRPr="008F26C6" w:rsidRDefault="000B5933">
      <w:pPr>
        <w:rPr>
          <w:rFonts w:ascii="Times New Roman" w:hAnsi="Times New Roman" w:cs="Times New Roman"/>
          <w:b/>
        </w:rPr>
      </w:pPr>
      <w:r w:rsidRPr="008F26C6">
        <w:rPr>
          <w:rFonts w:ascii="Times New Roman" w:hAnsi="Times New Roman" w:cs="Times New Roman"/>
          <w:b/>
        </w:rPr>
        <w:br w:type="page"/>
      </w:r>
    </w:p>
    <w:p w14:paraId="3C947767" w14:textId="5CB61123" w:rsidR="00B15E69" w:rsidRPr="008F26C6" w:rsidRDefault="00B15E69" w:rsidP="00B15E69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8F26C6">
        <w:rPr>
          <w:rFonts w:ascii="Times New Roman" w:hAnsi="Times New Roman" w:cs="Times New Roman"/>
          <w:b/>
        </w:rPr>
        <w:lastRenderedPageBreak/>
        <w:t>Synthesis of MP-Pt(IV)</w:t>
      </w:r>
    </w:p>
    <w:p w14:paraId="26B5901A" w14:textId="77777777" w:rsidR="00B15E69" w:rsidRPr="008F26C6" w:rsidRDefault="00B15E69" w:rsidP="00B15E69">
      <w:pPr>
        <w:spacing w:line="480" w:lineRule="auto"/>
        <w:jc w:val="both"/>
        <w:rPr>
          <w:rFonts w:ascii="Times New Roman" w:hAnsi="Times New Roman" w:cs="Times New Roman"/>
        </w:rPr>
      </w:pPr>
      <w:r w:rsidRPr="008F26C6">
        <w:rPr>
          <w:rFonts w:ascii="Times New Roman" w:hAnsi="Times New Roman" w:cs="Times New Roman"/>
          <w:noProof/>
        </w:rPr>
        <w:object w:dxaOrig="6771" w:dyaOrig="2708" w14:anchorId="021D6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135pt" o:ole="">
            <v:imagedata r:id="rId15" o:title=""/>
          </v:shape>
          <o:OLEObject Type="Embed" ProgID="ChemDraw.Document.6.0" ShapeID="_x0000_i1025" DrawAspect="Content" ObjectID="_1657369129" r:id="rId16"/>
        </w:object>
      </w:r>
    </w:p>
    <w:p w14:paraId="4723F1B7" w14:textId="5994C24E" w:rsidR="00B15E69" w:rsidRPr="008F26C6" w:rsidRDefault="00B15E69" w:rsidP="00616F58">
      <w:pPr>
        <w:tabs>
          <w:tab w:val="center" w:pos="4680"/>
        </w:tabs>
        <w:spacing w:line="480" w:lineRule="auto"/>
        <w:jc w:val="both"/>
        <w:rPr>
          <w:rFonts w:ascii="Times New Roman" w:hAnsi="Times New Roman" w:cs="Times New Roman"/>
        </w:rPr>
      </w:pPr>
      <w:r w:rsidRPr="008F26C6">
        <w:rPr>
          <w:rFonts w:ascii="Times New Roman" w:hAnsi="Times New Roman" w:cs="Times New Roman"/>
          <w:b/>
        </w:rPr>
        <w:t xml:space="preserve">Scheme 1: </w:t>
      </w:r>
      <w:r w:rsidR="00870F74" w:rsidRPr="008F26C6">
        <w:rPr>
          <w:rFonts w:ascii="Times New Roman" w:hAnsi="Times New Roman" w:cs="Times New Roman"/>
        </w:rPr>
        <w:t>Synthesis of MP-Pt(IV)</w:t>
      </w:r>
      <w:r w:rsidR="00616F58">
        <w:rPr>
          <w:rFonts w:ascii="Times New Roman" w:hAnsi="Times New Roman" w:cs="Times New Roman"/>
        </w:rPr>
        <w:tab/>
      </w:r>
    </w:p>
    <w:p w14:paraId="48FCDD5C" w14:textId="51032434" w:rsidR="00B15E69" w:rsidRPr="008F26C6" w:rsidRDefault="00B15E69" w:rsidP="00BE28C5">
      <w:pPr>
        <w:spacing w:line="480" w:lineRule="auto"/>
        <w:jc w:val="both"/>
        <w:rPr>
          <w:rFonts w:ascii="Times New Roman" w:hAnsi="Times New Roman" w:cs="Times New Roman"/>
        </w:rPr>
      </w:pPr>
      <w:r w:rsidRPr="008F26C6">
        <w:rPr>
          <w:rFonts w:ascii="Times New Roman" w:hAnsi="Times New Roman" w:cs="Times New Roman"/>
        </w:rPr>
        <w:t>MP-Pt(IV) was synthesized</w:t>
      </w:r>
      <w:r w:rsidR="00C126FA">
        <w:rPr>
          <w:rFonts w:ascii="Times New Roman" w:hAnsi="Times New Roman" w:cs="Times New Roman"/>
        </w:rPr>
        <w:t xml:space="preserve"> </w:t>
      </w:r>
      <w:r w:rsidRPr="008F26C6">
        <w:rPr>
          <w:rFonts w:ascii="Times New Roman" w:hAnsi="Times New Roman" w:cs="Times New Roman"/>
        </w:rPr>
        <w:t xml:space="preserve">using the key Pt(IV) compound </w:t>
      </w:r>
      <w:r w:rsidRPr="008F26C6">
        <w:rPr>
          <w:rFonts w:ascii="Times New Roman" w:hAnsi="Times New Roman" w:cs="Times New Roman"/>
          <w:b/>
        </w:rPr>
        <w:t>1</w:t>
      </w:r>
      <w:r w:rsidRPr="008F26C6">
        <w:rPr>
          <w:rFonts w:ascii="Times New Roman" w:hAnsi="Times New Roman" w:cs="Times New Roman"/>
        </w:rPr>
        <w:t xml:space="preserve">, previously reported by Ravera </w:t>
      </w:r>
      <w:r w:rsidRPr="008F26C6">
        <w:rPr>
          <w:rFonts w:ascii="Times New Roman" w:hAnsi="Times New Roman" w:cs="Times New Roman"/>
          <w:i/>
        </w:rPr>
        <w:t>et al</w:t>
      </w:r>
      <w:r w:rsidR="00870F74" w:rsidRPr="008F26C6">
        <w:rPr>
          <w:rFonts w:ascii="Times New Roman" w:hAnsi="Times New Roman" w:cs="Times New Roman"/>
        </w:rPr>
        <w:t>.</w:t>
      </w:r>
      <w:r w:rsidRPr="008F26C6">
        <w:rPr>
          <w:rFonts w:ascii="Times New Roman" w:hAnsi="Times New Roman" w:cs="Times New Roman"/>
        </w:rPr>
        <w:t xml:space="preserve"> </w:t>
      </w:r>
      <w:r w:rsidRPr="008F26C6">
        <w:rPr>
          <w:rFonts w:ascii="Times New Roman" w:hAnsi="Times New Roman" w:cs="Times New Roman"/>
        </w:rPr>
        <w:fldChar w:fldCharType="begin"/>
      </w:r>
      <w:r w:rsidR="00281578" w:rsidRPr="008F26C6">
        <w:rPr>
          <w:rFonts w:ascii="Times New Roman" w:hAnsi="Times New Roman" w:cs="Times New Roman"/>
        </w:rPr>
        <w:instrText xml:space="preserve"> ADDIN EN.CITE &lt;EndNote&gt;&lt;Cite&gt;&lt;Author&gt;Ravera&lt;/Author&gt;&lt;Year&gt;2014&lt;/Year&gt;&lt;RecNum&gt;19&lt;/RecNum&gt;&lt;DisplayText&gt;(24)&lt;/DisplayText&gt;&lt;record&gt;&lt;rec-number&gt;19&lt;/rec-number&gt;&lt;foreign-keys&gt;&lt;key app="EN" db-id="wv52x5secwxrd5etv56v5a5ia0w9xarfsvza" timestamp="1496176187"&gt;19&lt;/key&gt;&lt;/foreign-keys&gt;&lt;ref-type name="Journal Article"&gt;17&lt;/ref-type&gt;&lt;contributors&gt;&lt;authors&gt;&lt;author&gt;Ravera, Mauro&lt;/author&gt;&lt;author&gt;Gabano, Elisabetta&lt;/author&gt;&lt;author&gt;Pelosi, Giorgio&lt;/author&gt;&lt;author&gt;Fregonese, Federico&lt;/author&gt;&lt;author&gt;Tinello, Stefano&lt;/author&gt;&lt;author&gt;Osella, Domenico&lt;/author&gt;&lt;/authors&gt;&lt;/contributors&gt;&lt;titles&gt;&lt;title&gt;A New Entry to Asymmetric Platinum(IV) Complexes via Oxidative Chlorination&lt;/title&gt;&lt;secondary-title&gt;Inorganic Chemistry&lt;/secondary-title&gt;&lt;/titles&gt;&lt;periodical&gt;&lt;full-title&gt;Inorganic Chemistry&lt;/full-title&gt;&lt;/periodical&gt;&lt;pages&gt;9326-9335&lt;/pages&gt;&lt;volume&gt;53&lt;/volume&gt;&lt;number&gt;17&lt;/number&gt;&lt;dates&gt;&lt;year&gt;2014&lt;/year&gt;&lt;pub-dates&gt;&lt;date&gt;2014/09/02&lt;/date&gt;&lt;/pub-dates&gt;&lt;/dates&gt;&lt;publisher&gt;American Chemical Society&lt;/publisher&gt;&lt;isbn&gt;0020-1669&lt;/isbn&gt;&lt;urls&gt;&lt;related-urls&gt;&lt;url&gt;http://dx.doi.org/10.1021/ic501446b&lt;/url&gt;&lt;/related-urls&gt;&lt;/urls&gt;&lt;electronic-resource-num&gt;10.1021/ic501446b&lt;/electronic-resource-num&gt;&lt;/record&gt;&lt;/Cite&gt;&lt;/EndNote&gt;</w:instrText>
      </w:r>
      <w:r w:rsidRPr="008F26C6">
        <w:rPr>
          <w:rFonts w:ascii="Times New Roman" w:hAnsi="Times New Roman" w:cs="Times New Roman"/>
        </w:rPr>
        <w:fldChar w:fldCharType="separate"/>
      </w:r>
      <w:r w:rsidR="00281578" w:rsidRPr="008F26C6">
        <w:rPr>
          <w:rFonts w:ascii="Times New Roman" w:hAnsi="Times New Roman" w:cs="Times New Roman"/>
          <w:noProof/>
        </w:rPr>
        <w:t>(2</w:t>
      </w:r>
      <w:r w:rsidR="00616F58">
        <w:rPr>
          <w:rFonts w:ascii="Times New Roman" w:hAnsi="Times New Roman" w:cs="Times New Roman"/>
          <w:noProof/>
        </w:rPr>
        <w:t>5</w:t>
      </w:r>
      <w:r w:rsidR="00281578" w:rsidRPr="008F26C6">
        <w:rPr>
          <w:rFonts w:ascii="Times New Roman" w:hAnsi="Times New Roman" w:cs="Times New Roman"/>
          <w:noProof/>
        </w:rPr>
        <w:t>)</w:t>
      </w:r>
      <w:r w:rsidRPr="008F26C6">
        <w:rPr>
          <w:rFonts w:ascii="Times New Roman" w:hAnsi="Times New Roman" w:cs="Times New Roman"/>
        </w:rPr>
        <w:fldChar w:fldCharType="end"/>
      </w:r>
      <w:r w:rsidRPr="008F26C6">
        <w:rPr>
          <w:rFonts w:ascii="Times New Roman" w:hAnsi="Times New Roman" w:cs="Times New Roman"/>
        </w:rPr>
        <w:t xml:space="preserve"> Their method uses the oxidative chlorination of cisplatin by N-chlorosuccinamide, leading to the addition of ethylene glycol to cisplatin, and providing </w:t>
      </w:r>
      <w:r w:rsidRPr="008F26C6">
        <w:rPr>
          <w:rFonts w:ascii="Times New Roman" w:hAnsi="Times New Roman" w:cs="Times New Roman"/>
          <w:b/>
        </w:rPr>
        <w:t>1</w:t>
      </w:r>
      <w:r w:rsidRPr="008F26C6">
        <w:rPr>
          <w:rFonts w:ascii="Times New Roman" w:hAnsi="Times New Roman" w:cs="Times New Roman"/>
        </w:rPr>
        <w:t xml:space="preserve">. We have previously described the synthesis of the methyl-tetrahydropyridine intermediate </w:t>
      </w:r>
      <w:r w:rsidRPr="008F26C6">
        <w:rPr>
          <w:rFonts w:ascii="Times New Roman" w:hAnsi="Times New Roman" w:cs="Times New Roman"/>
          <w:b/>
        </w:rPr>
        <w:t xml:space="preserve">2 </w:t>
      </w:r>
      <w:r w:rsidRPr="008F26C6">
        <w:rPr>
          <w:rFonts w:ascii="Times New Roman" w:hAnsi="Times New Roman" w:cs="Times New Roman"/>
        </w:rPr>
        <w:fldChar w:fldCharType="begin"/>
      </w:r>
      <w:r w:rsidR="00281578" w:rsidRPr="008F26C6">
        <w:rPr>
          <w:rFonts w:ascii="Times New Roman" w:hAnsi="Times New Roman" w:cs="Times New Roman"/>
        </w:rPr>
        <w:instrText xml:space="preserve"> ADDIN EN.CITE &lt;EndNote&gt;&lt;Cite&gt;&lt;Author&gt;Sharpe&lt;/Author&gt;&lt;Year&gt;2015&lt;/Year&gt;&lt;RecNum&gt;191&lt;/RecNum&gt;&lt;DisplayText&gt;(20)&lt;/DisplayText&gt;&lt;record&gt;&lt;rec-number&gt;191&lt;/rec-number&gt;&lt;foreign-keys&gt;&lt;key app="EN" db-id="wv52x5secwxrd5etv56v5a5ia0w9xarfsvza" timestamp="1546455214"&gt;191&lt;/key&gt;&lt;/foreign-keys&gt;&lt;ref-type name="Journal Article"&gt;17&lt;/ref-type&gt;&lt;contributors&gt;&lt;authors&gt;&lt;author&gt;Sharpe, Martyn A.&lt;/author&gt;&lt;author&gt;Livingston, Andrew D.&lt;/author&gt;&lt;author&gt;Gist, Taylor L.&lt;/author&gt;&lt;author&gt;Ghosh, Pardip&lt;/author&gt;&lt;author&gt;Han, Junyan&lt;/author&gt;&lt;author&gt;Baskin, David S.&lt;/author&gt;&lt;/authors&gt;&lt;/contributors&gt;&lt;titles&gt;&lt;title&gt;Successful Treatment of Intracranial Glioblastoma Xenografts With a Monoamine Oxidase B-Activated Pro-Drug&lt;/title&gt;&lt;secondary-title&gt;EBioMedicine&lt;/secondary-title&gt;&lt;/titles&gt;&lt;periodical&gt;&lt;full-title&gt;EBioMedicine&lt;/full-title&gt;&lt;/periodical&gt;&lt;pages&gt;1122-1132&lt;/pages&gt;&lt;volume&gt;2&lt;/volume&gt;&lt;number&gt;9&lt;/number&gt;&lt;keywords&gt;&lt;keyword&gt;Glioblastoma multiforme&lt;/keyword&gt;&lt;keyword&gt;Monoamine oxidase B&lt;/keyword&gt;&lt;keyword&gt;Chemotherapy&lt;/keyword&gt;&lt;keyword&gt;Pro-drug&lt;/keyword&gt;&lt;keyword&gt;Xenograft&lt;/keyword&gt;&lt;keyword&gt;MP-MUS&lt;/keyword&gt;&lt;/keywords&gt;&lt;dates&gt;&lt;year&gt;2015&lt;/year&gt;&lt;pub-dates&gt;&lt;date&gt;2015/09/01/&lt;/date&gt;&lt;/pub-dates&gt;&lt;/dates&gt;&lt;isbn&gt;2352-3964&lt;/isbn&gt;&lt;urls&gt;&lt;related-urls&gt;&lt;url&gt;http://www.sciencedirect.com/science/article/pii/S2352396415301067&lt;/url&gt;&lt;/related-urls&gt;&lt;/urls&gt;&lt;electronic-resource-num&gt;https://doi.org/10.1016/j.ebiom.2015.08.013&lt;/electronic-resource-num&gt;&lt;/record&gt;&lt;/Cite&gt;&lt;/EndNote&gt;</w:instrText>
      </w:r>
      <w:r w:rsidRPr="008F26C6">
        <w:rPr>
          <w:rFonts w:ascii="Times New Roman" w:hAnsi="Times New Roman" w:cs="Times New Roman"/>
        </w:rPr>
        <w:fldChar w:fldCharType="separate"/>
      </w:r>
      <w:r w:rsidR="00281578" w:rsidRPr="008F26C6">
        <w:rPr>
          <w:rFonts w:ascii="Times New Roman" w:hAnsi="Times New Roman" w:cs="Times New Roman"/>
          <w:noProof/>
        </w:rPr>
        <w:t>(2</w:t>
      </w:r>
      <w:r w:rsidR="005D051B">
        <w:rPr>
          <w:rFonts w:ascii="Times New Roman" w:hAnsi="Times New Roman" w:cs="Times New Roman"/>
          <w:noProof/>
        </w:rPr>
        <w:t>1</w:t>
      </w:r>
      <w:r w:rsidR="00281578" w:rsidRPr="008F26C6">
        <w:rPr>
          <w:rFonts w:ascii="Times New Roman" w:hAnsi="Times New Roman" w:cs="Times New Roman"/>
          <w:noProof/>
        </w:rPr>
        <w:t>)</w:t>
      </w:r>
      <w:r w:rsidRPr="008F26C6">
        <w:rPr>
          <w:rFonts w:ascii="Times New Roman" w:hAnsi="Times New Roman" w:cs="Times New Roman"/>
        </w:rPr>
        <w:fldChar w:fldCharType="end"/>
      </w:r>
      <w:r w:rsidR="002F371B">
        <w:rPr>
          <w:rFonts w:ascii="Times New Roman" w:hAnsi="Times New Roman" w:cs="Times New Roman"/>
        </w:rPr>
        <w:t>.</w:t>
      </w:r>
      <w:r w:rsidRPr="008F26C6">
        <w:rPr>
          <w:rFonts w:ascii="Times New Roman" w:hAnsi="Times New Roman" w:cs="Times New Roman"/>
        </w:rPr>
        <w:t xml:space="preserve"> MP-Pt(IV) was synthesized by </w:t>
      </w:r>
      <w:r w:rsidRPr="008F26C6">
        <w:rPr>
          <w:rFonts w:ascii="Times New Roman" w:hAnsi="Times New Roman" w:cs="Times New Roman"/>
          <w:lang w:val="en-CA"/>
        </w:rPr>
        <w:t>2-(1</w:t>
      </w:r>
      <w:r w:rsidRPr="008F26C6">
        <w:rPr>
          <w:rFonts w:ascii="Times New Roman" w:hAnsi="Times New Roman" w:cs="Times New Roman"/>
          <w:i/>
          <w:lang w:val="en-CA"/>
        </w:rPr>
        <w:t>H</w:t>
      </w:r>
      <w:r w:rsidRPr="008F26C6">
        <w:rPr>
          <w:rFonts w:ascii="Times New Roman" w:hAnsi="Times New Roman" w:cs="Times New Roman"/>
          <w:lang w:val="en-CA"/>
        </w:rPr>
        <w:t>-benzotriazol-1-yl)-1,1,3,3-tetramethyluronium hexafluorophosphate (HBTU) mediated</w:t>
      </w:r>
      <w:r w:rsidRPr="008F26C6">
        <w:rPr>
          <w:rFonts w:ascii="Times New Roman" w:hAnsi="Times New Roman" w:cs="Times New Roman"/>
        </w:rPr>
        <w:t xml:space="preserve"> coupling of </w:t>
      </w:r>
      <w:r w:rsidRPr="008F26C6">
        <w:rPr>
          <w:rFonts w:ascii="Times New Roman" w:hAnsi="Times New Roman" w:cs="Times New Roman"/>
          <w:b/>
        </w:rPr>
        <w:t xml:space="preserve">1 </w:t>
      </w:r>
      <w:r w:rsidRPr="008F26C6">
        <w:rPr>
          <w:rFonts w:ascii="Times New Roman" w:hAnsi="Times New Roman" w:cs="Times New Roman"/>
        </w:rPr>
        <w:t xml:space="preserve">and </w:t>
      </w:r>
      <w:r w:rsidRPr="008F26C6">
        <w:rPr>
          <w:rFonts w:ascii="Times New Roman" w:hAnsi="Times New Roman" w:cs="Times New Roman"/>
          <w:b/>
        </w:rPr>
        <w:t xml:space="preserve">2 </w:t>
      </w:r>
      <w:r w:rsidRPr="008F26C6">
        <w:rPr>
          <w:rFonts w:ascii="Times New Roman" w:hAnsi="Times New Roman" w:cs="Times New Roman"/>
        </w:rPr>
        <w:t xml:space="preserve">followed by chromatographic separation. The published procedure for the synthesis of </w:t>
      </w:r>
      <w:r w:rsidRPr="008F26C6">
        <w:rPr>
          <w:rFonts w:ascii="Times New Roman" w:hAnsi="Times New Roman" w:cs="Times New Roman"/>
          <w:b/>
        </w:rPr>
        <w:t xml:space="preserve">1 </w:t>
      </w:r>
      <w:r w:rsidRPr="008F26C6">
        <w:rPr>
          <w:rFonts w:ascii="Times New Roman" w:hAnsi="Times New Roman" w:cs="Times New Roman"/>
        </w:rPr>
        <w:t xml:space="preserve">was slightly modified at the purification stage by the sequential use of acetone and diethyl ether (5 x 3 mL) and refrigeration of the partially-purified ether solution of </w:t>
      </w:r>
      <w:r w:rsidRPr="008F26C6">
        <w:rPr>
          <w:rFonts w:ascii="Times New Roman" w:hAnsi="Times New Roman" w:cs="Times New Roman"/>
          <w:b/>
        </w:rPr>
        <w:t xml:space="preserve">1 </w:t>
      </w:r>
      <w:r w:rsidRPr="008F26C6">
        <w:rPr>
          <w:rFonts w:ascii="Times New Roman" w:hAnsi="Times New Roman" w:cs="Times New Roman"/>
        </w:rPr>
        <w:t xml:space="preserve">at 4 ˚C, protected from light, for 72 h to induce complete precipitation of </w:t>
      </w:r>
      <w:r w:rsidRPr="008F26C6">
        <w:rPr>
          <w:rFonts w:ascii="Times New Roman" w:hAnsi="Times New Roman" w:cs="Times New Roman"/>
          <w:b/>
        </w:rPr>
        <w:t xml:space="preserve">1 </w:t>
      </w:r>
      <w:r w:rsidRPr="008F26C6">
        <w:rPr>
          <w:rFonts w:ascii="Times New Roman" w:hAnsi="Times New Roman" w:cs="Times New Roman"/>
        </w:rPr>
        <w:t>as a bright yellow precipitate that was washed with cold diethyl ether and dried under vacuum.</w:t>
      </w:r>
    </w:p>
    <w:p w14:paraId="348F73B9" w14:textId="1640DAA2" w:rsidR="00BE28C5" w:rsidRPr="008F26C6" w:rsidRDefault="00BE28C5" w:rsidP="00BE28C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</w:rPr>
      </w:pPr>
      <w:r w:rsidRPr="008F26C6">
        <w:rPr>
          <w:rFonts w:ascii="Times New Roman" w:hAnsi="Times New Roman" w:cs="Times New Roman"/>
          <w:b/>
        </w:rPr>
        <w:t>2-[(trichlorodiiminoplatinio)oxy]ethyl 2-(1-methyl-1,2,3,6-tetrahydropyridin-4-yl)propanoate, MP-Pt(IV)</w:t>
      </w:r>
    </w:p>
    <w:p w14:paraId="3E3D34D2" w14:textId="5A4AFCF2" w:rsidR="0099499D" w:rsidRPr="008F26C6" w:rsidRDefault="00B15E69" w:rsidP="00BE28C5">
      <w:pPr>
        <w:spacing w:line="480" w:lineRule="auto"/>
        <w:jc w:val="both"/>
        <w:rPr>
          <w:rFonts w:ascii="Times New Roman" w:hAnsi="Times New Roman" w:cs="Times New Roman"/>
        </w:rPr>
      </w:pPr>
      <w:r w:rsidRPr="008F26C6">
        <w:rPr>
          <w:rFonts w:ascii="Times New Roman" w:hAnsi="Times New Roman" w:cs="Times New Roman"/>
        </w:rPr>
        <w:t xml:space="preserve">HBTU (101 mg, 266 </w:t>
      </w:r>
      <w:r w:rsidR="00742AAA">
        <w:rPr>
          <w:rFonts w:ascii="Times New Roman" w:hAnsi="Times New Roman" w:cs="Times New Roman"/>
        </w:rPr>
        <w:t>µ</w:t>
      </w:r>
      <w:r w:rsidRPr="008F26C6">
        <w:rPr>
          <w:rFonts w:ascii="Times New Roman" w:hAnsi="Times New Roman" w:cs="Times New Roman"/>
        </w:rPr>
        <w:t xml:space="preserve">M) was added to a solution of </w:t>
      </w:r>
      <w:r w:rsidRPr="008F26C6">
        <w:rPr>
          <w:rFonts w:ascii="Times New Roman" w:hAnsi="Times New Roman" w:cs="Times New Roman"/>
          <w:b/>
        </w:rPr>
        <w:t xml:space="preserve">2 </w:t>
      </w:r>
      <w:r w:rsidRPr="008F26C6">
        <w:rPr>
          <w:rFonts w:ascii="Times New Roman" w:hAnsi="Times New Roman" w:cs="Times New Roman"/>
        </w:rPr>
        <w:t xml:space="preserve">(30 mg, 177 </w:t>
      </w:r>
      <w:r w:rsidR="00742AAA">
        <w:rPr>
          <w:rFonts w:ascii="Times New Roman" w:hAnsi="Times New Roman" w:cs="Times New Roman"/>
        </w:rPr>
        <w:t>µ</w:t>
      </w:r>
      <w:r w:rsidRPr="008F26C6">
        <w:rPr>
          <w:rFonts w:ascii="Times New Roman" w:hAnsi="Times New Roman" w:cs="Times New Roman"/>
        </w:rPr>
        <w:t xml:space="preserve">M) in anhydrous </w:t>
      </w:r>
      <w:r w:rsidRPr="008F26C6">
        <w:rPr>
          <w:rFonts w:ascii="Times New Roman" w:hAnsi="Times New Roman" w:cs="Times New Roman"/>
          <w:i/>
        </w:rPr>
        <w:t>N-,N</w:t>
      </w:r>
      <w:r w:rsidRPr="008F26C6">
        <w:rPr>
          <w:rFonts w:ascii="Times New Roman" w:hAnsi="Times New Roman" w:cs="Times New Roman"/>
        </w:rPr>
        <w:t>-dimethylformamide (3 mL) and the reaction was stirred under N</w:t>
      </w:r>
      <w:r w:rsidRPr="008F26C6">
        <w:rPr>
          <w:rFonts w:ascii="Times New Roman" w:hAnsi="Times New Roman" w:cs="Times New Roman"/>
          <w:vertAlign w:val="subscript"/>
        </w:rPr>
        <w:t>2</w:t>
      </w:r>
      <w:r w:rsidRPr="008F26C6">
        <w:rPr>
          <w:rFonts w:ascii="Times New Roman" w:hAnsi="Times New Roman" w:cs="Times New Roman"/>
        </w:rPr>
        <w:t xml:space="preserve">. After 30 min, </w:t>
      </w:r>
      <w:r w:rsidRPr="008F26C6">
        <w:rPr>
          <w:rFonts w:ascii="Times New Roman" w:hAnsi="Times New Roman" w:cs="Times New Roman"/>
          <w:i/>
        </w:rPr>
        <w:t>N-,N</w:t>
      </w:r>
      <w:r w:rsidRPr="008F26C6">
        <w:rPr>
          <w:rFonts w:ascii="Times New Roman" w:hAnsi="Times New Roman" w:cs="Times New Roman"/>
        </w:rPr>
        <w:t xml:space="preserve">-diisopropylethylamine (95 </w:t>
      </w:r>
      <w:r w:rsidR="00742AAA">
        <w:rPr>
          <w:rFonts w:ascii="Times New Roman" w:hAnsi="Times New Roman" w:cs="Times New Roman"/>
        </w:rPr>
        <w:t>µ</w:t>
      </w:r>
      <w:r w:rsidRPr="008F26C6">
        <w:rPr>
          <w:rFonts w:ascii="Times New Roman" w:hAnsi="Times New Roman" w:cs="Times New Roman"/>
        </w:rPr>
        <w:t xml:space="preserve">L, 355 </w:t>
      </w:r>
      <w:r w:rsidR="00742AAA">
        <w:rPr>
          <w:rFonts w:ascii="Times New Roman" w:hAnsi="Times New Roman" w:cs="Times New Roman"/>
        </w:rPr>
        <w:t>µ</w:t>
      </w:r>
      <w:r w:rsidRPr="008F26C6">
        <w:rPr>
          <w:rFonts w:ascii="Times New Roman" w:hAnsi="Times New Roman" w:cs="Times New Roman"/>
        </w:rPr>
        <w:t xml:space="preserve">M) was added and the reaction was stirred for 15 min. Compound </w:t>
      </w:r>
      <w:r w:rsidRPr="008F26C6">
        <w:rPr>
          <w:rFonts w:ascii="Times New Roman" w:hAnsi="Times New Roman" w:cs="Times New Roman"/>
          <w:b/>
        </w:rPr>
        <w:t xml:space="preserve">1 </w:t>
      </w:r>
      <w:r w:rsidRPr="008F26C6">
        <w:rPr>
          <w:rFonts w:ascii="Times New Roman" w:hAnsi="Times New Roman" w:cs="Times New Roman"/>
        </w:rPr>
        <w:t xml:space="preserve">(70 mg, 266 </w:t>
      </w:r>
      <w:r w:rsidR="00742AAA">
        <w:rPr>
          <w:rFonts w:ascii="Times New Roman" w:hAnsi="Times New Roman" w:cs="Times New Roman"/>
        </w:rPr>
        <w:t>µ</w:t>
      </w:r>
      <w:r w:rsidRPr="008F26C6">
        <w:rPr>
          <w:rFonts w:ascii="Times New Roman" w:hAnsi="Times New Roman" w:cs="Times New Roman"/>
        </w:rPr>
        <w:t xml:space="preserve">M) was added and the reaction was stirred for an additional 12 h. The solvent was removed under reduced pressure. The product MP-Pt(IV) was obtained by direct-phase chromatography over silica </w:t>
      </w:r>
      <w:r w:rsidRPr="008F26C6">
        <w:rPr>
          <w:rFonts w:ascii="Times New Roman" w:hAnsi="Times New Roman" w:cs="Times New Roman"/>
        </w:rPr>
        <w:lastRenderedPageBreak/>
        <w:t>gel using 9:1 ethyl acetate:ethanol as the eluent. Yield: 37 mg (38%). ESI-MS (</w:t>
      </w:r>
      <w:r w:rsidRPr="008F26C6">
        <w:rPr>
          <w:rFonts w:ascii="Times New Roman" w:hAnsi="Times New Roman" w:cs="Times New Roman"/>
          <w:vertAlign w:val="superscript"/>
        </w:rPr>
        <w:t>+</w:t>
      </w:r>
      <w:r w:rsidRPr="008F26C6">
        <w:rPr>
          <w:rFonts w:ascii="Times New Roman" w:hAnsi="Times New Roman" w:cs="Times New Roman"/>
        </w:rPr>
        <w:t>ve mode): Anal. 548; Found 596.90 (M</w:t>
      </w:r>
      <w:r w:rsidRPr="008F26C6">
        <w:rPr>
          <w:rFonts w:ascii="Times New Roman" w:hAnsi="Times New Roman" w:cs="Times New Roman"/>
          <w:vertAlign w:val="superscript"/>
        </w:rPr>
        <w:t>+</w:t>
      </w:r>
      <w:r w:rsidRPr="008F26C6">
        <w:rPr>
          <w:rFonts w:ascii="Times New Roman" w:hAnsi="Times New Roman" w:cs="Times New Roman"/>
        </w:rPr>
        <w:t>Na</w:t>
      </w:r>
      <w:r w:rsidRPr="008F26C6">
        <w:rPr>
          <w:rFonts w:ascii="Times New Roman" w:hAnsi="Times New Roman" w:cs="Times New Roman"/>
          <w:vertAlign w:val="superscript"/>
        </w:rPr>
        <w:t>+</w:t>
      </w:r>
      <w:r w:rsidRPr="008F26C6">
        <w:rPr>
          <w:rFonts w:ascii="Times New Roman" w:hAnsi="Times New Roman" w:cs="Times New Roman"/>
        </w:rPr>
        <w:t>H</w:t>
      </w:r>
      <w:r w:rsidRPr="008F26C6">
        <w:rPr>
          <w:rFonts w:ascii="Times New Roman" w:hAnsi="Times New Roman" w:cs="Times New Roman"/>
          <w:vertAlign w:val="subscript"/>
        </w:rPr>
        <w:t>2</w:t>
      </w:r>
      <w:r w:rsidRPr="008F26C6">
        <w:rPr>
          <w:rFonts w:ascii="Times New Roman" w:hAnsi="Times New Roman" w:cs="Times New Roman"/>
        </w:rPr>
        <w:t xml:space="preserve">O) </w:t>
      </w:r>
      <w:r w:rsidRPr="008F26C6">
        <w:rPr>
          <w:rFonts w:ascii="Times New Roman" w:hAnsi="Times New Roman" w:cs="Times New Roman"/>
          <w:vertAlign w:val="superscript"/>
        </w:rPr>
        <w:t>1</w:t>
      </w:r>
      <w:r w:rsidRPr="008F26C6">
        <w:rPr>
          <w:rFonts w:ascii="Times New Roman" w:hAnsi="Times New Roman" w:cs="Times New Roman"/>
        </w:rPr>
        <w:t>HNMR (DMSO-</w:t>
      </w:r>
      <w:r w:rsidRPr="008F26C6">
        <w:rPr>
          <w:rFonts w:ascii="Times New Roman" w:hAnsi="Times New Roman" w:cs="Times New Roman"/>
          <w:i/>
        </w:rPr>
        <w:t>d</w:t>
      </w:r>
      <w:r w:rsidRPr="008F26C6">
        <w:rPr>
          <w:rFonts w:ascii="Times New Roman" w:hAnsi="Times New Roman" w:cs="Times New Roman"/>
          <w:i/>
          <w:vertAlign w:val="subscript"/>
        </w:rPr>
        <w:t>6</w:t>
      </w:r>
      <w:r w:rsidRPr="008F26C6">
        <w:rPr>
          <w:rFonts w:ascii="Times New Roman" w:hAnsi="Times New Roman" w:cs="Times New Roman"/>
        </w:rPr>
        <w:t>): δ 1.28 (s, 3H, CH</w:t>
      </w:r>
      <w:r w:rsidRPr="008F26C6">
        <w:rPr>
          <w:rFonts w:ascii="Times New Roman" w:hAnsi="Times New Roman" w:cs="Times New Roman"/>
          <w:vertAlign w:val="subscript"/>
        </w:rPr>
        <w:t>3</w:t>
      </w:r>
      <w:r w:rsidRPr="008F26C6">
        <w:rPr>
          <w:rFonts w:ascii="Times New Roman" w:hAnsi="Times New Roman" w:cs="Times New Roman"/>
        </w:rPr>
        <w:t>), 2.40-2.59 (m, 2H, CH</w:t>
      </w:r>
      <w:r w:rsidRPr="008F26C6">
        <w:rPr>
          <w:rFonts w:ascii="Times New Roman" w:hAnsi="Times New Roman" w:cs="Times New Roman"/>
          <w:vertAlign w:val="subscript"/>
        </w:rPr>
        <w:t>2</w:t>
      </w:r>
      <w:r w:rsidR="00D17514">
        <w:rPr>
          <w:rFonts w:ascii="Times New Roman" w:hAnsi="Times New Roman" w:cs="Times New Roman"/>
          <w:vertAlign w:val="subscript"/>
        </w:rPr>
        <w:t xml:space="preserve">, </w:t>
      </w:r>
      <w:r w:rsidR="00D17514" w:rsidRPr="00D17514">
        <w:rPr>
          <w:rFonts w:ascii="Times New Roman" w:hAnsi="Times New Roman" w:cs="Times New Roman"/>
        </w:rPr>
        <w:t>J = 5.5 Hz</w:t>
      </w:r>
      <w:r w:rsidRPr="008F26C6">
        <w:rPr>
          <w:rFonts w:ascii="Times New Roman" w:hAnsi="Times New Roman" w:cs="Times New Roman"/>
        </w:rPr>
        <w:t>), 2.89 (s, 3H, N-CH</w:t>
      </w:r>
      <w:r w:rsidRPr="00D17514">
        <w:rPr>
          <w:rFonts w:ascii="Times New Roman" w:hAnsi="Times New Roman" w:cs="Times New Roman"/>
          <w:vertAlign w:val="subscript"/>
        </w:rPr>
        <w:t>3</w:t>
      </w:r>
      <w:r w:rsidR="00D17514">
        <w:rPr>
          <w:rFonts w:ascii="Times New Roman" w:hAnsi="Times New Roman" w:cs="Times New Roman"/>
        </w:rPr>
        <w:t xml:space="preserve">, </w:t>
      </w:r>
      <w:r w:rsidR="00D17514" w:rsidRPr="00D17514">
        <w:rPr>
          <w:rFonts w:ascii="Times New Roman" w:hAnsi="Times New Roman" w:cs="Times New Roman"/>
        </w:rPr>
        <w:t> </w:t>
      </w:r>
      <w:r w:rsidR="00D17514" w:rsidRPr="00D17514">
        <w:rPr>
          <w:rFonts w:ascii="Times New Roman" w:hAnsi="Times New Roman" w:cs="Times New Roman"/>
          <w:i/>
        </w:rPr>
        <w:t>J</w:t>
      </w:r>
      <w:r w:rsidR="00D17514" w:rsidRPr="00D17514">
        <w:rPr>
          <w:rFonts w:ascii="Times New Roman" w:hAnsi="Times New Roman" w:cs="Times New Roman"/>
        </w:rPr>
        <w:t>=7.0 Hz</w:t>
      </w:r>
      <w:r w:rsidRPr="008F26C6">
        <w:rPr>
          <w:rFonts w:ascii="Times New Roman" w:hAnsi="Times New Roman" w:cs="Times New Roman"/>
        </w:rPr>
        <w:t>), 3.05-3.10 (m, 1H, C-H</w:t>
      </w:r>
      <w:r w:rsidR="00D17514">
        <w:rPr>
          <w:rFonts w:ascii="Times New Roman" w:hAnsi="Times New Roman" w:cs="Times New Roman"/>
        </w:rPr>
        <w:t xml:space="preserve">, </w:t>
      </w:r>
      <w:r w:rsidR="00D17514" w:rsidRPr="00D17514">
        <w:rPr>
          <w:rFonts w:ascii="Times New Roman" w:hAnsi="Times New Roman" w:cs="Times New Roman"/>
        </w:rPr>
        <w:t> J=6.0 H</w:t>
      </w:r>
      <w:r w:rsidR="00D17514">
        <w:rPr>
          <w:rFonts w:ascii="Times New Roman" w:hAnsi="Times New Roman" w:cs="Times New Roman"/>
        </w:rPr>
        <w:t>z</w:t>
      </w:r>
      <w:r w:rsidRPr="008F26C6">
        <w:rPr>
          <w:rFonts w:ascii="Times New Roman" w:hAnsi="Times New Roman" w:cs="Times New Roman"/>
        </w:rPr>
        <w:t>), 3.39−3.42 (m, 4H, Pt−O−CH</w:t>
      </w:r>
      <w:r w:rsidRPr="008F26C6">
        <w:rPr>
          <w:rFonts w:ascii="Times New Roman" w:hAnsi="Times New Roman" w:cs="Times New Roman"/>
          <w:vertAlign w:val="subscript"/>
        </w:rPr>
        <w:t>2</w:t>
      </w:r>
      <w:r w:rsidRPr="008F26C6">
        <w:rPr>
          <w:rFonts w:ascii="Times New Roman" w:hAnsi="Times New Roman" w:cs="Times New Roman"/>
        </w:rPr>
        <w:t>−CH</w:t>
      </w:r>
      <w:r w:rsidRPr="008F26C6">
        <w:rPr>
          <w:rFonts w:ascii="Times New Roman" w:hAnsi="Times New Roman" w:cs="Times New Roman"/>
          <w:vertAlign w:val="subscript"/>
        </w:rPr>
        <w:t>2</w:t>
      </w:r>
      <w:r w:rsidRPr="008F26C6">
        <w:rPr>
          <w:rFonts w:ascii="Times New Roman" w:hAnsi="Times New Roman" w:cs="Times New Roman"/>
        </w:rPr>
        <w:t>), 5.58 (m, 7H, NH</w:t>
      </w:r>
      <w:r w:rsidRPr="008F26C6">
        <w:rPr>
          <w:rFonts w:ascii="Times New Roman" w:hAnsi="Times New Roman" w:cs="Times New Roman"/>
          <w:vertAlign w:val="subscript"/>
        </w:rPr>
        <w:t>3</w:t>
      </w:r>
      <w:r w:rsidRPr="008F26C6">
        <w:rPr>
          <w:rFonts w:ascii="Times New Roman" w:hAnsi="Times New Roman" w:cs="Times New Roman"/>
        </w:rPr>
        <w:t>, and C-H)</w:t>
      </w:r>
      <w:r w:rsidR="00870F74" w:rsidRPr="008F26C6">
        <w:rPr>
          <w:rFonts w:ascii="Times New Roman" w:hAnsi="Times New Roman" w:cs="Times New Roman"/>
        </w:rPr>
        <w:t>.</w:t>
      </w:r>
    </w:p>
    <w:p w14:paraId="4F2F8748" w14:textId="66B000E0" w:rsidR="00BE28C5" w:rsidRPr="008F26C6" w:rsidRDefault="00BE28C5" w:rsidP="008453BB">
      <w:pPr>
        <w:spacing w:line="480" w:lineRule="auto"/>
        <w:jc w:val="both"/>
        <w:rPr>
          <w:rFonts w:ascii="Times New Roman" w:hAnsi="Times New Roman" w:cs="Times New Roman"/>
        </w:rPr>
      </w:pPr>
    </w:p>
    <w:sectPr w:rsidR="00BE28C5" w:rsidRPr="008F26C6" w:rsidSect="008E4CDC">
      <w:headerReference w:type="default" r:id="rId17"/>
      <w:footerReference w:type="default" r:id="rId1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05E7AD" w16cid:durableId="225DBF8B"/>
  <w16cid:commentId w16cid:paraId="20D8C4C1" w16cid:durableId="225DBF8C"/>
  <w16cid:commentId w16cid:paraId="71B7B2D0" w16cid:durableId="225DBF8D"/>
  <w16cid:commentId w16cid:paraId="319117D7" w16cid:durableId="225DBF8E"/>
  <w16cid:commentId w16cid:paraId="2CE6FE87" w16cid:durableId="225DBF8F"/>
  <w16cid:commentId w16cid:paraId="066EA9C9" w16cid:durableId="225DBF9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DD4DB" w14:textId="77777777" w:rsidR="00B16A24" w:rsidRDefault="00B16A24" w:rsidP="000348D0">
      <w:r>
        <w:separator/>
      </w:r>
    </w:p>
  </w:endnote>
  <w:endnote w:type="continuationSeparator" w:id="0">
    <w:p w14:paraId="518CD0F5" w14:textId="77777777" w:rsidR="00B16A24" w:rsidRDefault="00B16A24" w:rsidP="0003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7114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AFBD18" w14:textId="77777777" w:rsidR="000B5933" w:rsidRDefault="000B59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56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F6290C" w14:textId="77777777" w:rsidR="000B5933" w:rsidRDefault="000B59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E5F07" w14:textId="77777777" w:rsidR="00B16A24" w:rsidRDefault="00B16A24" w:rsidP="000348D0">
      <w:r>
        <w:separator/>
      </w:r>
    </w:p>
  </w:footnote>
  <w:footnote w:type="continuationSeparator" w:id="0">
    <w:p w14:paraId="37DA3FAE" w14:textId="77777777" w:rsidR="00B16A24" w:rsidRDefault="00B16A24" w:rsidP="00034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1B0FD" w14:textId="799B6D02" w:rsidR="000B5933" w:rsidRDefault="000B5933" w:rsidP="00F7691C">
    <w:pPr>
      <w:pStyle w:val="Header"/>
      <w:jc w:val="center"/>
    </w:pPr>
    <w:r w:rsidRPr="00BA5ED9">
      <w:rPr>
        <w:bCs/>
      </w:rPr>
      <w:t xml:space="preserve">MP-Pt(IV): A MAOB-sensitive prodrug </w:t>
    </w:r>
    <w:r>
      <w:rPr>
        <w:bCs/>
      </w:rPr>
      <w:t>against</w:t>
    </w:r>
    <w:r w:rsidRPr="00BA5ED9">
      <w:rPr>
        <w:bCs/>
      </w:rPr>
      <w:t xml:space="preserve"> GBM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56517"/>
    <w:multiLevelType w:val="hybridMultilevel"/>
    <w:tmpl w:val="EB7CA38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70634"/>
    <w:multiLevelType w:val="hybridMultilevel"/>
    <w:tmpl w:val="54BE7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673DF"/>
    <w:multiLevelType w:val="hybridMultilevel"/>
    <w:tmpl w:val="834A3F26"/>
    <w:lvl w:ilvl="0" w:tplc="B7500C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E47E8"/>
    <w:multiLevelType w:val="hybridMultilevel"/>
    <w:tmpl w:val="CC161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A65CC"/>
    <w:multiLevelType w:val="hybridMultilevel"/>
    <w:tmpl w:val="AA9A4816"/>
    <w:lvl w:ilvl="0" w:tplc="11C299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55CB9"/>
    <w:multiLevelType w:val="hybridMultilevel"/>
    <w:tmpl w:val="84FE9B2C"/>
    <w:lvl w:ilvl="0" w:tplc="F3DCDF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7470F"/>
    <w:multiLevelType w:val="hybridMultilevel"/>
    <w:tmpl w:val="11D2E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linkStyle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W1MDQzMrQwMbU0M7NU0lEKTi0uzszPAykwNK4FABpmmYQ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85384A"/>
    <w:rsid w:val="00005333"/>
    <w:rsid w:val="00006451"/>
    <w:rsid w:val="000142E4"/>
    <w:rsid w:val="00021489"/>
    <w:rsid w:val="00021DF6"/>
    <w:rsid w:val="00022017"/>
    <w:rsid w:val="00022432"/>
    <w:rsid w:val="00022517"/>
    <w:rsid w:val="0002337C"/>
    <w:rsid w:val="000242CA"/>
    <w:rsid w:val="00027A1F"/>
    <w:rsid w:val="00033A3E"/>
    <w:rsid w:val="000348D0"/>
    <w:rsid w:val="00036876"/>
    <w:rsid w:val="00042C83"/>
    <w:rsid w:val="000458BC"/>
    <w:rsid w:val="00050CDA"/>
    <w:rsid w:val="000512A1"/>
    <w:rsid w:val="00052642"/>
    <w:rsid w:val="00056031"/>
    <w:rsid w:val="00076E13"/>
    <w:rsid w:val="00081899"/>
    <w:rsid w:val="00082979"/>
    <w:rsid w:val="00083F77"/>
    <w:rsid w:val="00085C20"/>
    <w:rsid w:val="000876B7"/>
    <w:rsid w:val="00094FB7"/>
    <w:rsid w:val="000959F0"/>
    <w:rsid w:val="000A7A93"/>
    <w:rsid w:val="000B1958"/>
    <w:rsid w:val="000B1A55"/>
    <w:rsid w:val="000B5933"/>
    <w:rsid w:val="000B6AA2"/>
    <w:rsid w:val="000C3810"/>
    <w:rsid w:val="000C60FC"/>
    <w:rsid w:val="000D0234"/>
    <w:rsid w:val="000E076B"/>
    <w:rsid w:val="000E3229"/>
    <w:rsid w:val="000F376B"/>
    <w:rsid w:val="000F6B68"/>
    <w:rsid w:val="00107B84"/>
    <w:rsid w:val="001274A6"/>
    <w:rsid w:val="00132CEE"/>
    <w:rsid w:val="00140B57"/>
    <w:rsid w:val="00140FFB"/>
    <w:rsid w:val="001410CE"/>
    <w:rsid w:val="00141FEF"/>
    <w:rsid w:val="001502E9"/>
    <w:rsid w:val="0015203E"/>
    <w:rsid w:val="001603CB"/>
    <w:rsid w:val="00163C4C"/>
    <w:rsid w:val="00170D46"/>
    <w:rsid w:val="00172CE2"/>
    <w:rsid w:val="0017579B"/>
    <w:rsid w:val="00177B79"/>
    <w:rsid w:val="00177F39"/>
    <w:rsid w:val="00182F09"/>
    <w:rsid w:val="001841A7"/>
    <w:rsid w:val="00194E27"/>
    <w:rsid w:val="001968E5"/>
    <w:rsid w:val="00196AC1"/>
    <w:rsid w:val="001A5AE4"/>
    <w:rsid w:val="001A7A9C"/>
    <w:rsid w:val="001C6E4E"/>
    <w:rsid w:val="001D0E74"/>
    <w:rsid w:val="001D2884"/>
    <w:rsid w:val="001E224B"/>
    <w:rsid w:val="001E6ED2"/>
    <w:rsid w:val="001F5025"/>
    <w:rsid w:val="00201D4F"/>
    <w:rsid w:val="00203950"/>
    <w:rsid w:val="00203F6B"/>
    <w:rsid w:val="002101B6"/>
    <w:rsid w:val="002140BA"/>
    <w:rsid w:val="0021583A"/>
    <w:rsid w:val="002162B0"/>
    <w:rsid w:val="00216821"/>
    <w:rsid w:val="002233A7"/>
    <w:rsid w:val="002318E7"/>
    <w:rsid w:val="00234E01"/>
    <w:rsid w:val="002405F3"/>
    <w:rsid w:val="00242004"/>
    <w:rsid w:val="0024331D"/>
    <w:rsid w:val="002434C4"/>
    <w:rsid w:val="00244F03"/>
    <w:rsid w:val="00244FFE"/>
    <w:rsid w:val="002504AF"/>
    <w:rsid w:val="00255728"/>
    <w:rsid w:val="0025686E"/>
    <w:rsid w:val="00260BF7"/>
    <w:rsid w:val="002642F5"/>
    <w:rsid w:val="00275C13"/>
    <w:rsid w:val="00277A2D"/>
    <w:rsid w:val="00281578"/>
    <w:rsid w:val="00282B47"/>
    <w:rsid w:val="0028676B"/>
    <w:rsid w:val="002914C4"/>
    <w:rsid w:val="00295BFF"/>
    <w:rsid w:val="002966B1"/>
    <w:rsid w:val="002A0CC5"/>
    <w:rsid w:val="002A54BC"/>
    <w:rsid w:val="002B1906"/>
    <w:rsid w:val="002B5978"/>
    <w:rsid w:val="002C0FC3"/>
    <w:rsid w:val="002C7088"/>
    <w:rsid w:val="002D03EE"/>
    <w:rsid w:val="002D1A5D"/>
    <w:rsid w:val="002E17DE"/>
    <w:rsid w:val="002E1DBC"/>
    <w:rsid w:val="002E1E2A"/>
    <w:rsid w:val="002E4E17"/>
    <w:rsid w:val="002F153D"/>
    <w:rsid w:val="002F202C"/>
    <w:rsid w:val="002F371B"/>
    <w:rsid w:val="002F38F1"/>
    <w:rsid w:val="002F5687"/>
    <w:rsid w:val="002F5FE7"/>
    <w:rsid w:val="003032EA"/>
    <w:rsid w:val="00303B85"/>
    <w:rsid w:val="00311293"/>
    <w:rsid w:val="00313250"/>
    <w:rsid w:val="0031535F"/>
    <w:rsid w:val="00321381"/>
    <w:rsid w:val="00322317"/>
    <w:rsid w:val="00325CA3"/>
    <w:rsid w:val="0033006B"/>
    <w:rsid w:val="003303C6"/>
    <w:rsid w:val="0033529F"/>
    <w:rsid w:val="00336054"/>
    <w:rsid w:val="003366C0"/>
    <w:rsid w:val="00346E71"/>
    <w:rsid w:val="00347636"/>
    <w:rsid w:val="00347DD8"/>
    <w:rsid w:val="003528EA"/>
    <w:rsid w:val="00354F8A"/>
    <w:rsid w:val="00361188"/>
    <w:rsid w:val="00362155"/>
    <w:rsid w:val="00370513"/>
    <w:rsid w:val="00371510"/>
    <w:rsid w:val="00372A62"/>
    <w:rsid w:val="00374799"/>
    <w:rsid w:val="00375913"/>
    <w:rsid w:val="00381F07"/>
    <w:rsid w:val="00393FAB"/>
    <w:rsid w:val="003976E9"/>
    <w:rsid w:val="003A2BAD"/>
    <w:rsid w:val="003A3DE2"/>
    <w:rsid w:val="003A4F5A"/>
    <w:rsid w:val="003A51FB"/>
    <w:rsid w:val="003A586A"/>
    <w:rsid w:val="003A63B1"/>
    <w:rsid w:val="003A63B4"/>
    <w:rsid w:val="003B1B1E"/>
    <w:rsid w:val="003C2FFD"/>
    <w:rsid w:val="003C786F"/>
    <w:rsid w:val="003C7DDE"/>
    <w:rsid w:val="003D0EC2"/>
    <w:rsid w:val="003D3853"/>
    <w:rsid w:val="003E0758"/>
    <w:rsid w:val="003E2537"/>
    <w:rsid w:val="003F548F"/>
    <w:rsid w:val="00406C31"/>
    <w:rsid w:val="00415B84"/>
    <w:rsid w:val="00415D21"/>
    <w:rsid w:val="004161ED"/>
    <w:rsid w:val="004170D1"/>
    <w:rsid w:val="004226AC"/>
    <w:rsid w:val="00427689"/>
    <w:rsid w:val="00430A48"/>
    <w:rsid w:val="0043352C"/>
    <w:rsid w:val="00435847"/>
    <w:rsid w:val="004365D1"/>
    <w:rsid w:val="0043723D"/>
    <w:rsid w:val="00440518"/>
    <w:rsid w:val="00441624"/>
    <w:rsid w:val="00443E9A"/>
    <w:rsid w:val="00446662"/>
    <w:rsid w:val="00450A44"/>
    <w:rsid w:val="00451DDD"/>
    <w:rsid w:val="004531D6"/>
    <w:rsid w:val="00453914"/>
    <w:rsid w:val="00457072"/>
    <w:rsid w:val="00464E47"/>
    <w:rsid w:val="00465C32"/>
    <w:rsid w:val="00474BD4"/>
    <w:rsid w:val="004878A8"/>
    <w:rsid w:val="004959ED"/>
    <w:rsid w:val="004A3870"/>
    <w:rsid w:val="004A6CE4"/>
    <w:rsid w:val="004A7B6C"/>
    <w:rsid w:val="004B1A3D"/>
    <w:rsid w:val="004B35DA"/>
    <w:rsid w:val="004B3D5A"/>
    <w:rsid w:val="004B4F94"/>
    <w:rsid w:val="004C52A9"/>
    <w:rsid w:val="004C58F9"/>
    <w:rsid w:val="004D13ED"/>
    <w:rsid w:val="004D1BD6"/>
    <w:rsid w:val="004D5944"/>
    <w:rsid w:val="004E4750"/>
    <w:rsid w:val="004E4C53"/>
    <w:rsid w:val="004F0B4B"/>
    <w:rsid w:val="004F6BDF"/>
    <w:rsid w:val="004F76FF"/>
    <w:rsid w:val="00507A79"/>
    <w:rsid w:val="0051089A"/>
    <w:rsid w:val="00513EBD"/>
    <w:rsid w:val="00515BFE"/>
    <w:rsid w:val="00516683"/>
    <w:rsid w:val="00517575"/>
    <w:rsid w:val="00526369"/>
    <w:rsid w:val="00526633"/>
    <w:rsid w:val="00530182"/>
    <w:rsid w:val="005343C3"/>
    <w:rsid w:val="0053751E"/>
    <w:rsid w:val="0054375E"/>
    <w:rsid w:val="00544784"/>
    <w:rsid w:val="005528E2"/>
    <w:rsid w:val="0055294C"/>
    <w:rsid w:val="00557D12"/>
    <w:rsid w:val="0056094D"/>
    <w:rsid w:val="005639CC"/>
    <w:rsid w:val="00572389"/>
    <w:rsid w:val="00573CA0"/>
    <w:rsid w:val="0058027A"/>
    <w:rsid w:val="00583B29"/>
    <w:rsid w:val="0058654F"/>
    <w:rsid w:val="00591FD2"/>
    <w:rsid w:val="00597A3A"/>
    <w:rsid w:val="005B009F"/>
    <w:rsid w:val="005B00B0"/>
    <w:rsid w:val="005B1241"/>
    <w:rsid w:val="005B596F"/>
    <w:rsid w:val="005B5ADB"/>
    <w:rsid w:val="005B7E51"/>
    <w:rsid w:val="005D051B"/>
    <w:rsid w:val="005D3F05"/>
    <w:rsid w:val="005D588C"/>
    <w:rsid w:val="005E3E29"/>
    <w:rsid w:val="005E4020"/>
    <w:rsid w:val="005E6AE6"/>
    <w:rsid w:val="005E76F8"/>
    <w:rsid w:val="005F0DCD"/>
    <w:rsid w:val="005F248A"/>
    <w:rsid w:val="00605570"/>
    <w:rsid w:val="006076F0"/>
    <w:rsid w:val="00615648"/>
    <w:rsid w:val="00615B81"/>
    <w:rsid w:val="00616F58"/>
    <w:rsid w:val="00616FF6"/>
    <w:rsid w:val="00617018"/>
    <w:rsid w:val="00621299"/>
    <w:rsid w:val="00621CF5"/>
    <w:rsid w:val="00625E0D"/>
    <w:rsid w:val="0063164B"/>
    <w:rsid w:val="006460D7"/>
    <w:rsid w:val="0065025E"/>
    <w:rsid w:val="006514B7"/>
    <w:rsid w:val="00652B5C"/>
    <w:rsid w:val="00655A16"/>
    <w:rsid w:val="00655D30"/>
    <w:rsid w:val="00666960"/>
    <w:rsid w:val="00666B80"/>
    <w:rsid w:val="00667BB8"/>
    <w:rsid w:val="00672A03"/>
    <w:rsid w:val="00672AF0"/>
    <w:rsid w:val="00674300"/>
    <w:rsid w:val="00684F0C"/>
    <w:rsid w:val="006854DB"/>
    <w:rsid w:val="006A3098"/>
    <w:rsid w:val="006A3E5D"/>
    <w:rsid w:val="006B04CC"/>
    <w:rsid w:val="006B719C"/>
    <w:rsid w:val="006C112C"/>
    <w:rsid w:val="006D7CFA"/>
    <w:rsid w:val="006E04F3"/>
    <w:rsid w:val="006E3141"/>
    <w:rsid w:val="006E3C58"/>
    <w:rsid w:val="006E3FA0"/>
    <w:rsid w:val="006E537D"/>
    <w:rsid w:val="00702825"/>
    <w:rsid w:val="00710B8E"/>
    <w:rsid w:val="0071225A"/>
    <w:rsid w:val="00721176"/>
    <w:rsid w:val="00723946"/>
    <w:rsid w:val="00733282"/>
    <w:rsid w:val="00742AAA"/>
    <w:rsid w:val="00751668"/>
    <w:rsid w:val="0075221A"/>
    <w:rsid w:val="00757B92"/>
    <w:rsid w:val="007668C5"/>
    <w:rsid w:val="0077091F"/>
    <w:rsid w:val="00774C0A"/>
    <w:rsid w:val="00776531"/>
    <w:rsid w:val="007772E2"/>
    <w:rsid w:val="00780887"/>
    <w:rsid w:val="007857AD"/>
    <w:rsid w:val="00790DE5"/>
    <w:rsid w:val="0079536B"/>
    <w:rsid w:val="007966B9"/>
    <w:rsid w:val="007A5825"/>
    <w:rsid w:val="007A59C9"/>
    <w:rsid w:val="007B4DFE"/>
    <w:rsid w:val="007C0ACC"/>
    <w:rsid w:val="007C2C12"/>
    <w:rsid w:val="007C49D2"/>
    <w:rsid w:val="007C5972"/>
    <w:rsid w:val="007D1048"/>
    <w:rsid w:val="007D1F06"/>
    <w:rsid w:val="007D2EFF"/>
    <w:rsid w:val="007D314A"/>
    <w:rsid w:val="007E0EC3"/>
    <w:rsid w:val="007E3735"/>
    <w:rsid w:val="00802C18"/>
    <w:rsid w:val="00825A30"/>
    <w:rsid w:val="008318B2"/>
    <w:rsid w:val="00832015"/>
    <w:rsid w:val="00840927"/>
    <w:rsid w:val="00844E5E"/>
    <w:rsid w:val="008453BB"/>
    <w:rsid w:val="00851255"/>
    <w:rsid w:val="008518D7"/>
    <w:rsid w:val="0085384A"/>
    <w:rsid w:val="00857BA9"/>
    <w:rsid w:val="0086174B"/>
    <w:rsid w:val="00861F8D"/>
    <w:rsid w:val="00862AA1"/>
    <w:rsid w:val="00863346"/>
    <w:rsid w:val="008669F0"/>
    <w:rsid w:val="00870F74"/>
    <w:rsid w:val="008770EE"/>
    <w:rsid w:val="008775B6"/>
    <w:rsid w:val="00877A78"/>
    <w:rsid w:val="008969C4"/>
    <w:rsid w:val="008A2636"/>
    <w:rsid w:val="008A5A6C"/>
    <w:rsid w:val="008B1506"/>
    <w:rsid w:val="008B444D"/>
    <w:rsid w:val="008C1323"/>
    <w:rsid w:val="008E4CDC"/>
    <w:rsid w:val="008E51D6"/>
    <w:rsid w:val="008F26C6"/>
    <w:rsid w:val="008F410E"/>
    <w:rsid w:val="008F43D8"/>
    <w:rsid w:val="008F5023"/>
    <w:rsid w:val="009011E2"/>
    <w:rsid w:val="00902B1A"/>
    <w:rsid w:val="00904319"/>
    <w:rsid w:val="00905E60"/>
    <w:rsid w:val="00906929"/>
    <w:rsid w:val="00907B56"/>
    <w:rsid w:val="00911B54"/>
    <w:rsid w:val="0091472C"/>
    <w:rsid w:val="00914E1A"/>
    <w:rsid w:val="00921317"/>
    <w:rsid w:val="009237F5"/>
    <w:rsid w:val="009302B2"/>
    <w:rsid w:val="009307D7"/>
    <w:rsid w:val="009314BD"/>
    <w:rsid w:val="00931B7D"/>
    <w:rsid w:val="0093582D"/>
    <w:rsid w:val="00946F70"/>
    <w:rsid w:val="009515EE"/>
    <w:rsid w:val="009555D1"/>
    <w:rsid w:val="00957ED0"/>
    <w:rsid w:val="0096057E"/>
    <w:rsid w:val="009636D9"/>
    <w:rsid w:val="009722F8"/>
    <w:rsid w:val="00973BB3"/>
    <w:rsid w:val="00974483"/>
    <w:rsid w:val="0097510C"/>
    <w:rsid w:val="00982829"/>
    <w:rsid w:val="00990985"/>
    <w:rsid w:val="00994478"/>
    <w:rsid w:val="0099499D"/>
    <w:rsid w:val="00997D1B"/>
    <w:rsid w:val="009A2C0A"/>
    <w:rsid w:val="009A3090"/>
    <w:rsid w:val="009A5909"/>
    <w:rsid w:val="009A5C4C"/>
    <w:rsid w:val="009B3367"/>
    <w:rsid w:val="009B45EA"/>
    <w:rsid w:val="009B7925"/>
    <w:rsid w:val="009C1260"/>
    <w:rsid w:val="009C30CE"/>
    <w:rsid w:val="009C38A8"/>
    <w:rsid w:val="009C7E77"/>
    <w:rsid w:val="009D3807"/>
    <w:rsid w:val="009D537F"/>
    <w:rsid w:val="009D681E"/>
    <w:rsid w:val="009E234F"/>
    <w:rsid w:val="009F00ED"/>
    <w:rsid w:val="009F140E"/>
    <w:rsid w:val="009F2F92"/>
    <w:rsid w:val="00A003A5"/>
    <w:rsid w:val="00A06351"/>
    <w:rsid w:val="00A23F6D"/>
    <w:rsid w:val="00A24091"/>
    <w:rsid w:val="00A25A4D"/>
    <w:rsid w:val="00A34400"/>
    <w:rsid w:val="00A37203"/>
    <w:rsid w:val="00A563C1"/>
    <w:rsid w:val="00A57A13"/>
    <w:rsid w:val="00A65B89"/>
    <w:rsid w:val="00A65E52"/>
    <w:rsid w:val="00A70278"/>
    <w:rsid w:val="00A728EE"/>
    <w:rsid w:val="00A77DAE"/>
    <w:rsid w:val="00AA1139"/>
    <w:rsid w:val="00AA1401"/>
    <w:rsid w:val="00AA144C"/>
    <w:rsid w:val="00AA5A11"/>
    <w:rsid w:val="00AA6631"/>
    <w:rsid w:val="00AB0C26"/>
    <w:rsid w:val="00AB334A"/>
    <w:rsid w:val="00AC1DAD"/>
    <w:rsid w:val="00AC780D"/>
    <w:rsid w:val="00AD3396"/>
    <w:rsid w:val="00AD3C17"/>
    <w:rsid w:val="00AE08C3"/>
    <w:rsid w:val="00AE13F6"/>
    <w:rsid w:val="00AF1C93"/>
    <w:rsid w:val="00AF404F"/>
    <w:rsid w:val="00B000E7"/>
    <w:rsid w:val="00B0564C"/>
    <w:rsid w:val="00B104E8"/>
    <w:rsid w:val="00B1081C"/>
    <w:rsid w:val="00B12FA6"/>
    <w:rsid w:val="00B15E69"/>
    <w:rsid w:val="00B16A24"/>
    <w:rsid w:val="00B173DD"/>
    <w:rsid w:val="00B22B4F"/>
    <w:rsid w:val="00B2404C"/>
    <w:rsid w:val="00B25C8E"/>
    <w:rsid w:val="00B26250"/>
    <w:rsid w:val="00B311BC"/>
    <w:rsid w:val="00B32531"/>
    <w:rsid w:val="00B3317C"/>
    <w:rsid w:val="00B36577"/>
    <w:rsid w:val="00B42D04"/>
    <w:rsid w:val="00B43BCE"/>
    <w:rsid w:val="00B45780"/>
    <w:rsid w:val="00B52962"/>
    <w:rsid w:val="00B625D9"/>
    <w:rsid w:val="00B72135"/>
    <w:rsid w:val="00B82956"/>
    <w:rsid w:val="00B85CE5"/>
    <w:rsid w:val="00B961CA"/>
    <w:rsid w:val="00BA1078"/>
    <w:rsid w:val="00BA1AE3"/>
    <w:rsid w:val="00BA302A"/>
    <w:rsid w:val="00BA5904"/>
    <w:rsid w:val="00BB4347"/>
    <w:rsid w:val="00BC3857"/>
    <w:rsid w:val="00BD5270"/>
    <w:rsid w:val="00BD69EE"/>
    <w:rsid w:val="00BD79AA"/>
    <w:rsid w:val="00BD7C60"/>
    <w:rsid w:val="00BE0DD6"/>
    <w:rsid w:val="00BE1036"/>
    <w:rsid w:val="00BE28C5"/>
    <w:rsid w:val="00BF2477"/>
    <w:rsid w:val="00BF5271"/>
    <w:rsid w:val="00C11E1E"/>
    <w:rsid w:val="00C1242E"/>
    <w:rsid w:val="00C126FA"/>
    <w:rsid w:val="00C13095"/>
    <w:rsid w:val="00C201FC"/>
    <w:rsid w:val="00C2150B"/>
    <w:rsid w:val="00C23E43"/>
    <w:rsid w:val="00C24C24"/>
    <w:rsid w:val="00C27969"/>
    <w:rsid w:val="00C32AA3"/>
    <w:rsid w:val="00C335CC"/>
    <w:rsid w:val="00C336BC"/>
    <w:rsid w:val="00C35271"/>
    <w:rsid w:val="00C362AE"/>
    <w:rsid w:val="00C37DBA"/>
    <w:rsid w:val="00C41B65"/>
    <w:rsid w:val="00C452D9"/>
    <w:rsid w:val="00C4750D"/>
    <w:rsid w:val="00C5533C"/>
    <w:rsid w:val="00C57463"/>
    <w:rsid w:val="00C64F53"/>
    <w:rsid w:val="00C65A5A"/>
    <w:rsid w:val="00C7095B"/>
    <w:rsid w:val="00C740EF"/>
    <w:rsid w:val="00C76ECC"/>
    <w:rsid w:val="00C87A7A"/>
    <w:rsid w:val="00C93828"/>
    <w:rsid w:val="00CA2043"/>
    <w:rsid w:val="00CA4904"/>
    <w:rsid w:val="00CD3659"/>
    <w:rsid w:val="00CD7BBB"/>
    <w:rsid w:val="00CE4B95"/>
    <w:rsid w:val="00CE7CC7"/>
    <w:rsid w:val="00CF0A68"/>
    <w:rsid w:val="00CF1A06"/>
    <w:rsid w:val="00CF4A75"/>
    <w:rsid w:val="00D06B2D"/>
    <w:rsid w:val="00D07D72"/>
    <w:rsid w:val="00D1709D"/>
    <w:rsid w:val="00D17514"/>
    <w:rsid w:val="00D2330E"/>
    <w:rsid w:val="00D30EE4"/>
    <w:rsid w:val="00D311BE"/>
    <w:rsid w:val="00D323D4"/>
    <w:rsid w:val="00D32C4B"/>
    <w:rsid w:val="00D33EF4"/>
    <w:rsid w:val="00D34373"/>
    <w:rsid w:val="00D36F2C"/>
    <w:rsid w:val="00D414DE"/>
    <w:rsid w:val="00D54484"/>
    <w:rsid w:val="00D629E6"/>
    <w:rsid w:val="00D62DFF"/>
    <w:rsid w:val="00D6392F"/>
    <w:rsid w:val="00D65DB3"/>
    <w:rsid w:val="00D77903"/>
    <w:rsid w:val="00D800AA"/>
    <w:rsid w:val="00D807F0"/>
    <w:rsid w:val="00D8262C"/>
    <w:rsid w:val="00D90BF8"/>
    <w:rsid w:val="00D96F37"/>
    <w:rsid w:val="00DA2537"/>
    <w:rsid w:val="00DB7880"/>
    <w:rsid w:val="00DC0CC1"/>
    <w:rsid w:val="00DC0DF6"/>
    <w:rsid w:val="00DC28C7"/>
    <w:rsid w:val="00DC4839"/>
    <w:rsid w:val="00DD0ABD"/>
    <w:rsid w:val="00DD1345"/>
    <w:rsid w:val="00DD154B"/>
    <w:rsid w:val="00DD676C"/>
    <w:rsid w:val="00DE3B37"/>
    <w:rsid w:val="00DE7423"/>
    <w:rsid w:val="00DF2C4E"/>
    <w:rsid w:val="00DF3374"/>
    <w:rsid w:val="00E03DFB"/>
    <w:rsid w:val="00E122FA"/>
    <w:rsid w:val="00E15426"/>
    <w:rsid w:val="00E154D6"/>
    <w:rsid w:val="00E1789D"/>
    <w:rsid w:val="00E25920"/>
    <w:rsid w:val="00E450DF"/>
    <w:rsid w:val="00E513E6"/>
    <w:rsid w:val="00E556DB"/>
    <w:rsid w:val="00E62B9C"/>
    <w:rsid w:val="00E63645"/>
    <w:rsid w:val="00E70BB0"/>
    <w:rsid w:val="00E77BBE"/>
    <w:rsid w:val="00E826F9"/>
    <w:rsid w:val="00E854D7"/>
    <w:rsid w:val="00E936DD"/>
    <w:rsid w:val="00EA0009"/>
    <w:rsid w:val="00EA4153"/>
    <w:rsid w:val="00EA5B22"/>
    <w:rsid w:val="00EB37B1"/>
    <w:rsid w:val="00EC28E7"/>
    <w:rsid w:val="00EC7DFC"/>
    <w:rsid w:val="00ED1150"/>
    <w:rsid w:val="00EF1A47"/>
    <w:rsid w:val="00EF209F"/>
    <w:rsid w:val="00F00497"/>
    <w:rsid w:val="00F11927"/>
    <w:rsid w:val="00F11A84"/>
    <w:rsid w:val="00F17F0A"/>
    <w:rsid w:val="00F22E15"/>
    <w:rsid w:val="00F24F01"/>
    <w:rsid w:val="00F35F83"/>
    <w:rsid w:val="00F36048"/>
    <w:rsid w:val="00F37828"/>
    <w:rsid w:val="00F40302"/>
    <w:rsid w:val="00F40593"/>
    <w:rsid w:val="00F479CC"/>
    <w:rsid w:val="00F55044"/>
    <w:rsid w:val="00F62170"/>
    <w:rsid w:val="00F66998"/>
    <w:rsid w:val="00F7054B"/>
    <w:rsid w:val="00F719B2"/>
    <w:rsid w:val="00F7367A"/>
    <w:rsid w:val="00F7691C"/>
    <w:rsid w:val="00F774CC"/>
    <w:rsid w:val="00F81001"/>
    <w:rsid w:val="00F823F3"/>
    <w:rsid w:val="00F849CC"/>
    <w:rsid w:val="00F87D68"/>
    <w:rsid w:val="00F929FA"/>
    <w:rsid w:val="00F93126"/>
    <w:rsid w:val="00FB485F"/>
    <w:rsid w:val="00FC07CB"/>
    <w:rsid w:val="00FC1C51"/>
    <w:rsid w:val="00FC397D"/>
    <w:rsid w:val="00FD2927"/>
    <w:rsid w:val="00FE0131"/>
    <w:rsid w:val="00FE4171"/>
    <w:rsid w:val="00FE47E1"/>
    <w:rsid w:val="00FE48E0"/>
    <w:rsid w:val="00FE4DC5"/>
    <w:rsid w:val="00FE53B1"/>
    <w:rsid w:val="00FF003A"/>
    <w:rsid w:val="00FF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48E2851"/>
  <w15:docId w15:val="{1C38A62D-7B13-41A4-9518-02D375C3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6FA"/>
  </w:style>
  <w:style w:type="paragraph" w:styleId="Heading1">
    <w:name w:val="heading 1"/>
    <w:basedOn w:val="Normal"/>
    <w:next w:val="Normal"/>
    <w:link w:val="Heading1Char"/>
    <w:uiPriority w:val="9"/>
    <w:qFormat/>
    <w:rsid w:val="006B04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B04C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21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  <w:rsid w:val="00C126F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126FA"/>
  </w:style>
  <w:style w:type="character" w:styleId="Hyperlink">
    <w:name w:val="Hyperlink"/>
    <w:basedOn w:val="DefaultParagraphFont"/>
    <w:uiPriority w:val="99"/>
    <w:unhideWhenUsed/>
    <w:rsid w:val="006E31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31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141"/>
  </w:style>
  <w:style w:type="paragraph" w:styleId="Footer">
    <w:name w:val="footer"/>
    <w:basedOn w:val="Normal"/>
    <w:link w:val="FooterChar"/>
    <w:uiPriority w:val="99"/>
    <w:unhideWhenUsed/>
    <w:rsid w:val="006E31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141"/>
  </w:style>
  <w:style w:type="paragraph" w:styleId="NoSpacing">
    <w:name w:val="No Spacing"/>
    <w:uiPriority w:val="1"/>
    <w:qFormat/>
    <w:rsid w:val="006E3141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F5504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04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B04C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6B04CC"/>
  </w:style>
  <w:style w:type="paragraph" w:styleId="NormalWeb">
    <w:name w:val="Normal (Web)"/>
    <w:basedOn w:val="Normal"/>
    <w:link w:val="NormalWebChar"/>
    <w:uiPriority w:val="99"/>
    <w:unhideWhenUsed/>
    <w:rsid w:val="006B04CC"/>
    <w:pPr>
      <w:spacing w:before="100" w:beforeAutospacing="1" w:after="100" w:afterAutospacing="1"/>
    </w:pPr>
    <w:rPr>
      <w:rFonts w:eastAsia="Times New Roman"/>
    </w:rPr>
  </w:style>
  <w:style w:type="character" w:customStyle="1" w:styleId="NormalWebChar">
    <w:name w:val="Normal (Web) Char"/>
    <w:basedOn w:val="DefaultParagraphFont"/>
    <w:link w:val="NormalWeb"/>
    <w:uiPriority w:val="99"/>
    <w:rsid w:val="006B04C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4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4CC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6B04CC"/>
    <w:rPr>
      <w:i/>
      <w:iCs/>
    </w:rPr>
  </w:style>
  <w:style w:type="paragraph" w:customStyle="1" w:styleId="bodytext">
    <w:name w:val="bodytext"/>
    <w:basedOn w:val="Normal"/>
    <w:rsid w:val="006B04CC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6B0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4CC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4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4CC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6B04CC"/>
    <w:pPr>
      <w:spacing w:line="276" w:lineRule="auto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B04C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B04CC"/>
    <w:pPr>
      <w:spacing w:after="200"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B04CC"/>
    <w:rPr>
      <w:rFonts w:ascii="Calibri" w:hAnsi="Calibri" w:cs="Calibri"/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6B04CC"/>
  </w:style>
  <w:style w:type="character" w:customStyle="1" w:styleId="FootnoteTextChar">
    <w:name w:val="Footnote Text Char"/>
    <w:basedOn w:val="DefaultParagraphFont"/>
    <w:link w:val="FootnoteText"/>
    <w:uiPriority w:val="99"/>
    <w:rsid w:val="006B04C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B04CC"/>
    <w:rPr>
      <w:vertAlign w:val="superscript"/>
    </w:rPr>
  </w:style>
  <w:style w:type="paragraph" w:styleId="Revision">
    <w:name w:val="Revision"/>
    <w:hidden/>
    <w:uiPriority w:val="99"/>
    <w:semiHidden/>
    <w:rsid w:val="006B04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B04CC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721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34400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1578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B5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harpe@houstonmethodist.org" TargetMode="External"/><Relationship Id="rId13" Type="http://schemas.openxmlformats.org/officeDocument/2006/relationships/image" Target="media/image4.t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mailto:dbaskin@houstonmethodist.org" TargetMode="Externa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94C58-3F86-453E-A752-959F4E16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TMHS</Company>
  <LinksUpToDate>false</LinksUpToDate>
  <CharactersWithSpaces>11482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Raghavan, Sudhir</dc:creator>
  <cp:keywords/>
  <dc:description/>
  <cp:lastModifiedBy>Raghavan, Sudhir</cp:lastModifiedBy>
  <cp:revision>2</cp:revision>
  <dcterms:created xsi:type="dcterms:W3CDTF">2020-07-27T20:32:00Z</dcterms:created>
  <dcterms:modified xsi:type="dcterms:W3CDTF">2020-07-27T20:32:00Z</dcterms:modified>
</cp:coreProperties>
</file>