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54EC4" w14:textId="5405D5B7" w:rsidR="00C372E7" w:rsidRPr="00BC0150" w:rsidRDefault="00140BD2" w:rsidP="00C372E7">
      <w:pPr>
        <w:outlineLvl w:val="0"/>
      </w:pPr>
      <w:r>
        <w:rPr>
          <w:b/>
        </w:rPr>
        <w:t>Supplementary Figure 1</w:t>
      </w:r>
      <w:r w:rsidR="00C372E7">
        <w:rPr>
          <w:b/>
        </w:rPr>
        <w:t xml:space="preserve"> Panel </w:t>
      </w:r>
      <w:r w:rsidR="00C372E7" w:rsidRPr="00BF4F6A">
        <w:rPr>
          <w:b/>
        </w:rPr>
        <w:t>A</w:t>
      </w:r>
    </w:p>
    <w:p w14:paraId="6CDBA96A" w14:textId="77777777" w:rsidR="00C372E7" w:rsidRDefault="00C372E7" w:rsidP="00C372E7">
      <w:pPr>
        <w:rPr>
          <w:b/>
        </w:rPr>
      </w:pPr>
      <w:r w:rsidRPr="00BF4F6A">
        <w:rPr>
          <w:b/>
          <w:noProof/>
        </w:rPr>
        <w:drawing>
          <wp:inline distT="0" distB="0" distL="0" distR="0" wp14:anchorId="486837B9" wp14:editId="612E88A6">
            <wp:extent cx="5486400" cy="3671121"/>
            <wp:effectExtent l="2540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19"/>
                    <a:stretch/>
                  </pic:blipFill>
                  <pic:spPr bwMode="auto">
                    <a:xfrm>
                      <a:off x="0" y="0"/>
                      <a:ext cx="5486400" cy="367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FF3D25" w14:textId="77777777" w:rsidR="00C372E7" w:rsidRDefault="00C372E7" w:rsidP="00C372E7">
      <w:pPr>
        <w:rPr>
          <w:b/>
        </w:rPr>
      </w:pPr>
    </w:p>
    <w:p w14:paraId="77D9952C" w14:textId="77777777" w:rsidR="00C372E7" w:rsidRDefault="00C372E7" w:rsidP="00C372E7">
      <w:pPr>
        <w:rPr>
          <w:b/>
        </w:rPr>
      </w:pPr>
    </w:p>
    <w:p w14:paraId="3EB6797F" w14:textId="42D2F92C" w:rsidR="00C372E7" w:rsidRPr="00DD3F46" w:rsidRDefault="00140BD2" w:rsidP="00C372E7">
      <w:pPr>
        <w:outlineLvl w:val="0"/>
      </w:pPr>
      <w:r>
        <w:rPr>
          <w:b/>
        </w:rPr>
        <w:t>Supplementary Figure 1</w:t>
      </w:r>
      <w:r w:rsidR="00C372E7">
        <w:rPr>
          <w:b/>
        </w:rPr>
        <w:t xml:space="preserve"> Panel B</w:t>
      </w:r>
    </w:p>
    <w:p w14:paraId="795FD579" w14:textId="74C1F7E4" w:rsidR="0067657F" w:rsidRDefault="00C372E7">
      <w:pPr>
        <w:rPr>
          <w:b/>
        </w:rPr>
      </w:pPr>
      <w:r w:rsidRPr="00BF4F6A">
        <w:rPr>
          <w:b/>
          <w:noProof/>
        </w:rPr>
        <w:drawing>
          <wp:inline distT="0" distB="0" distL="0" distR="0" wp14:anchorId="513D3D58" wp14:editId="3567282B">
            <wp:extent cx="5486400" cy="3664373"/>
            <wp:effectExtent l="2540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83"/>
                    <a:stretch/>
                  </pic:blipFill>
                  <pic:spPr bwMode="auto">
                    <a:xfrm>
                      <a:off x="0" y="0"/>
                      <a:ext cx="5486400" cy="366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4FD6F8" w14:textId="21F6CCB9" w:rsidR="00B10FEB" w:rsidRDefault="00B10FEB">
      <w:pPr>
        <w:rPr>
          <w:b/>
        </w:rPr>
      </w:pPr>
    </w:p>
    <w:p w14:paraId="1418ACE0" w14:textId="0A52B0A9" w:rsidR="00B10FEB" w:rsidRPr="00C372E7" w:rsidRDefault="00B10FEB">
      <w:pPr>
        <w:rPr>
          <w:b/>
        </w:rPr>
      </w:pPr>
      <w:r w:rsidRPr="00B10FEB">
        <w:rPr>
          <w:b/>
        </w:rPr>
        <w:lastRenderedPageBreak/>
        <w:t>Supplementary Figure 1: Kaplan-Meier curves demonstrating overall survival [HR 1.12; 95% CI, 0.64-1.98] (panel A) and progression-free survival [HR 0.79; 95% CI, 0.49-1.27] (panel B) among patients with high vs low levels of 36 days post-Cycle 1 CTCs stratified by treatment with and without bevacizumab. In this exploratory analysis of 36-day post-Cycle 1 CTC counts, neither overall survival nor progression-free survival appear to be impacted by intervening therapy in which bevacizumab has been integrated.</w:t>
      </w:r>
      <w:bookmarkStart w:id="0" w:name="_GoBack"/>
      <w:bookmarkEnd w:id="0"/>
    </w:p>
    <w:sectPr w:rsidR="00B10FEB" w:rsidRPr="00C372E7" w:rsidSect="00975D8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E7"/>
    <w:rsid w:val="00140BD2"/>
    <w:rsid w:val="00304B76"/>
    <w:rsid w:val="0067657F"/>
    <w:rsid w:val="009B0C82"/>
    <w:rsid w:val="00B10FEB"/>
    <w:rsid w:val="00C372E7"/>
    <w:rsid w:val="00D92305"/>
    <w:rsid w:val="00E4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87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E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372E7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2E7"/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498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Krishnansu Tewari</dc:creator>
  <cp:keywords/>
  <dc:description/>
  <cp:lastModifiedBy>Laing, Nageena</cp:lastModifiedBy>
  <cp:revision>2</cp:revision>
  <dcterms:created xsi:type="dcterms:W3CDTF">2020-06-09T15:07:00Z</dcterms:created>
  <dcterms:modified xsi:type="dcterms:W3CDTF">2020-06-09T15:07:00Z</dcterms:modified>
</cp:coreProperties>
</file>