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59" w:rsidRDefault="00033659" w:rsidP="00033659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79CFD6E8" wp14:editId="35748CE6">
            <wp:extent cx="5524454" cy="3866606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bl. S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669" cy="387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59" w:rsidRPr="009A0B15" w:rsidRDefault="00033659" w:rsidP="00033659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9A0B15">
        <w:rPr>
          <w:rFonts w:ascii="Arial" w:hAnsi="Arial" w:cs="Arial"/>
          <w:b/>
          <w:bCs/>
          <w:color w:val="000000" w:themeColor="text1"/>
        </w:rPr>
        <w:t xml:space="preserve">Table S1: Intra- and Inter-Assay Variation in PA/PRX302 ELISA. </w:t>
      </w:r>
      <w:r w:rsidRPr="009A0B15">
        <w:rPr>
          <w:rFonts w:ascii="Arial" w:hAnsi="Arial" w:cs="Arial"/>
          <w:bCs/>
          <w:color w:val="000000" w:themeColor="text1"/>
        </w:rPr>
        <w:t>Three independent assays were performed on different days of a &gt;1 month per</w:t>
      </w:r>
      <w:r>
        <w:rPr>
          <w:rFonts w:ascii="Arial" w:hAnsi="Arial" w:cs="Arial"/>
          <w:bCs/>
          <w:color w:val="000000" w:themeColor="text1"/>
        </w:rPr>
        <w:t>i</w:t>
      </w:r>
      <w:r w:rsidRPr="009A0B15">
        <w:rPr>
          <w:rFonts w:ascii="Arial" w:hAnsi="Arial" w:cs="Arial"/>
          <w:bCs/>
          <w:color w:val="000000" w:themeColor="text1"/>
        </w:rPr>
        <w:t xml:space="preserve">od with 12 replicates per concentration per assay. This analysis documents an average intra- and inter-assay coefficient of variation (CV) of &lt;10% (range 2.0 – 7.6% and 6.7 – 14.5%, respectively) with a limit of detection (LOD) of 0.2 ng/mL or 3.8 </w:t>
      </w:r>
      <w:proofErr w:type="spellStart"/>
      <w:r w:rsidRPr="009A0B15">
        <w:rPr>
          <w:rFonts w:ascii="Arial" w:hAnsi="Arial" w:cs="Arial"/>
          <w:bCs/>
          <w:color w:val="000000" w:themeColor="text1"/>
        </w:rPr>
        <w:t>pM</w:t>
      </w:r>
      <w:proofErr w:type="spellEnd"/>
      <w:r w:rsidRPr="009A0B15">
        <w:rPr>
          <w:rFonts w:ascii="Arial" w:hAnsi="Arial" w:cs="Arial"/>
          <w:bCs/>
          <w:color w:val="000000" w:themeColor="text1"/>
        </w:rPr>
        <w:t xml:space="preserve"> (LOD defined as the average of the blank replicates + 3 SDs). Importantly, no signal above background is detected when the capture antibody is either omitted or a non-specific IgG isotype control is substituted.</w:t>
      </w:r>
    </w:p>
    <w:p w:rsidR="00D8525B" w:rsidRPr="00033659" w:rsidRDefault="00D8525B" w:rsidP="00033659">
      <w:bookmarkStart w:id="0" w:name="_GoBack"/>
      <w:bookmarkEnd w:id="0"/>
    </w:p>
    <w:sectPr w:rsidR="00D8525B" w:rsidRPr="00033659" w:rsidSect="00DC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D"/>
    <w:rsid w:val="00033659"/>
    <w:rsid w:val="002B3A98"/>
    <w:rsid w:val="00B94C73"/>
    <w:rsid w:val="00D8525B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F5DC-7FEB-42C0-8879-82C2B22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Brennen</dc:creator>
  <cp:keywords/>
  <dc:description/>
  <cp:lastModifiedBy>Nate Brennen</cp:lastModifiedBy>
  <cp:revision>2</cp:revision>
  <dcterms:created xsi:type="dcterms:W3CDTF">2020-07-08T14:50:00Z</dcterms:created>
  <dcterms:modified xsi:type="dcterms:W3CDTF">2020-07-08T14:50:00Z</dcterms:modified>
</cp:coreProperties>
</file>