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DD7B1" w14:textId="0DDFCE55" w:rsidR="00F71AC4" w:rsidRDefault="00F71AC4" w:rsidP="00F71AC4">
      <w:pPr>
        <w:rPr>
          <w:rFonts w:ascii="Times New Roman" w:hAnsi="Times New Roman" w:cs="Times New Roman"/>
          <w:sz w:val="24"/>
        </w:rPr>
      </w:pPr>
      <w:r>
        <w:rPr>
          <w:rFonts w:ascii="Times New Roman" w:eastAsia="Times New Roman" w:hAnsi="Times New Roman" w:cs="Times New Roman"/>
          <w:b/>
          <w:kern w:val="24"/>
          <w:sz w:val="24"/>
          <w:szCs w:val="24"/>
        </w:rPr>
        <w:t xml:space="preserve">Scribner et al., </w:t>
      </w:r>
      <w:r w:rsidRPr="00F71AC4">
        <w:rPr>
          <w:rFonts w:ascii="Times New Roman" w:hAnsi="Times New Roman" w:cs="Times New Roman"/>
          <w:b/>
          <w:sz w:val="24"/>
        </w:rPr>
        <w:t>MGC018, a duocarmycin-base</w:t>
      </w:r>
      <w:r w:rsidR="00353C86">
        <w:rPr>
          <w:rFonts w:ascii="Times New Roman" w:hAnsi="Times New Roman" w:cs="Times New Roman"/>
          <w:b/>
          <w:sz w:val="24"/>
        </w:rPr>
        <w:t xml:space="preserve">d ADC targeting B7-H3 for </w:t>
      </w:r>
      <w:r w:rsidRPr="00F71AC4">
        <w:rPr>
          <w:rFonts w:ascii="Times New Roman" w:hAnsi="Times New Roman" w:cs="Times New Roman"/>
          <w:b/>
          <w:sz w:val="24"/>
        </w:rPr>
        <w:t>cancer</w:t>
      </w:r>
    </w:p>
    <w:p w14:paraId="356FC53F" w14:textId="35FD40DB" w:rsidR="00F71AC4" w:rsidRDefault="00F71AC4" w:rsidP="0051670F">
      <w:pPr>
        <w:spacing w:after="240" w:line="240" w:lineRule="auto"/>
        <w:rPr>
          <w:rFonts w:ascii="Times New Roman" w:eastAsia="Times New Roman" w:hAnsi="Times New Roman" w:cs="Times New Roman"/>
          <w:b/>
          <w:kern w:val="24"/>
          <w:sz w:val="24"/>
          <w:szCs w:val="24"/>
        </w:rPr>
      </w:pPr>
    </w:p>
    <w:p w14:paraId="0DAC180D" w14:textId="42C25CD2" w:rsidR="0051670F" w:rsidRDefault="0051670F" w:rsidP="0051670F">
      <w:pPr>
        <w:spacing w:after="240" w:line="240" w:lineRule="auto"/>
        <w:rPr>
          <w:rFonts w:ascii="Times New Roman" w:eastAsia="Times New Roman" w:hAnsi="Times New Roman" w:cs="Times New Roman"/>
          <w:b/>
          <w:kern w:val="24"/>
          <w:sz w:val="24"/>
          <w:szCs w:val="24"/>
        </w:rPr>
      </w:pPr>
      <w:r>
        <w:rPr>
          <w:rFonts w:ascii="Times New Roman" w:eastAsia="Times New Roman" w:hAnsi="Times New Roman" w:cs="Times New Roman"/>
          <w:b/>
          <w:kern w:val="24"/>
          <w:sz w:val="24"/>
          <w:szCs w:val="24"/>
        </w:rPr>
        <w:t>Supplemental Data</w:t>
      </w:r>
    </w:p>
    <w:p w14:paraId="51DCC31D" w14:textId="77777777" w:rsidR="00AC39CB" w:rsidRDefault="00AC39CB" w:rsidP="0051670F">
      <w:pPr>
        <w:spacing w:after="240" w:line="240" w:lineRule="auto"/>
        <w:rPr>
          <w:rFonts w:ascii="Times New Roman" w:eastAsia="Times New Roman" w:hAnsi="Times New Roman" w:cs="Times New Roman"/>
          <w:kern w:val="24"/>
          <w:sz w:val="24"/>
          <w:szCs w:val="24"/>
        </w:rPr>
      </w:pPr>
    </w:p>
    <w:p w14:paraId="08A97E6C" w14:textId="5440C066" w:rsidR="000A59EE" w:rsidRDefault="000A59EE" w:rsidP="0051670F">
      <w:pPr>
        <w:spacing w:after="240" w:line="240" w:lineRule="auto"/>
        <w:rPr>
          <w:rFonts w:ascii="Times New Roman" w:eastAsia="Times New Roman" w:hAnsi="Times New Roman" w:cs="Times New Roman"/>
          <w:b/>
          <w:kern w:val="24"/>
          <w:sz w:val="24"/>
          <w:szCs w:val="24"/>
        </w:rPr>
      </w:pPr>
      <w:r w:rsidRPr="004529C0">
        <w:rPr>
          <w:rFonts w:ascii="Times New Roman" w:eastAsia="Times New Roman" w:hAnsi="Times New Roman" w:cs="Times New Roman"/>
          <w:b/>
          <w:kern w:val="24"/>
          <w:sz w:val="24"/>
          <w:szCs w:val="24"/>
        </w:rPr>
        <w:t xml:space="preserve">Supplemental Table S1. </w:t>
      </w:r>
      <w:r w:rsidR="007B289E" w:rsidRPr="004529C0">
        <w:rPr>
          <w:rFonts w:ascii="Times New Roman" w:eastAsia="Times New Roman" w:hAnsi="Times New Roman" w:cs="Times New Roman"/>
          <w:b/>
          <w:kern w:val="24"/>
          <w:sz w:val="24"/>
          <w:szCs w:val="24"/>
        </w:rPr>
        <w:t>Summary of analytical characteristics of MGC018</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5E0" w:firstRow="1" w:lastRow="1" w:firstColumn="1" w:lastColumn="1" w:noHBand="0" w:noVBand="1"/>
      </w:tblPr>
      <w:tblGrid>
        <w:gridCol w:w="1948"/>
        <w:gridCol w:w="3797"/>
        <w:gridCol w:w="3585"/>
      </w:tblGrid>
      <w:tr w:rsidR="0075733E" w14:paraId="3D70DF93" w14:textId="77777777" w:rsidTr="00417DEF">
        <w:trPr>
          <w:tblHeader/>
        </w:trPr>
        <w:tc>
          <w:tcPr>
            <w:tcW w:w="1044" w:type="pct"/>
            <w:tcBorders>
              <w:top w:val="single" w:sz="12" w:space="0" w:color="auto"/>
              <w:left w:val="single" w:sz="12" w:space="0" w:color="auto"/>
              <w:bottom w:val="single" w:sz="12" w:space="0" w:color="auto"/>
              <w:right w:val="single" w:sz="6" w:space="0" w:color="auto"/>
            </w:tcBorders>
            <w:hideMark/>
          </w:tcPr>
          <w:p w14:paraId="27D8BD7A" w14:textId="77777777" w:rsidR="0075733E" w:rsidRPr="0075733E" w:rsidRDefault="0075733E">
            <w:pPr>
              <w:pStyle w:val="TableCellHeading10pt"/>
              <w:rPr>
                <w:rFonts w:ascii="Times New Roman" w:hAnsi="Times New Roman" w:cs="Times New Roman"/>
                <w:sz w:val="24"/>
              </w:rPr>
            </w:pPr>
            <w:r w:rsidRPr="0075733E">
              <w:rPr>
                <w:rFonts w:ascii="Times New Roman" w:hAnsi="Times New Roman" w:cs="Times New Roman"/>
                <w:sz w:val="24"/>
              </w:rPr>
              <w:t>Attribute</w:t>
            </w:r>
          </w:p>
        </w:tc>
        <w:tc>
          <w:tcPr>
            <w:tcW w:w="2035" w:type="pct"/>
            <w:tcBorders>
              <w:top w:val="single" w:sz="12" w:space="0" w:color="auto"/>
              <w:left w:val="single" w:sz="6" w:space="0" w:color="auto"/>
              <w:bottom w:val="single" w:sz="12" w:space="0" w:color="auto"/>
              <w:right w:val="single" w:sz="6" w:space="0" w:color="auto"/>
            </w:tcBorders>
            <w:hideMark/>
          </w:tcPr>
          <w:p w14:paraId="40E9BFD8" w14:textId="77777777" w:rsidR="0075733E" w:rsidRPr="0075733E" w:rsidRDefault="0075733E">
            <w:pPr>
              <w:pStyle w:val="TableCellHeading10pt"/>
              <w:rPr>
                <w:rFonts w:ascii="Times New Roman" w:hAnsi="Times New Roman" w:cs="Times New Roman"/>
                <w:sz w:val="24"/>
              </w:rPr>
            </w:pPr>
            <w:r w:rsidRPr="0075733E">
              <w:rPr>
                <w:rFonts w:ascii="Times New Roman" w:hAnsi="Times New Roman" w:cs="Times New Roman"/>
                <w:sz w:val="24"/>
              </w:rPr>
              <w:t>Analytical Method</w:t>
            </w:r>
          </w:p>
        </w:tc>
        <w:tc>
          <w:tcPr>
            <w:tcW w:w="1921" w:type="pct"/>
            <w:tcBorders>
              <w:top w:val="single" w:sz="12" w:space="0" w:color="auto"/>
              <w:left w:val="single" w:sz="6" w:space="0" w:color="auto"/>
              <w:bottom w:val="single" w:sz="12" w:space="0" w:color="auto"/>
              <w:right w:val="single" w:sz="12" w:space="0" w:color="auto"/>
            </w:tcBorders>
            <w:hideMark/>
          </w:tcPr>
          <w:p w14:paraId="6271A918" w14:textId="77777777" w:rsidR="0075733E" w:rsidRPr="0075733E" w:rsidRDefault="0075733E">
            <w:pPr>
              <w:pStyle w:val="TableCellHeading10pt"/>
              <w:tabs>
                <w:tab w:val="left" w:pos="720"/>
              </w:tabs>
              <w:rPr>
                <w:rFonts w:ascii="Times New Roman" w:hAnsi="Times New Roman" w:cs="Times New Roman"/>
                <w:sz w:val="24"/>
              </w:rPr>
            </w:pPr>
            <w:r w:rsidRPr="0075733E">
              <w:rPr>
                <w:rFonts w:ascii="Times New Roman" w:hAnsi="Times New Roman" w:cs="Times New Roman"/>
                <w:sz w:val="24"/>
              </w:rPr>
              <w:t>MGC018</w:t>
            </w:r>
          </w:p>
        </w:tc>
      </w:tr>
      <w:tr w:rsidR="0075733E" w14:paraId="32107F88" w14:textId="77777777" w:rsidTr="00417DEF">
        <w:tc>
          <w:tcPr>
            <w:tcW w:w="1044" w:type="pct"/>
            <w:tcBorders>
              <w:top w:val="single" w:sz="12" w:space="0" w:color="auto"/>
              <w:left w:val="single" w:sz="12" w:space="0" w:color="auto"/>
              <w:bottom w:val="single" w:sz="6" w:space="0" w:color="auto"/>
              <w:right w:val="single" w:sz="6" w:space="0" w:color="auto"/>
            </w:tcBorders>
            <w:vAlign w:val="center"/>
            <w:hideMark/>
          </w:tcPr>
          <w:p w14:paraId="2E3DECC9" w14:textId="77777777" w:rsidR="0075733E" w:rsidRPr="0075733E" w:rsidRDefault="0075733E" w:rsidP="0075733E">
            <w:pPr>
              <w:pStyle w:val="TableCellText10pt"/>
              <w:rPr>
                <w:rFonts w:ascii="Times New Roman" w:hAnsi="Times New Roman" w:cs="Times New Roman"/>
                <w:szCs w:val="20"/>
              </w:rPr>
            </w:pPr>
            <w:r w:rsidRPr="0075733E">
              <w:rPr>
                <w:rFonts w:ascii="Times New Roman" w:hAnsi="Times New Roman" w:cs="Times New Roman"/>
                <w:szCs w:val="20"/>
              </w:rPr>
              <w:t>Intact mass</w:t>
            </w:r>
          </w:p>
        </w:tc>
        <w:tc>
          <w:tcPr>
            <w:tcW w:w="2035" w:type="pct"/>
            <w:tcBorders>
              <w:top w:val="single" w:sz="12" w:space="0" w:color="auto"/>
              <w:left w:val="single" w:sz="6" w:space="0" w:color="auto"/>
              <w:bottom w:val="single" w:sz="6" w:space="0" w:color="auto"/>
              <w:right w:val="single" w:sz="6" w:space="0" w:color="auto"/>
            </w:tcBorders>
            <w:vAlign w:val="center"/>
            <w:hideMark/>
          </w:tcPr>
          <w:p w14:paraId="18B1A174" w14:textId="77777777" w:rsidR="0075733E" w:rsidRPr="0075733E" w:rsidRDefault="0075733E" w:rsidP="0075733E">
            <w:pPr>
              <w:pStyle w:val="TableCellText10pt"/>
              <w:rPr>
                <w:rFonts w:ascii="Times New Roman" w:hAnsi="Times New Roman" w:cs="Times New Roman"/>
                <w:szCs w:val="20"/>
              </w:rPr>
            </w:pPr>
            <w:r w:rsidRPr="0075733E">
              <w:rPr>
                <w:rFonts w:ascii="Times New Roman" w:hAnsi="Times New Roman" w:cs="Times New Roman"/>
                <w:szCs w:val="20"/>
              </w:rPr>
              <w:t>Native electrospray mass spectrometry</w:t>
            </w:r>
          </w:p>
        </w:tc>
        <w:tc>
          <w:tcPr>
            <w:tcW w:w="1921" w:type="pct"/>
            <w:tcBorders>
              <w:top w:val="single" w:sz="12" w:space="0" w:color="auto"/>
              <w:left w:val="single" w:sz="6" w:space="0" w:color="auto"/>
              <w:bottom w:val="single" w:sz="6" w:space="0" w:color="auto"/>
              <w:right w:val="single" w:sz="12" w:space="0" w:color="auto"/>
            </w:tcBorders>
            <w:vAlign w:val="center"/>
            <w:hideMark/>
          </w:tcPr>
          <w:p w14:paraId="718BAF16" w14:textId="673785FC" w:rsidR="0075733E" w:rsidRPr="0075733E" w:rsidRDefault="0075733E" w:rsidP="0075733E">
            <w:pPr>
              <w:pStyle w:val="TableCellText10pt"/>
              <w:rPr>
                <w:rFonts w:ascii="Times New Roman" w:hAnsi="Times New Roman" w:cs="Times New Roman"/>
                <w:szCs w:val="20"/>
              </w:rPr>
            </w:pPr>
            <w:r w:rsidRPr="0075733E">
              <w:rPr>
                <w:rFonts w:ascii="Times New Roman" w:hAnsi="Times New Roman" w:cs="Times New Roman"/>
                <w:szCs w:val="20"/>
              </w:rPr>
              <w:t>DAL2: 149963.7 Da</w:t>
            </w:r>
          </w:p>
          <w:p w14:paraId="16C8D7EE" w14:textId="4686103E" w:rsidR="0075733E" w:rsidRPr="0075733E" w:rsidRDefault="0075733E" w:rsidP="0075733E">
            <w:pPr>
              <w:pStyle w:val="TableCellText10pt"/>
              <w:rPr>
                <w:rFonts w:ascii="Times New Roman" w:hAnsi="Times New Roman" w:cs="Times New Roman"/>
                <w:szCs w:val="20"/>
              </w:rPr>
            </w:pPr>
            <w:r w:rsidRPr="0075733E">
              <w:rPr>
                <w:rFonts w:ascii="Times New Roman" w:hAnsi="Times New Roman" w:cs="Times New Roman"/>
                <w:szCs w:val="20"/>
              </w:rPr>
              <w:t>DAL4: 152630.4 Da</w:t>
            </w:r>
          </w:p>
        </w:tc>
      </w:tr>
      <w:tr w:rsidR="0075733E" w14:paraId="55B32AF5" w14:textId="77777777" w:rsidTr="00417DEF">
        <w:tc>
          <w:tcPr>
            <w:tcW w:w="1044" w:type="pct"/>
            <w:tcBorders>
              <w:top w:val="single" w:sz="6" w:space="0" w:color="auto"/>
              <w:left w:val="single" w:sz="12" w:space="0" w:color="auto"/>
              <w:bottom w:val="single" w:sz="6" w:space="0" w:color="auto"/>
              <w:right w:val="single" w:sz="6" w:space="0" w:color="auto"/>
            </w:tcBorders>
            <w:vAlign w:val="center"/>
            <w:hideMark/>
          </w:tcPr>
          <w:p w14:paraId="3DF9557B" w14:textId="77777777" w:rsidR="0075733E" w:rsidRPr="0075733E" w:rsidRDefault="0075733E" w:rsidP="0075733E">
            <w:pPr>
              <w:pStyle w:val="TableCellText10pt"/>
              <w:rPr>
                <w:rFonts w:ascii="Times New Roman" w:hAnsi="Times New Roman" w:cs="Times New Roman"/>
                <w:szCs w:val="20"/>
              </w:rPr>
            </w:pPr>
            <w:r w:rsidRPr="0075733E">
              <w:rPr>
                <w:rFonts w:ascii="Times New Roman" w:hAnsi="Times New Roman" w:cs="Times New Roman"/>
                <w:szCs w:val="20"/>
              </w:rPr>
              <w:t>Amino acid sequence</w:t>
            </w:r>
          </w:p>
        </w:tc>
        <w:tc>
          <w:tcPr>
            <w:tcW w:w="2035" w:type="pct"/>
            <w:tcBorders>
              <w:top w:val="single" w:sz="6" w:space="0" w:color="auto"/>
              <w:left w:val="single" w:sz="6" w:space="0" w:color="auto"/>
              <w:bottom w:val="single" w:sz="6" w:space="0" w:color="auto"/>
              <w:right w:val="single" w:sz="6" w:space="0" w:color="auto"/>
            </w:tcBorders>
            <w:vAlign w:val="center"/>
            <w:hideMark/>
          </w:tcPr>
          <w:p w14:paraId="215117B1" w14:textId="77777777" w:rsidR="0075733E" w:rsidRPr="0075733E" w:rsidRDefault="0075733E" w:rsidP="0075733E">
            <w:pPr>
              <w:pStyle w:val="TableCellText10pt"/>
              <w:rPr>
                <w:rFonts w:ascii="Times New Roman" w:hAnsi="Times New Roman" w:cs="Times New Roman"/>
                <w:szCs w:val="20"/>
              </w:rPr>
            </w:pPr>
            <w:r w:rsidRPr="0075733E">
              <w:rPr>
                <w:rFonts w:ascii="Times New Roman" w:hAnsi="Times New Roman" w:cs="Times New Roman"/>
                <w:szCs w:val="20"/>
              </w:rPr>
              <w:t>Reduced tryptic peptide mapping LC-MS/MS</w:t>
            </w:r>
          </w:p>
        </w:tc>
        <w:tc>
          <w:tcPr>
            <w:tcW w:w="1921" w:type="pct"/>
            <w:tcBorders>
              <w:top w:val="single" w:sz="6" w:space="0" w:color="auto"/>
              <w:left w:val="single" w:sz="6" w:space="0" w:color="auto"/>
              <w:bottom w:val="single" w:sz="6" w:space="0" w:color="auto"/>
              <w:right w:val="single" w:sz="12" w:space="0" w:color="auto"/>
            </w:tcBorders>
            <w:vAlign w:val="center"/>
            <w:hideMark/>
          </w:tcPr>
          <w:p w14:paraId="3F06AA22" w14:textId="4C47CD15" w:rsidR="0075733E" w:rsidRPr="0075733E" w:rsidRDefault="0075733E" w:rsidP="0075733E">
            <w:pPr>
              <w:pStyle w:val="TableCellText10pt"/>
              <w:rPr>
                <w:rFonts w:ascii="Times New Roman" w:hAnsi="Times New Roman" w:cs="Times New Roman"/>
                <w:szCs w:val="20"/>
              </w:rPr>
            </w:pPr>
            <w:r>
              <w:rPr>
                <w:rFonts w:ascii="Times New Roman" w:hAnsi="Times New Roman" w:cs="Times New Roman"/>
                <w:szCs w:val="20"/>
              </w:rPr>
              <w:t>Light chain</w:t>
            </w:r>
            <w:r w:rsidRPr="0075733E">
              <w:rPr>
                <w:rFonts w:ascii="Times New Roman" w:hAnsi="Times New Roman" w:cs="Times New Roman"/>
                <w:szCs w:val="20"/>
              </w:rPr>
              <w:t xml:space="preserve"> coverage: 100%</w:t>
            </w:r>
          </w:p>
          <w:p w14:paraId="7DB9A31A" w14:textId="064B7AB8" w:rsidR="0075733E" w:rsidRPr="0075733E" w:rsidRDefault="0075733E" w:rsidP="0075733E">
            <w:pPr>
              <w:pStyle w:val="TableCellText10pt"/>
              <w:rPr>
                <w:rFonts w:ascii="Times New Roman" w:hAnsi="Times New Roman" w:cs="Times New Roman"/>
                <w:szCs w:val="20"/>
              </w:rPr>
            </w:pPr>
            <w:r>
              <w:rPr>
                <w:rFonts w:ascii="Times New Roman" w:hAnsi="Times New Roman" w:cs="Times New Roman"/>
                <w:szCs w:val="20"/>
              </w:rPr>
              <w:t>Heavy chain</w:t>
            </w:r>
            <w:r w:rsidRPr="0075733E">
              <w:rPr>
                <w:rFonts w:ascii="Times New Roman" w:hAnsi="Times New Roman" w:cs="Times New Roman"/>
                <w:szCs w:val="20"/>
              </w:rPr>
              <w:t xml:space="preserve"> coverage: 99.6%</w:t>
            </w:r>
          </w:p>
        </w:tc>
      </w:tr>
      <w:tr w:rsidR="0075733E" w14:paraId="186ECC1C" w14:textId="77777777" w:rsidTr="00417DEF">
        <w:tc>
          <w:tcPr>
            <w:tcW w:w="1044" w:type="pct"/>
            <w:tcBorders>
              <w:top w:val="single" w:sz="6" w:space="0" w:color="auto"/>
              <w:left w:val="single" w:sz="12" w:space="0" w:color="auto"/>
              <w:bottom w:val="single" w:sz="6" w:space="0" w:color="auto"/>
              <w:right w:val="single" w:sz="6" w:space="0" w:color="auto"/>
            </w:tcBorders>
            <w:vAlign w:val="center"/>
            <w:hideMark/>
          </w:tcPr>
          <w:p w14:paraId="5583E56D" w14:textId="77777777" w:rsidR="0075733E" w:rsidRPr="0075733E" w:rsidRDefault="0075733E" w:rsidP="0075733E">
            <w:pPr>
              <w:pStyle w:val="TableCellText10pt"/>
              <w:rPr>
                <w:rFonts w:ascii="Times New Roman" w:hAnsi="Times New Roman" w:cs="Times New Roman"/>
                <w:szCs w:val="20"/>
              </w:rPr>
            </w:pPr>
            <w:r w:rsidRPr="0075733E">
              <w:rPr>
                <w:rFonts w:ascii="Times New Roman" w:hAnsi="Times New Roman" w:cs="Times New Roman"/>
                <w:szCs w:val="20"/>
              </w:rPr>
              <w:t>Percent purity</w:t>
            </w:r>
          </w:p>
        </w:tc>
        <w:tc>
          <w:tcPr>
            <w:tcW w:w="2035" w:type="pct"/>
            <w:tcBorders>
              <w:top w:val="single" w:sz="6" w:space="0" w:color="auto"/>
              <w:left w:val="single" w:sz="6" w:space="0" w:color="auto"/>
              <w:bottom w:val="single" w:sz="6" w:space="0" w:color="auto"/>
              <w:right w:val="single" w:sz="6" w:space="0" w:color="auto"/>
            </w:tcBorders>
            <w:vAlign w:val="center"/>
            <w:hideMark/>
          </w:tcPr>
          <w:p w14:paraId="40055A11" w14:textId="77777777" w:rsidR="0075733E" w:rsidRPr="0075733E" w:rsidRDefault="0075733E" w:rsidP="0075733E">
            <w:pPr>
              <w:pStyle w:val="TableCellText10pt"/>
              <w:rPr>
                <w:rFonts w:ascii="Times New Roman" w:hAnsi="Times New Roman" w:cs="Times New Roman"/>
                <w:szCs w:val="20"/>
              </w:rPr>
            </w:pPr>
            <w:r w:rsidRPr="0075733E">
              <w:rPr>
                <w:rFonts w:ascii="Times New Roman" w:hAnsi="Times New Roman" w:cs="Times New Roman"/>
                <w:szCs w:val="20"/>
              </w:rPr>
              <w:t>RP-HPLC</w:t>
            </w:r>
          </w:p>
        </w:tc>
        <w:tc>
          <w:tcPr>
            <w:tcW w:w="1921" w:type="pct"/>
            <w:tcBorders>
              <w:top w:val="single" w:sz="6" w:space="0" w:color="auto"/>
              <w:left w:val="single" w:sz="6" w:space="0" w:color="auto"/>
              <w:bottom w:val="single" w:sz="6" w:space="0" w:color="auto"/>
              <w:right w:val="single" w:sz="12" w:space="0" w:color="auto"/>
            </w:tcBorders>
            <w:vAlign w:val="center"/>
            <w:hideMark/>
          </w:tcPr>
          <w:p w14:paraId="285D255B" w14:textId="77777777" w:rsidR="0075733E" w:rsidRPr="0075733E" w:rsidRDefault="0075733E" w:rsidP="0075733E">
            <w:pPr>
              <w:pStyle w:val="TableCellText10pt"/>
              <w:rPr>
                <w:rFonts w:ascii="Times New Roman" w:hAnsi="Times New Roman" w:cs="Times New Roman"/>
                <w:szCs w:val="20"/>
              </w:rPr>
            </w:pPr>
            <w:r w:rsidRPr="0075733E">
              <w:rPr>
                <w:rFonts w:ascii="Times New Roman" w:hAnsi="Times New Roman" w:cs="Times New Roman"/>
                <w:szCs w:val="20"/>
              </w:rPr>
              <w:t>95.8%</w:t>
            </w:r>
          </w:p>
        </w:tc>
      </w:tr>
      <w:tr w:rsidR="0075733E" w14:paraId="470665CC" w14:textId="77777777" w:rsidTr="00417DEF">
        <w:tc>
          <w:tcPr>
            <w:tcW w:w="1044" w:type="pct"/>
            <w:tcBorders>
              <w:top w:val="single" w:sz="6" w:space="0" w:color="auto"/>
              <w:left w:val="single" w:sz="12" w:space="0" w:color="auto"/>
              <w:bottom w:val="single" w:sz="6" w:space="0" w:color="auto"/>
              <w:right w:val="single" w:sz="6" w:space="0" w:color="auto"/>
            </w:tcBorders>
            <w:vAlign w:val="center"/>
            <w:hideMark/>
          </w:tcPr>
          <w:p w14:paraId="6D98FC8D" w14:textId="77777777" w:rsidR="0075733E" w:rsidRPr="0075733E" w:rsidRDefault="0075733E" w:rsidP="0075733E">
            <w:pPr>
              <w:pStyle w:val="TableCellText10pt"/>
              <w:rPr>
                <w:rFonts w:ascii="Times New Roman" w:hAnsi="Times New Roman" w:cs="Times New Roman"/>
                <w:szCs w:val="20"/>
              </w:rPr>
            </w:pPr>
            <w:r w:rsidRPr="0075733E">
              <w:rPr>
                <w:rFonts w:ascii="Times New Roman" w:hAnsi="Times New Roman" w:cs="Times New Roman"/>
                <w:szCs w:val="20"/>
              </w:rPr>
              <w:t>Aggregation</w:t>
            </w:r>
          </w:p>
        </w:tc>
        <w:tc>
          <w:tcPr>
            <w:tcW w:w="2035" w:type="pct"/>
            <w:tcBorders>
              <w:top w:val="single" w:sz="6" w:space="0" w:color="auto"/>
              <w:left w:val="single" w:sz="6" w:space="0" w:color="auto"/>
              <w:bottom w:val="single" w:sz="6" w:space="0" w:color="auto"/>
              <w:right w:val="single" w:sz="6" w:space="0" w:color="auto"/>
            </w:tcBorders>
            <w:vAlign w:val="center"/>
            <w:hideMark/>
          </w:tcPr>
          <w:p w14:paraId="211D97C6" w14:textId="77777777" w:rsidR="0075733E" w:rsidRPr="0075733E" w:rsidRDefault="0075733E" w:rsidP="0075733E">
            <w:pPr>
              <w:pStyle w:val="TableCellText10pt"/>
              <w:rPr>
                <w:rFonts w:ascii="Times New Roman" w:hAnsi="Times New Roman" w:cs="Times New Roman"/>
                <w:szCs w:val="20"/>
              </w:rPr>
            </w:pPr>
            <w:r w:rsidRPr="0075733E">
              <w:rPr>
                <w:rFonts w:ascii="Times New Roman" w:hAnsi="Times New Roman" w:cs="Times New Roman"/>
                <w:szCs w:val="20"/>
              </w:rPr>
              <w:t>SE-HPLC</w:t>
            </w:r>
          </w:p>
        </w:tc>
        <w:tc>
          <w:tcPr>
            <w:tcW w:w="1921" w:type="pct"/>
            <w:tcBorders>
              <w:top w:val="single" w:sz="6" w:space="0" w:color="auto"/>
              <w:left w:val="single" w:sz="6" w:space="0" w:color="auto"/>
              <w:bottom w:val="single" w:sz="6" w:space="0" w:color="auto"/>
              <w:right w:val="single" w:sz="12" w:space="0" w:color="auto"/>
            </w:tcBorders>
            <w:vAlign w:val="center"/>
            <w:hideMark/>
          </w:tcPr>
          <w:p w14:paraId="075445CC" w14:textId="77777777" w:rsidR="0075733E" w:rsidRPr="0075733E" w:rsidRDefault="0075733E" w:rsidP="0075733E">
            <w:pPr>
              <w:pStyle w:val="TableCellText10pt"/>
              <w:rPr>
                <w:rFonts w:ascii="Times New Roman" w:hAnsi="Times New Roman" w:cs="Times New Roman"/>
                <w:szCs w:val="20"/>
              </w:rPr>
            </w:pPr>
            <w:r w:rsidRPr="0075733E">
              <w:rPr>
                <w:rFonts w:ascii="Times New Roman" w:hAnsi="Times New Roman" w:cs="Times New Roman"/>
                <w:szCs w:val="20"/>
              </w:rPr>
              <w:t>98.2% monomer</w:t>
            </w:r>
          </w:p>
        </w:tc>
      </w:tr>
      <w:tr w:rsidR="0075733E" w14:paraId="18A22111" w14:textId="77777777" w:rsidTr="00417DEF">
        <w:tc>
          <w:tcPr>
            <w:tcW w:w="1044" w:type="pct"/>
            <w:tcBorders>
              <w:top w:val="single" w:sz="6" w:space="0" w:color="auto"/>
              <w:left w:val="single" w:sz="12" w:space="0" w:color="auto"/>
              <w:bottom w:val="single" w:sz="6" w:space="0" w:color="auto"/>
              <w:right w:val="single" w:sz="6" w:space="0" w:color="auto"/>
            </w:tcBorders>
            <w:vAlign w:val="center"/>
            <w:hideMark/>
          </w:tcPr>
          <w:p w14:paraId="5B7C0FE9" w14:textId="7DBDD32C" w:rsidR="0075733E" w:rsidRPr="0075733E" w:rsidRDefault="0075733E" w:rsidP="0075733E">
            <w:pPr>
              <w:pStyle w:val="TableCellText10pt"/>
              <w:rPr>
                <w:rFonts w:ascii="Times New Roman" w:hAnsi="Times New Roman" w:cs="Times New Roman"/>
                <w:szCs w:val="20"/>
              </w:rPr>
            </w:pPr>
            <w:r w:rsidRPr="0075733E">
              <w:rPr>
                <w:rFonts w:ascii="Times New Roman" w:hAnsi="Times New Roman" w:cs="Times New Roman"/>
                <w:szCs w:val="20"/>
              </w:rPr>
              <w:t>Disulfide bridges (tertiary structure</w:t>
            </w:r>
            <w:r>
              <w:rPr>
                <w:rFonts w:ascii="Times New Roman" w:hAnsi="Times New Roman" w:cs="Times New Roman"/>
                <w:szCs w:val="20"/>
              </w:rPr>
              <w:t>)</w:t>
            </w:r>
          </w:p>
        </w:tc>
        <w:tc>
          <w:tcPr>
            <w:tcW w:w="2035" w:type="pct"/>
            <w:tcBorders>
              <w:top w:val="single" w:sz="6" w:space="0" w:color="auto"/>
              <w:left w:val="single" w:sz="6" w:space="0" w:color="auto"/>
              <w:bottom w:val="single" w:sz="6" w:space="0" w:color="auto"/>
              <w:right w:val="single" w:sz="6" w:space="0" w:color="auto"/>
            </w:tcBorders>
            <w:vAlign w:val="center"/>
            <w:hideMark/>
          </w:tcPr>
          <w:p w14:paraId="417B3E74" w14:textId="77777777" w:rsidR="0075733E" w:rsidRPr="0075733E" w:rsidRDefault="0075733E" w:rsidP="0075733E">
            <w:pPr>
              <w:pStyle w:val="TableCellText10pt"/>
              <w:rPr>
                <w:rFonts w:ascii="Times New Roman" w:hAnsi="Times New Roman" w:cs="Times New Roman"/>
                <w:szCs w:val="20"/>
              </w:rPr>
            </w:pPr>
            <w:r w:rsidRPr="0075733E">
              <w:rPr>
                <w:rFonts w:ascii="Times New Roman" w:hAnsi="Times New Roman" w:cs="Times New Roman"/>
                <w:szCs w:val="20"/>
              </w:rPr>
              <w:t>Non-reduced tryptic peptide mapping LC-MS/MS</w:t>
            </w:r>
          </w:p>
        </w:tc>
        <w:tc>
          <w:tcPr>
            <w:tcW w:w="1921" w:type="pct"/>
            <w:tcBorders>
              <w:top w:val="single" w:sz="6" w:space="0" w:color="auto"/>
              <w:left w:val="single" w:sz="6" w:space="0" w:color="auto"/>
              <w:bottom w:val="single" w:sz="6" w:space="0" w:color="auto"/>
              <w:right w:val="single" w:sz="12" w:space="0" w:color="auto"/>
            </w:tcBorders>
            <w:vAlign w:val="center"/>
            <w:hideMark/>
          </w:tcPr>
          <w:p w14:paraId="3017B5B1" w14:textId="063132B5" w:rsidR="0075733E" w:rsidRPr="0075733E" w:rsidRDefault="0075733E" w:rsidP="0075733E">
            <w:pPr>
              <w:pStyle w:val="TableCellText10pt"/>
              <w:rPr>
                <w:rFonts w:ascii="Times New Roman" w:hAnsi="Times New Roman" w:cs="Times New Roman"/>
                <w:szCs w:val="20"/>
              </w:rPr>
            </w:pPr>
            <w:r w:rsidRPr="0075733E">
              <w:rPr>
                <w:rFonts w:ascii="Times New Roman" w:hAnsi="Times New Roman" w:cs="Times New Roman"/>
                <w:szCs w:val="20"/>
              </w:rPr>
              <w:t>All 8 expected disulfide peptides identified</w:t>
            </w:r>
          </w:p>
        </w:tc>
      </w:tr>
      <w:tr w:rsidR="0075733E" w14:paraId="3B3A8459" w14:textId="77777777" w:rsidTr="00417DEF">
        <w:tc>
          <w:tcPr>
            <w:tcW w:w="1044" w:type="pct"/>
            <w:tcBorders>
              <w:top w:val="single" w:sz="6" w:space="0" w:color="auto"/>
              <w:left w:val="single" w:sz="12" w:space="0" w:color="auto"/>
              <w:bottom w:val="single" w:sz="12" w:space="0" w:color="auto"/>
              <w:right w:val="single" w:sz="6" w:space="0" w:color="auto"/>
            </w:tcBorders>
            <w:vAlign w:val="center"/>
            <w:hideMark/>
          </w:tcPr>
          <w:p w14:paraId="1EDB53E2" w14:textId="77777777" w:rsidR="0075733E" w:rsidRPr="0075733E" w:rsidRDefault="0075733E" w:rsidP="0075733E">
            <w:pPr>
              <w:pStyle w:val="TableCellText10pt"/>
              <w:rPr>
                <w:rFonts w:ascii="Times New Roman" w:hAnsi="Times New Roman" w:cs="Times New Roman"/>
                <w:szCs w:val="20"/>
              </w:rPr>
            </w:pPr>
            <w:r w:rsidRPr="0075733E">
              <w:rPr>
                <w:rFonts w:ascii="Times New Roman" w:hAnsi="Times New Roman" w:cs="Times New Roman"/>
                <w:szCs w:val="20"/>
              </w:rPr>
              <w:t>Level of free thiols</w:t>
            </w:r>
          </w:p>
        </w:tc>
        <w:tc>
          <w:tcPr>
            <w:tcW w:w="2035" w:type="pct"/>
            <w:tcBorders>
              <w:top w:val="single" w:sz="6" w:space="0" w:color="auto"/>
              <w:left w:val="single" w:sz="6" w:space="0" w:color="auto"/>
              <w:bottom w:val="single" w:sz="12" w:space="0" w:color="auto"/>
              <w:right w:val="single" w:sz="6" w:space="0" w:color="auto"/>
            </w:tcBorders>
            <w:vAlign w:val="center"/>
            <w:hideMark/>
          </w:tcPr>
          <w:p w14:paraId="789BB119" w14:textId="4571D528" w:rsidR="0075733E" w:rsidRPr="0075733E" w:rsidRDefault="0075733E" w:rsidP="00417DEF">
            <w:pPr>
              <w:pStyle w:val="TableCellText10pt"/>
              <w:rPr>
                <w:rFonts w:ascii="Times New Roman" w:hAnsi="Times New Roman" w:cs="Times New Roman"/>
                <w:szCs w:val="20"/>
              </w:rPr>
            </w:pPr>
            <w:r w:rsidRPr="0075733E">
              <w:rPr>
                <w:rFonts w:ascii="Times New Roman" w:hAnsi="Times New Roman" w:cs="Times New Roman"/>
                <w:szCs w:val="20"/>
              </w:rPr>
              <w:t>Fluorescence assay</w:t>
            </w:r>
          </w:p>
        </w:tc>
        <w:tc>
          <w:tcPr>
            <w:tcW w:w="1921" w:type="pct"/>
            <w:tcBorders>
              <w:top w:val="single" w:sz="6" w:space="0" w:color="auto"/>
              <w:left w:val="single" w:sz="6" w:space="0" w:color="auto"/>
              <w:bottom w:val="single" w:sz="12" w:space="0" w:color="auto"/>
              <w:right w:val="single" w:sz="12" w:space="0" w:color="auto"/>
            </w:tcBorders>
            <w:vAlign w:val="center"/>
            <w:hideMark/>
          </w:tcPr>
          <w:p w14:paraId="07E601B9" w14:textId="77777777" w:rsidR="0075733E" w:rsidRPr="0075733E" w:rsidRDefault="0075733E" w:rsidP="0075733E">
            <w:pPr>
              <w:pStyle w:val="TableCellText10pt"/>
              <w:rPr>
                <w:rFonts w:ascii="Times New Roman" w:hAnsi="Times New Roman" w:cs="Times New Roman"/>
                <w:vertAlign w:val="superscript"/>
              </w:rPr>
            </w:pPr>
            <w:r w:rsidRPr="0075733E">
              <w:rPr>
                <w:rFonts w:ascii="Times New Roman" w:hAnsi="Times New Roman" w:cs="Times New Roman"/>
                <w:szCs w:val="20"/>
              </w:rPr>
              <w:t>0.86%</w:t>
            </w:r>
          </w:p>
          <w:p w14:paraId="1DDCD094" w14:textId="77777777" w:rsidR="0075733E" w:rsidRPr="0075733E" w:rsidRDefault="0075733E" w:rsidP="0075733E">
            <w:pPr>
              <w:pStyle w:val="TableCellText10pt"/>
              <w:rPr>
                <w:rFonts w:ascii="Times New Roman" w:hAnsi="Times New Roman" w:cs="Times New Roman"/>
                <w:szCs w:val="20"/>
              </w:rPr>
            </w:pPr>
            <w:r w:rsidRPr="0075733E">
              <w:rPr>
                <w:rFonts w:ascii="Times New Roman" w:hAnsi="Times New Roman" w:cs="Times New Roman"/>
              </w:rPr>
              <w:t>(0.011 mole/mole)</w:t>
            </w:r>
          </w:p>
        </w:tc>
      </w:tr>
      <w:tr w:rsidR="0075733E" w14:paraId="2F913B69" w14:textId="77777777" w:rsidTr="0075733E">
        <w:trPr>
          <w:trHeight w:val="1068"/>
        </w:trPr>
        <w:tc>
          <w:tcPr>
            <w:tcW w:w="5000" w:type="pct"/>
            <w:gridSpan w:val="3"/>
            <w:tcBorders>
              <w:top w:val="single" w:sz="12" w:space="0" w:color="auto"/>
              <w:left w:val="nil"/>
              <w:bottom w:val="nil"/>
              <w:right w:val="nil"/>
            </w:tcBorders>
            <w:hideMark/>
          </w:tcPr>
          <w:p w14:paraId="5AC48CD2" w14:textId="77777777" w:rsidR="0075733E" w:rsidRDefault="0075733E" w:rsidP="0075733E">
            <w:pPr>
              <w:pStyle w:val="TableFootnoteLetter"/>
              <w:keepNext w:val="0"/>
              <w:keepLines w:val="0"/>
              <w:numPr>
                <w:ilvl w:val="0"/>
                <w:numId w:val="0"/>
              </w:numPr>
              <w:ind w:left="360"/>
            </w:pPr>
          </w:p>
          <w:p w14:paraId="2DE7C585" w14:textId="32D8688A" w:rsidR="0075733E" w:rsidRDefault="0075733E" w:rsidP="00207F01">
            <w:pPr>
              <w:pStyle w:val="TableFootnoteLetter"/>
              <w:keepNext w:val="0"/>
              <w:keepLines w:val="0"/>
              <w:numPr>
                <w:ilvl w:val="0"/>
                <w:numId w:val="0"/>
              </w:numPr>
            </w:pPr>
            <w:r>
              <w:t>Abbreviations: DAL</w:t>
            </w:r>
            <w:r w:rsidR="00207F01">
              <w:t>:</w:t>
            </w:r>
            <w:r>
              <w:t xml:space="preserve"> drug-to-antibody linkage; LC-MS/MS</w:t>
            </w:r>
            <w:r w:rsidR="00207F01">
              <w:t>:</w:t>
            </w:r>
            <w:r>
              <w:t xml:space="preserve"> liquid chromatography with tandem mass spectrometry; RP-HPLC</w:t>
            </w:r>
            <w:r w:rsidR="00207F01">
              <w:t>:</w:t>
            </w:r>
            <w:r>
              <w:t xml:space="preserve"> reversed phase high-performance liquid chromatography; SE-HPLC</w:t>
            </w:r>
            <w:r w:rsidR="00207F01">
              <w:t>:</w:t>
            </w:r>
            <w:r>
              <w:t xml:space="preserve"> size exclusion high-performance liquid chromatography</w:t>
            </w:r>
            <w:r w:rsidR="00207F01">
              <w:t>.</w:t>
            </w:r>
            <w:r>
              <w:t xml:space="preserve"> </w:t>
            </w:r>
          </w:p>
        </w:tc>
      </w:tr>
    </w:tbl>
    <w:p w14:paraId="0509BED2" w14:textId="77777777" w:rsidR="000A59EE" w:rsidRDefault="000A59EE" w:rsidP="0051670F">
      <w:pPr>
        <w:spacing w:after="240" w:line="240" w:lineRule="auto"/>
        <w:rPr>
          <w:rFonts w:ascii="Times New Roman" w:eastAsia="Times New Roman" w:hAnsi="Times New Roman" w:cs="Times New Roman"/>
          <w:b/>
          <w:kern w:val="24"/>
          <w:sz w:val="24"/>
          <w:szCs w:val="24"/>
        </w:rPr>
      </w:pPr>
    </w:p>
    <w:p w14:paraId="03131C03" w14:textId="77777777" w:rsidR="0022489D" w:rsidRDefault="0022489D" w:rsidP="0051670F">
      <w:pPr>
        <w:spacing w:after="240" w:line="240" w:lineRule="auto"/>
        <w:rPr>
          <w:rFonts w:ascii="Times New Roman" w:eastAsia="Times New Roman" w:hAnsi="Times New Roman" w:cs="Times New Roman"/>
          <w:b/>
          <w:kern w:val="24"/>
          <w:sz w:val="24"/>
          <w:szCs w:val="24"/>
        </w:rPr>
      </w:pPr>
    </w:p>
    <w:p w14:paraId="4ABC078D" w14:textId="77777777" w:rsidR="0022489D" w:rsidRDefault="0022489D" w:rsidP="0051670F">
      <w:pPr>
        <w:spacing w:after="240" w:line="240" w:lineRule="auto"/>
        <w:rPr>
          <w:rFonts w:ascii="Times New Roman" w:eastAsia="Times New Roman" w:hAnsi="Times New Roman" w:cs="Times New Roman"/>
          <w:b/>
          <w:kern w:val="24"/>
          <w:sz w:val="24"/>
          <w:szCs w:val="24"/>
        </w:rPr>
      </w:pPr>
    </w:p>
    <w:p w14:paraId="38BDEDC3" w14:textId="77777777" w:rsidR="0022489D" w:rsidRDefault="0022489D" w:rsidP="0051670F">
      <w:pPr>
        <w:spacing w:after="240" w:line="240" w:lineRule="auto"/>
        <w:rPr>
          <w:rFonts w:ascii="Times New Roman" w:eastAsia="Times New Roman" w:hAnsi="Times New Roman" w:cs="Times New Roman"/>
          <w:b/>
          <w:kern w:val="24"/>
          <w:sz w:val="24"/>
          <w:szCs w:val="24"/>
        </w:rPr>
      </w:pPr>
    </w:p>
    <w:p w14:paraId="4F6A4CEF" w14:textId="77777777" w:rsidR="0022489D" w:rsidRDefault="0022489D" w:rsidP="0051670F">
      <w:pPr>
        <w:spacing w:after="240" w:line="240" w:lineRule="auto"/>
        <w:rPr>
          <w:rFonts w:ascii="Times New Roman" w:eastAsia="Times New Roman" w:hAnsi="Times New Roman" w:cs="Times New Roman"/>
          <w:b/>
          <w:kern w:val="24"/>
          <w:sz w:val="24"/>
          <w:szCs w:val="24"/>
        </w:rPr>
      </w:pPr>
    </w:p>
    <w:p w14:paraId="408D17CE" w14:textId="77777777" w:rsidR="0022489D" w:rsidRDefault="0022489D" w:rsidP="0051670F">
      <w:pPr>
        <w:spacing w:after="240" w:line="240" w:lineRule="auto"/>
        <w:rPr>
          <w:rFonts w:ascii="Times New Roman" w:eastAsia="Times New Roman" w:hAnsi="Times New Roman" w:cs="Times New Roman"/>
          <w:b/>
          <w:kern w:val="24"/>
          <w:sz w:val="24"/>
          <w:szCs w:val="24"/>
        </w:rPr>
      </w:pPr>
    </w:p>
    <w:p w14:paraId="7970E1A3" w14:textId="77777777" w:rsidR="0022489D" w:rsidRDefault="0022489D" w:rsidP="0051670F">
      <w:pPr>
        <w:spacing w:after="240" w:line="240" w:lineRule="auto"/>
        <w:rPr>
          <w:rFonts w:ascii="Times New Roman" w:eastAsia="Times New Roman" w:hAnsi="Times New Roman" w:cs="Times New Roman"/>
          <w:b/>
          <w:kern w:val="24"/>
          <w:sz w:val="24"/>
          <w:szCs w:val="24"/>
        </w:rPr>
      </w:pPr>
    </w:p>
    <w:p w14:paraId="13482C24" w14:textId="77777777" w:rsidR="0022489D" w:rsidRDefault="0022489D" w:rsidP="0051670F">
      <w:pPr>
        <w:spacing w:after="240" w:line="240" w:lineRule="auto"/>
        <w:rPr>
          <w:rFonts w:ascii="Times New Roman" w:eastAsia="Times New Roman" w:hAnsi="Times New Roman" w:cs="Times New Roman"/>
          <w:b/>
          <w:kern w:val="24"/>
          <w:sz w:val="24"/>
          <w:szCs w:val="24"/>
        </w:rPr>
      </w:pPr>
    </w:p>
    <w:p w14:paraId="60C7591E" w14:textId="77777777" w:rsidR="0022489D" w:rsidRDefault="0022489D" w:rsidP="0051670F">
      <w:pPr>
        <w:spacing w:after="240" w:line="240" w:lineRule="auto"/>
        <w:rPr>
          <w:rFonts w:ascii="Times New Roman" w:eastAsia="Times New Roman" w:hAnsi="Times New Roman" w:cs="Times New Roman"/>
          <w:b/>
          <w:kern w:val="24"/>
          <w:sz w:val="24"/>
          <w:szCs w:val="24"/>
        </w:rPr>
      </w:pPr>
    </w:p>
    <w:p w14:paraId="16EA98DD" w14:textId="77777777" w:rsidR="0022489D" w:rsidRDefault="0022489D" w:rsidP="0051670F">
      <w:pPr>
        <w:spacing w:after="240" w:line="240" w:lineRule="auto"/>
        <w:rPr>
          <w:rFonts w:ascii="Times New Roman" w:eastAsia="Times New Roman" w:hAnsi="Times New Roman" w:cs="Times New Roman"/>
          <w:b/>
          <w:kern w:val="24"/>
          <w:sz w:val="24"/>
          <w:szCs w:val="24"/>
        </w:rPr>
      </w:pPr>
    </w:p>
    <w:p w14:paraId="637F98F6" w14:textId="18050674" w:rsidR="00894786" w:rsidRPr="00C35E44" w:rsidRDefault="00894786" w:rsidP="0051670F">
      <w:pPr>
        <w:spacing w:after="240" w:line="240" w:lineRule="auto"/>
        <w:rPr>
          <w:rFonts w:ascii="Times New Roman" w:eastAsia="Times New Roman" w:hAnsi="Times New Roman" w:cs="Times New Roman"/>
          <w:b/>
          <w:kern w:val="24"/>
          <w:sz w:val="24"/>
          <w:szCs w:val="24"/>
        </w:rPr>
      </w:pPr>
      <w:r w:rsidRPr="002C6E70">
        <w:rPr>
          <w:rFonts w:ascii="Times New Roman" w:eastAsia="Times New Roman" w:hAnsi="Times New Roman" w:cs="Times New Roman"/>
          <w:b/>
          <w:kern w:val="24"/>
          <w:sz w:val="24"/>
          <w:szCs w:val="24"/>
        </w:rPr>
        <w:lastRenderedPageBreak/>
        <w:t>Supplemental Table S</w:t>
      </w:r>
      <w:r w:rsidR="0022489D">
        <w:rPr>
          <w:rFonts w:ascii="Times New Roman" w:eastAsia="Times New Roman" w:hAnsi="Times New Roman" w:cs="Times New Roman"/>
          <w:b/>
          <w:kern w:val="24"/>
          <w:sz w:val="24"/>
          <w:szCs w:val="24"/>
        </w:rPr>
        <w:t>2</w:t>
      </w:r>
      <w:r w:rsidRPr="002C6E70">
        <w:rPr>
          <w:rFonts w:ascii="Times New Roman" w:eastAsia="Times New Roman" w:hAnsi="Times New Roman" w:cs="Times New Roman"/>
          <w:b/>
          <w:kern w:val="24"/>
          <w:sz w:val="24"/>
          <w:szCs w:val="24"/>
        </w:rPr>
        <w:t>. Equilibrium dissociation constant (K</w:t>
      </w:r>
      <w:r w:rsidRPr="002C6E70">
        <w:rPr>
          <w:rFonts w:ascii="Times New Roman" w:eastAsia="Times New Roman" w:hAnsi="Times New Roman" w:cs="Times New Roman"/>
          <w:b/>
          <w:kern w:val="24"/>
          <w:sz w:val="24"/>
          <w:szCs w:val="24"/>
          <w:vertAlign w:val="subscript"/>
        </w:rPr>
        <w:t>D</w:t>
      </w:r>
      <w:r w:rsidRPr="002C6E70">
        <w:rPr>
          <w:rFonts w:ascii="Times New Roman" w:eastAsia="Times New Roman" w:hAnsi="Times New Roman" w:cs="Times New Roman"/>
          <w:b/>
          <w:kern w:val="24"/>
          <w:sz w:val="24"/>
          <w:szCs w:val="24"/>
        </w:rPr>
        <w:t>) of binding of MGC018 and MGA017 to human and cynomolgus monkey B7-H3</w:t>
      </w:r>
    </w:p>
    <w:p w14:paraId="7D1F3E56" w14:textId="35C85BC3" w:rsidR="00DC10E2" w:rsidRDefault="00DC10E2" w:rsidP="00894786">
      <w:pPr>
        <w:spacing w:after="0"/>
        <w:rPr>
          <w:rFonts w:ascii="Times New Roman" w:hAnsi="Times New Roman" w:cs="Times New Roman"/>
          <w:sz w:val="20"/>
        </w:rPr>
      </w:pPr>
      <w:r>
        <w:rPr>
          <w:noProof/>
        </w:rPr>
        <w:drawing>
          <wp:inline distT="0" distB="0" distL="0" distR="0" wp14:anchorId="6275189D" wp14:editId="3FFD3EB1">
            <wp:extent cx="5715443" cy="122674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76262" cy="1239798"/>
                    </a:xfrm>
                    <a:prstGeom prst="rect">
                      <a:avLst/>
                    </a:prstGeom>
                  </pic:spPr>
                </pic:pic>
              </a:graphicData>
            </a:graphic>
          </wp:inline>
        </w:drawing>
      </w:r>
    </w:p>
    <w:p w14:paraId="35B5F4AA" w14:textId="19160735" w:rsidR="00894786" w:rsidRPr="00894786" w:rsidRDefault="00894786" w:rsidP="00894786">
      <w:pPr>
        <w:spacing w:after="0"/>
        <w:rPr>
          <w:rFonts w:ascii="Times New Roman" w:hAnsi="Times New Roman" w:cs="Times New Roman"/>
          <w:sz w:val="20"/>
        </w:rPr>
      </w:pPr>
      <w:r w:rsidRPr="00894786">
        <w:rPr>
          <w:rFonts w:ascii="Times New Roman" w:hAnsi="Times New Roman" w:cs="Times New Roman"/>
          <w:sz w:val="20"/>
        </w:rPr>
        <w:t xml:space="preserve">Abbreviations: </w:t>
      </w:r>
      <w:r w:rsidR="002B58C8">
        <w:rPr>
          <w:rFonts w:ascii="Times New Roman" w:hAnsi="Times New Roman" w:cs="Times New Roman"/>
          <w:sz w:val="20"/>
        </w:rPr>
        <w:t xml:space="preserve">mAb: monoclonal antibody; </w:t>
      </w:r>
      <w:r w:rsidRPr="00894786">
        <w:rPr>
          <w:rFonts w:ascii="Times New Roman" w:hAnsi="Times New Roman" w:cs="Times New Roman"/>
          <w:sz w:val="20"/>
        </w:rPr>
        <w:t>ka</w:t>
      </w:r>
      <w:r w:rsidR="00207F01">
        <w:rPr>
          <w:rFonts w:ascii="Times New Roman" w:hAnsi="Times New Roman" w:cs="Times New Roman"/>
          <w:sz w:val="20"/>
        </w:rPr>
        <w:t>:</w:t>
      </w:r>
      <w:r w:rsidRPr="00894786">
        <w:rPr>
          <w:rFonts w:ascii="Times New Roman" w:hAnsi="Times New Roman" w:cs="Times New Roman"/>
          <w:sz w:val="20"/>
        </w:rPr>
        <w:t xml:space="preserve"> association constant; kd</w:t>
      </w:r>
      <w:r w:rsidR="00207F01">
        <w:rPr>
          <w:rFonts w:ascii="Times New Roman" w:hAnsi="Times New Roman" w:cs="Times New Roman"/>
          <w:sz w:val="20"/>
        </w:rPr>
        <w:t>:</w:t>
      </w:r>
      <w:r w:rsidRPr="00894786">
        <w:rPr>
          <w:rFonts w:ascii="Times New Roman" w:hAnsi="Times New Roman" w:cs="Times New Roman"/>
          <w:sz w:val="20"/>
        </w:rPr>
        <w:t xml:space="preserve"> dissociation constant; KD</w:t>
      </w:r>
      <w:r w:rsidR="00207F01">
        <w:rPr>
          <w:rFonts w:ascii="Times New Roman" w:hAnsi="Times New Roman" w:cs="Times New Roman"/>
          <w:sz w:val="20"/>
        </w:rPr>
        <w:t>:</w:t>
      </w:r>
      <w:r w:rsidRPr="00894786">
        <w:rPr>
          <w:rFonts w:ascii="Times New Roman" w:hAnsi="Times New Roman" w:cs="Times New Roman"/>
          <w:sz w:val="20"/>
        </w:rPr>
        <w:t xml:space="preserve"> equilibrium constant; M</w:t>
      </w:r>
      <w:r w:rsidR="00207F01">
        <w:rPr>
          <w:rFonts w:ascii="Times New Roman" w:hAnsi="Times New Roman" w:cs="Times New Roman"/>
          <w:sz w:val="20"/>
        </w:rPr>
        <w:t>:</w:t>
      </w:r>
      <w:r w:rsidRPr="00894786">
        <w:rPr>
          <w:rFonts w:ascii="Times New Roman" w:hAnsi="Times New Roman" w:cs="Times New Roman"/>
          <w:sz w:val="20"/>
        </w:rPr>
        <w:t xml:space="preserve"> mol/L concentration; s</w:t>
      </w:r>
      <w:r w:rsidR="00207F01">
        <w:rPr>
          <w:rFonts w:ascii="Times New Roman" w:hAnsi="Times New Roman" w:cs="Times New Roman"/>
          <w:sz w:val="20"/>
        </w:rPr>
        <w:t>:</w:t>
      </w:r>
      <w:r w:rsidRPr="00894786">
        <w:rPr>
          <w:rFonts w:ascii="Times New Roman" w:hAnsi="Times New Roman" w:cs="Times New Roman"/>
          <w:sz w:val="20"/>
        </w:rPr>
        <w:t xml:space="preserve"> second.</w:t>
      </w:r>
    </w:p>
    <w:p w14:paraId="2077DBF3" w14:textId="78998A1E" w:rsidR="00894786" w:rsidRPr="00894786" w:rsidRDefault="00894786" w:rsidP="00894786">
      <w:pPr>
        <w:rPr>
          <w:rFonts w:ascii="Times New Roman" w:hAnsi="Times New Roman" w:cs="Times New Roman"/>
          <w:sz w:val="20"/>
          <w:szCs w:val="24"/>
        </w:rPr>
      </w:pPr>
      <w:r w:rsidRPr="00894786">
        <w:rPr>
          <w:rFonts w:ascii="Times New Roman" w:hAnsi="Times New Roman" w:cs="Times New Roman"/>
          <w:sz w:val="20"/>
          <w:szCs w:val="24"/>
        </w:rPr>
        <w:t>The data are the mean +/- standard deviation of 3 independent experiments, each performed in duplicate</w:t>
      </w:r>
      <w:r w:rsidR="00CB02D8">
        <w:rPr>
          <w:rFonts w:ascii="Times New Roman" w:hAnsi="Times New Roman" w:cs="Times New Roman"/>
          <w:sz w:val="20"/>
          <w:szCs w:val="24"/>
        </w:rPr>
        <w:t>.</w:t>
      </w:r>
    </w:p>
    <w:p w14:paraId="7A5A56B0" w14:textId="45D1C75E" w:rsidR="00894786" w:rsidRPr="00894786" w:rsidRDefault="00894786" w:rsidP="0051670F">
      <w:pPr>
        <w:rPr>
          <w:rFonts w:ascii="Times New Roman" w:hAnsi="Times New Roman" w:cs="Times New Roman"/>
          <w:sz w:val="20"/>
          <w:szCs w:val="24"/>
        </w:rPr>
      </w:pPr>
    </w:p>
    <w:p w14:paraId="0FB6B728" w14:textId="77777777" w:rsidR="002C6E70" w:rsidRDefault="002C6E70" w:rsidP="00CB02D8">
      <w:pPr>
        <w:rPr>
          <w:rFonts w:ascii="Times New Roman" w:hAnsi="Times New Roman" w:cs="Times New Roman"/>
          <w:sz w:val="24"/>
          <w:szCs w:val="24"/>
        </w:rPr>
      </w:pPr>
    </w:p>
    <w:p w14:paraId="1D1D46A2" w14:textId="4720C10C" w:rsidR="00436034" w:rsidRDefault="00436034">
      <w:pPr>
        <w:rPr>
          <w:rFonts w:ascii="Times New Roman" w:hAnsi="Times New Roman" w:cs="Times New Roman"/>
          <w:sz w:val="24"/>
          <w:szCs w:val="24"/>
        </w:rPr>
      </w:pPr>
      <w:r>
        <w:rPr>
          <w:rFonts w:ascii="Times New Roman" w:hAnsi="Times New Roman" w:cs="Times New Roman"/>
          <w:sz w:val="24"/>
          <w:szCs w:val="24"/>
        </w:rPr>
        <w:br w:type="page"/>
      </w:r>
    </w:p>
    <w:p w14:paraId="3888A4BC" w14:textId="282703FB" w:rsidR="00BC3075" w:rsidRPr="002A509D" w:rsidRDefault="00436034" w:rsidP="00436034">
      <w:pPr>
        <w:rPr>
          <w:b/>
        </w:rPr>
      </w:pPr>
      <w:r>
        <w:rPr>
          <w:rFonts w:ascii="Times New Roman" w:hAnsi="Times New Roman" w:cs="Times New Roman"/>
          <w:b/>
          <w:sz w:val="24"/>
          <w:szCs w:val="24"/>
        </w:rPr>
        <w:lastRenderedPageBreak/>
        <w:t>Supplemental Table S3</w:t>
      </w:r>
      <w:r w:rsidRPr="002C6E70">
        <w:rPr>
          <w:rFonts w:ascii="Times New Roman" w:hAnsi="Times New Roman" w:cs="Times New Roman"/>
          <w:b/>
          <w:sz w:val="24"/>
          <w:szCs w:val="24"/>
        </w:rPr>
        <w:t xml:space="preserve">. </w:t>
      </w:r>
      <w:r w:rsidRPr="002C6E70">
        <w:rPr>
          <w:rFonts w:ascii="Times New Roman" w:hAnsi="Times New Roman" w:cs="Times New Roman"/>
          <w:b/>
          <w:sz w:val="24"/>
        </w:rPr>
        <w:t>Summary of total and conjugated antibody phar</w:t>
      </w:r>
      <w:r>
        <w:rPr>
          <w:rFonts w:ascii="Times New Roman" w:hAnsi="Times New Roman" w:cs="Times New Roman"/>
          <w:b/>
          <w:sz w:val="24"/>
        </w:rPr>
        <w:t>macokinetic parameters from non</w:t>
      </w:r>
      <w:r w:rsidRPr="002C6E70">
        <w:rPr>
          <w:rFonts w:ascii="Times New Roman" w:hAnsi="Times New Roman" w:cs="Times New Roman"/>
          <w:b/>
          <w:sz w:val="24"/>
        </w:rPr>
        <w:t>compartmental analysis following incubation in the indicated sera</w:t>
      </w:r>
    </w:p>
    <w:p w14:paraId="29F6FD10" w14:textId="38832617" w:rsidR="008D3E4F" w:rsidRDefault="008D3E4F" w:rsidP="00436034">
      <w:pPr>
        <w:rPr>
          <w:rFonts w:ascii="Times New Roman" w:hAnsi="Times New Roman" w:cs="Times New Roman"/>
          <w:sz w:val="20"/>
        </w:rPr>
      </w:pPr>
      <w:r>
        <w:rPr>
          <w:noProof/>
        </w:rPr>
        <w:drawing>
          <wp:inline distT="0" distB="0" distL="0" distR="0" wp14:anchorId="1A591B05" wp14:editId="01BB99B4">
            <wp:extent cx="5206652" cy="201257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9109" cy="2028982"/>
                    </a:xfrm>
                    <a:prstGeom prst="rect">
                      <a:avLst/>
                    </a:prstGeom>
                  </pic:spPr>
                </pic:pic>
              </a:graphicData>
            </a:graphic>
          </wp:inline>
        </w:drawing>
      </w:r>
    </w:p>
    <w:p w14:paraId="7DC4EA6A" w14:textId="331B473C" w:rsidR="00436034" w:rsidRPr="00CB02D8" w:rsidRDefault="00436034" w:rsidP="00436034">
      <w:pPr>
        <w:rPr>
          <w:rFonts w:ascii="Times New Roman" w:hAnsi="Times New Roman" w:cs="Times New Roman"/>
          <w:sz w:val="20"/>
        </w:rPr>
      </w:pPr>
      <w:r w:rsidRPr="00CB02D8">
        <w:rPr>
          <w:rFonts w:ascii="Times New Roman" w:hAnsi="Times New Roman" w:cs="Times New Roman"/>
          <w:sz w:val="20"/>
        </w:rPr>
        <w:t>Abbreviations: C</w:t>
      </w:r>
      <w:r w:rsidRPr="00CB02D8">
        <w:rPr>
          <w:rFonts w:ascii="Times New Roman" w:hAnsi="Times New Roman" w:cs="Times New Roman"/>
          <w:sz w:val="20"/>
          <w:vertAlign w:val="subscript"/>
        </w:rPr>
        <w:t>0</w:t>
      </w:r>
      <w:r w:rsidR="00207F01">
        <w:rPr>
          <w:rFonts w:ascii="Times New Roman" w:hAnsi="Times New Roman" w:cs="Times New Roman"/>
          <w:sz w:val="20"/>
        </w:rPr>
        <w:t>:</w:t>
      </w:r>
      <w:r w:rsidRPr="00CB02D8">
        <w:rPr>
          <w:rFonts w:ascii="Times New Roman" w:hAnsi="Times New Roman" w:cs="Times New Roman"/>
          <w:sz w:val="20"/>
        </w:rPr>
        <w:t xml:space="preserve"> concentration at time 0; C</w:t>
      </w:r>
      <w:r w:rsidRPr="00CB02D8">
        <w:rPr>
          <w:rFonts w:ascii="Times New Roman" w:hAnsi="Times New Roman" w:cs="Times New Roman"/>
          <w:sz w:val="20"/>
          <w:vertAlign w:val="subscript"/>
        </w:rPr>
        <w:t>last</w:t>
      </w:r>
      <w:r w:rsidR="00207F01">
        <w:rPr>
          <w:rFonts w:ascii="Times New Roman" w:hAnsi="Times New Roman" w:cs="Times New Roman"/>
          <w:sz w:val="20"/>
        </w:rPr>
        <w:t>:</w:t>
      </w:r>
      <w:r w:rsidRPr="00CB02D8">
        <w:rPr>
          <w:rFonts w:ascii="Times New Roman" w:hAnsi="Times New Roman" w:cs="Times New Roman"/>
          <w:sz w:val="20"/>
        </w:rPr>
        <w:t xml:space="preserve"> concentration at the last timepoint (240 hours); AUC</w:t>
      </w:r>
      <w:r w:rsidRPr="00CB02D8">
        <w:rPr>
          <w:rFonts w:ascii="Times New Roman" w:hAnsi="Times New Roman" w:cs="Times New Roman"/>
          <w:sz w:val="20"/>
          <w:vertAlign w:val="subscript"/>
        </w:rPr>
        <w:t>last</w:t>
      </w:r>
      <w:r w:rsidR="00207F01">
        <w:rPr>
          <w:rFonts w:ascii="Times New Roman" w:hAnsi="Times New Roman" w:cs="Times New Roman"/>
          <w:sz w:val="20"/>
        </w:rPr>
        <w:t>:</w:t>
      </w:r>
      <w:r w:rsidRPr="00CB02D8">
        <w:rPr>
          <w:rFonts w:ascii="Times New Roman" w:hAnsi="Times New Roman" w:cs="Times New Roman"/>
          <w:sz w:val="20"/>
        </w:rPr>
        <w:t xml:space="preserve"> area under the concentration curve to the last quantifiable concentration; hr</w:t>
      </w:r>
      <w:r w:rsidR="00207F01">
        <w:rPr>
          <w:rFonts w:ascii="Times New Roman" w:hAnsi="Times New Roman" w:cs="Times New Roman"/>
          <w:sz w:val="20"/>
        </w:rPr>
        <w:t>:</w:t>
      </w:r>
      <w:r w:rsidRPr="00CB02D8">
        <w:rPr>
          <w:rFonts w:ascii="Times New Roman" w:hAnsi="Times New Roman" w:cs="Times New Roman"/>
          <w:sz w:val="20"/>
        </w:rPr>
        <w:t xml:space="preserve"> hour</w:t>
      </w:r>
      <w:r w:rsidR="00207F01">
        <w:rPr>
          <w:rFonts w:ascii="Times New Roman" w:hAnsi="Times New Roman" w:cs="Times New Roman"/>
          <w:sz w:val="20"/>
        </w:rPr>
        <w:t>; KO: knockout</w:t>
      </w:r>
      <w:r w:rsidRPr="00CB02D8">
        <w:rPr>
          <w:rFonts w:ascii="Times New Roman" w:hAnsi="Times New Roman" w:cs="Times New Roman"/>
          <w:sz w:val="20"/>
        </w:rPr>
        <w:t>.</w:t>
      </w:r>
    </w:p>
    <w:p w14:paraId="4E9ABE41" w14:textId="77777777" w:rsidR="002C6E70" w:rsidRDefault="002C6E70" w:rsidP="00CB02D8">
      <w:pPr>
        <w:rPr>
          <w:rFonts w:ascii="Times New Roman" w:hAnsi="Times New Roman" w:cs="Times New Roman"/>
          <w:sz w:val="24"/>
          <w:szCs w:val="24"/>
        </w:rPr>
      </w:pPr>
    </w:p>
    <w:p w14:paraId="48CB839C" w14:textId="37EA7E29" w:rsidR="00CB02D8" w:rsidRPr="0022489D" w:rsidRDefault="002C6E70" w:rsidP="00CB02D8">
      <w:pPr>
        <w:rPr>
          <w:rFonts w:ascii="Times New Roman" w:hAnsi="Times New Roman" w:cs="Times New Roman"/>
          <w:sz w:val="24"/>
          <w:szCs w:val="24"/>
        </w:rPr>
      </w:pPr>
      <w:r>
        <w:rPr>
          <w:rFonts w:ascii="Times New Roman" w:hAnsi="Times New Roman" w:cs="Times New Roman"/>
          <w:sz w:val="24"/>
          <w:szCs w:val="24"/>
        </w:rPr>
        <w:br w:type="page"/>
      </w:r>
      <w:r w:rsidR="001874EF">
        <w:rPr>
          <w:rFonts w:ascii="Times New Roman" w:hAnsi="Times New Roman" w:cs="Times New Roman"/>
          <w:b/>
          <w:sz w:val="24"/>
          <w:szCs w:val="24"/>
        </w:rPr>
        <w:lastRenderedPageBreak/>
        <w:t>Supplemental Table S4</w:t>
      </w:r>
      <w:r w:rsidR="00CB02D8" w:rsidRPr="002C6E70">
        <w:rPr>
          <w:rFonts w:ascii="Times New Roman" w:hAnsi="Times New Roman" w:cs="Times New Roman"/>
          <w:b/>
          <w:sz w:val="24"/>
          <w:szCs w:val="24"/>
        </w:rPr>
        <w:t xml:space="preserve">. </w:t>
      </w:r>
      <w:r w:rsidR="00CB02D8" w:rsidRPr="002C6E70">
        <w:rPr>
          <w:rFonts w:ascii="Times New Roman" w:hAnsi="Times New Roman" w:cs="Times New Roman"/>
          <w:b/>
          <w:sz w:val="24"/>
        </w:rPr>
        <w:t>Summary of conjugated antibody phar</w:t>
      </w:r>
      <w:r w:rsidR="00077B3B">
        <w:rPr>
          <w:rFonts w:ascii="Times New Roman" w:hAnsi="Times New Roman" w:cs="Times New Roman"/>
          <w:b/>
          <w:sz w:val="24"/>
        </w:rPr>
        <w:t>macokinetic parameters from non</w:t>
      </w:r>
      <w:r w:rsidR="00CB02D8" w:rsidRPr="002C6E70">
        <w:rPr>
          <w:rFonts w:ascii="Times New Roman" w:hAnsi="Times New Roman" w:cs="Times New Roman"/>
          <w:b/>
          <w:sz w:val="24"/>
        </w:rPr>
        <w:t>compartmental analysis of first MGC018 dose data in cynomolgus monkeys</w:t>
      </w:r>
    </w:p>
    <w:p w14:paraId="45D15891" w14:textId="7BA05E6E" w:rsidR="00CB02D8" w:rsidRDefault="00CB02D8" w:rsidP="0051670F">
      <w:pPr>
        <w:rPr>
          <w:rFonts w:ascii="Times New Roman" w:hAnsi="Times New Roman" w:cs="Times New Roman"/>
          <w:b/>
          <w:sz w:val="24"/>
          <w:szCs w:val="24"/>
        </w:rPr>
      </w:pPr>
      <w:r>
        <w:rPr>
          <w:noProof/>
        </w:rPr>
        <w:drawing>
          <wp:inline distT="0" distB="0" distL="0" distR="0" wp14:anchorId="52538EFB" wp14:editId="6B53C7F2">
            <wp:extent cx="5735782" cy="142169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780" cy="1427638"/>
                    </a:xfrm>
                    <a:prstGeom prst="rect">
                      <a:avLst/>
                    </a:prstGeom>
                  </pic:spPr>
                </pic:pic>
              </a:graphicData>
            </a:graphic>
          </wp:inline>
        </w:drawing>
      </w:r>
    </w:p>
    <w:p w14:paraId="43523668" w14:textId="71431A5B" w:rsidR="00CB02D8" w:rsidRPr="00CB02D8" w:rsidRDefault="00CB02D8" w:rsidP="00CB02D8">
      <w:pPr>
        <w:rPr>
          <w:rFonts w:ascii="Times New Roman" w:hAnsi="Times New Roman" w:cs="Times New Roman"/>
          <w:sz w:val="20"/>
        </w:rPr>
      </w:pPr>
      <w:r w:rsidRPr="00CB02D8">
        <w:rPr>
          <w:rFonts w:ascii="Times New Roman" w:hAnsi="Times New Roman" w:cs="Times New Roman"/>
          <w:sz w:val="20"/>
        </w:rPr>
        <w:t>Abbreviations: T</w:t>
      </w:r>
      <w:r w:rsidRPr="00096616">
        <w:rPr>
          <w:rFonts w:ascii="Times New Roman" w:hAnsi="Times New Roman" w:cs="Times New Roman"/>
          <w:sz w:val="20"/>
          <w:vertAlign w:val="subscript"/>
        </w:rPr>
        <w:t>max</w:t>
      </w:r>
      <w:r w:rsidR="00096616">
        <w:rPr>
          <w:rFonts w:ascii="Times New Roman" w:hAnsi="Times New Roman" w:cs="Times New Roman"/>
          <w:sz w:val="20"/>
        </w:rPr>
        <w:t xml:space="preserve">: </w:t>
      </w:r>
      <w:r w:rsidRPr="00CB02D8">
        <w:rPr>
          <w:rFonts w:ascii="Times New Roman" w:hAnsi="Times New Roman" w:cs="Times New Roman"/>
          <w:sz w:val="20"/>
        </w:rPr>
        <w:t>time o</w:t>
      </w:r>
      <w:r w:rsidR="00096616">
        <w:rPr>
          <w:rFonts w:ascii="Times New Roman" w:hAnsi="Times New Roman" w:cs="Times New Roman"/>
          <w:sz w:val="20"/>
        </w:rPr>
        <w:t>f maximal concentration; C</w:t>
      </w:r>
      <w:r w:rsidR="00096616" w:rsidRPr="00096616">
        <w:rPr>
          <w:rFonts w:ascii="Times New Roman" w:hAnsi="Times New Roman" w:cs="Times New Roman"/>
          <w:sz w:val="20"/>
          <w:vertAlign w:val="subscript"/>
        </w:rPr>
        <w:t>max</w:t>
      </w:r>
      <w:r w:rsidR="00096616">
        <w:rPr>
          <w:rFonts w:ascii="Times New Roman" w:hAnsi="Times New Roman" w:cs="Times New Roman"/>
          <w:sz w:val="20"/>
        </w:rPr>
        <w:t xml:space="preserve">: </w:t>
      </w:r>
      <w:r w:rsidRPr="00CB02D8">
        <w:rPr>
          <w:rFonts w:ascii="Times New Roman" w:hAnsi="Times New Roman" w:cs="Times New Roman"/>
          <w:sz w:val="20"/>
        </w:rPr>
        <w:t>observed maximal serum concentration; AUC</w:t>
      </w:r>
      <w:r w:rsidRPr="00CB02D8">
        <w:rPr>
          <w:rFonts w:ascii="Times New Roman" w:hAnsi="Times New Roman" w:cs="Times New Roman"/>
          <w:sz w:val="20"/>
          <w:vertAlign w:val="subscript"/>
        </w:rPr>
        <w:t>last</w:t>
      </w:r>
      <w:r w:rsidR="00096616">
        <w:rPr>
          <w:rFonts w:ascii="Times New Roman" w:hAnsi="Times New Roman" w:cs="Times New Roman"/>
          <w:sz w:val="20"/>
        </w:rPr>
        <w:t xml:space="preserve">: </w:t>
      </w:r>
      <w:r w:rsidRPr="00CB02D8">
        <w:rPr>
          <w:rFonts w:ascii="Times New Roman" w:hAnsi="Times New Roman" w:cs="Times New Roman"/>
          <w:sz w:val="20"/>
        </w:rPr>
        <w:t>area under the concentration curve to the last quantifiable concentration; AUC</w:t>
      </w:r>
      <w:r w:rsidR="00E85DE2">
        <w:rPr>
          <w:rFonts w:ascii="Times New Roman" w:hAnsi="Times New Roman" w:cs="Times New Roman"/>
          <w:sz w:val="20"/>
          <w:vertAlign w:val="subscript"/>
        </w:rPr>
        <w:t>inf</w:t>
      </w:r>
      <w:r w:rsidR="00096616">
        <w:rPr>
          <w:rFonts w:ascii="Times New Roman" w:hAnsi="Times New Roman" w:cs="Times New Roman"/>
          <w:sz w:val="20"/>
        </w:rPr>
        <w:t xml:space="preserve">: </w:t>
      </w:r>
      <w:r w:rsidRPr="00CB02D8">
        <w:rPr>
          <w:rFonts w:ascii="Times New Roman" w:hAnsi="Times New Roman" w:cs="Times New Roman"/>
          <w:sz w:val="20"/>
        </w:rPr>
        <w:t xml:space="preserve">area under the concentration curve extrapolated to infinity based on the last predicted concentration; </w:t>
      </w:r>
      <w:r w:rsidR="007053C1">
        <w:rPr>
          <w:rFonts w:ascii="Times New Roman" w:hAnsi="Times New Roman" w:cs="Times New Roman"/>
          <w:sz w:val="20"/>
        </w:rPr>
        <w:t>t</w:t>
      </w:r>
      <w:r w:rsidR="007053C1" w:rsidRPr="00CB02D8">
        <w:rPr>
          <w:rFonts w:ascii="Times New Roman" w:hAnsi="Times New Roman" w:cs="Times New Roman"/>
          <w:sz w:val="20"/>
          <w:vertAlign w:val="subscript"/>
        </w:rPr>
        <w:t>1</w:t>
      </w:r>
      <w:r w:rsidRPr="00CB02D8">
        <w:rPr>
          <w:rFonts w:ascii="Times New Roman" w:hAnsi="Times New Roman" w:cs="Times New Roman"/>
          <w:sz w:val="20"/>
          <w:vertAlign w:val="subscript"/>
        </w:rPr>
        <w:t>/2</w:t>
      </w:r>
      <w:r w:rsidR="00096616">
        <w:rPr>
          <w:rFonts w:ascii="Times New Roman" w:hAnsi="Times New Roman" w:cs="Times New Roman"/>
          <w:sz w:val="20"/>
        </w:rPr>
        <w:t xml:space="preserve">: </w:t>
      </w:r>
      <w:r w:rsidRPr="00CB02D8">
        <w:rPr>
          <w:rFonts w:ascii="Times New Roman" w:hAnsi="Times New Roman" w:cs="Times New Roman"/>
          <w:sz w:val="20"/>
        </w:rPr>
        <w:t>termi</w:t>
      </w:r>
      <w:r w:rsidR="00096616">
        <w:rPr>
          <w:rFonts w:ascii="Times New Roman" w:hAnsi="Times New Roman" w:cs="Times New Roman"/>
          <w:sz w:val="20"/>
        </w:rPr>
        <w:t xml:space="preserve">nal elimination half-life; CL: </w:t>
      </w:r>
      <w:r w:rsidRPr="00CB02D8">
        <w:rPr>
          <w:rFonts w:ascii="Times New Roman" w:hAnsi="Times New Roman" w:cs="Times New Roman"/>
          <w:sz w:val="20"/>
        </w:rPr>
        <w:t>predicted total body c</w:t>
      </w:r>
      <w:r w:rsidR="00096616">
        <w:rPr>
          <w:rFonts w:ascii="Times New Roman" w:hAnsi="Times New Roman" w:cs="Times New Roman"/>
          <w:sz w:val="20"/>
        </w:rPr>
        <w:t xml:space="preserve">learance; Vss: </w:t>
      </w:r>
      <w:r w:rsidRPr="00CB02D8">
        <w:rPr>
          <w:rFonts w:ascii="Times New Roman" w:hAnsi="Times New Roman" w:cs="Times New Roman"/>
          <w:sz w:val="20"/>
        </w:rPr>
        <w:t xml:space="preserve">volume of distribution at steady state based on the last predicted concentration; </w:t>
      </w:r>
      <w:r w:rsidRPr="00096616">
        <w:rPr>
          <w:rFonts w:ascii="Times New Roman" w:hAnsi="Times New Roman" w:cs="Times New Roman"/>
          <w:sz w:val="20"/>
        </w:rPr>
        <w:t>MRT</w:t>
      </w:r>
      <w:r w:rsidR="00096616" w:rsidRPr="00096616">
        <w:rPr>
          <w:rFonts w:ascii="Times New Roman" w:hAnsi="Times New Roman" w:cs="Times New Roman"/>
          <w:sz w:val="20"/>
          <w:vertAlign w:val="subscript"/>
        </w:rPr>
        <w:t>inf</w:t>
      </w:r>
      <w:r w:rsidR="00096616">
        <w:rPr>
          <w:rFonts w:ascii="Times New Roman" w:hAnsi="Times New Roman" w:cs="Times New Roman"/>
          <w:sz w:val="20"/>
        </w:rPr>
        <w:t xml:space="preserve">: </w:t>
      </w:r>
      <w:r w:rsidRPr="00096616">
        <w:rPr>
          <w:rFonts w:ascii="Times New Roman" w:hAnsi="Times New Roman" w:cs="Times New Roman"/>
          <w:sz w:val="20"/>
        </w:rPr>
        <w:t>mean</w:t>
      </w:r>
      <w:r w:rsidRPr="00CB02D8">
        <w:rPr>
          <w:rFonts w:ascii="Times New Roman" w:hAnsi="Times New Roman" w:cs="Times New Roman"/>
          <w:sz w:val="20"/>
        </w:rPr>
        <w:t xml:space="preserve"> residence time extrapolated to infinity based on the las</w:t>
      </w:r>
      <w:r w:rsidR="00096616">
        <w:rPr>
          <w:rFonts w:ascii="Times New Roman" w:hAnsi="Times New Roman" w:cs="Times New Roman"/>
          <w:sz w:val="20"/>
        </w:rPr>
        <w:t xml:space="preserve">t predicted concentration; SD: standard deviation; hr: </w:t>
      </w:r>
      <w:r w:rsidRPr="00CB02D8">
        <w:rPr>
          <w:rFonts w:ascii="Times New Roman" w:hAnsi="Times New Roman" w:cs="Times New Roman"/>
          <w:sz w:val="20"/>
        </w:rPr>
        <w:t>hour.</w:t>
      </w:r>
    </w:p>
    <w:p w14:paraId="469329D0" w14:textId="77777777" w:rsidR="00CB02D8" w:rsidRDefault="00CB02D8" w:rsidP="00CB02D8">
      <w:pPr>
        <w:rPr>
          <w:rFonts w:ascii="Times New Roman" w:hAnsi="Times New Roman" w:cs="Times New Roman"/>
          <w:sz w:val="24"/>
          <w:szCs w:val="24"/>
        </w:rPr>
      </w:pPr>
    </w:p>
    <w:p w14:paraId="2AD30A22" w14:textId="77777777" w:rsidR="00CB02D8" w:rsidRDefault="00CB02D8" w:rsidP="00CB02D8">
      <w:pPr>
        <w:rPr>
          <w:rFonts w:ascii="Times New Roman" w:hAnsi="Times New Roman" w:cs="Times New Roman"/>
          <w:sz w:val="24"/>
          <w:szCs w:val="24"/>
        </w:rPr>
      </w:pPr>
    </w:p>
    <w:p w14:paraId="7A52BEBE" w14:textId="77777777" w:rsidR="00CB02D8" w:rsidRDefault="00CB02D8" w:rsidP="00CB02D8">
      <w:pPr>
        <w:rPr>
          <w:rFonts w:ascii="Times New Roman" w:hAnsi="Times New Roman" w:cs="Times New Roman"/>
          <w:sz w:val="24"/>
          <w:szCs w:val="24"/>
        </w:rPr>
      </w:pPr>
    </w:p>
    <w:p w14:paraId="03E0EB41" w14:textId="77777777" w:rsidR="00CB02D8" w:rsidRDefault="00CB02D8" w:rsidP="00CB02D8">
      <w:pPr>
        <w:rPr>
          <w:rFonts w:ascii="Times New Roman" w:hAnsi="Times New Roman" w:cs="Times New Roman"/>
          <w:sz w:val="24"/>
          <w:szCs w:val="24"/>
        </w:rPr>
      </w:pPr>
    </w:p>
    <w:p w14:paraId="0A181A95" w14:textId="77777777" w:rsidR="002C6E70" w:rsidRDefault="002C6E70" w:rsidP="00CB02D8">
      <w:pPr>
        <w:rPr>
          <w:rFonts w:ascii="Times New Roman" w:hAnsi="Times New Roman" w:cs="Times New Roman"/>
          <w:sz w:val="24"/>
          <w:szCs w:val="24"/>
        </w:rPr>
      </w:pPr>
    </w:p>
    <w:p w14:paraId="46B88FFB" w14:textId="77777777" w:rsidR="002C6E70" w:rsidRDefault="002C6E70">
      <w:pPr>
        <w:rPr>
          <w:rFonts w:ascii="Times New Roman" w:hAnsi="Times New Roman" w:cs="Times New Roman"/>
          <w:sz w:val="24"/>
          <w:szCs w:val="24"/>
        </w:rPr>
      </w:pPr>
      <w:r>
        <w:rPr>
          <w:rFonts w:ascii="Times New Roman" w:hAnsi="Times New Roman" w:cs="Times New Roman"/>
          <w:sz w:val="24"/>
          <w:szCs w:val="24"/>
        </w:rPr>
        <w:br w:type="page"/>
      </w:r>
    </w:p>
    <w:p w14:paraId="63E71E2A" w14:textId="19096F0A" w:rsidR="00CB02D8" w:rsidRPr="002C6E70" w:rsidRDefault="00CB02D8" w:rsidP="00CB02D8">
      <w:pPr>
        <w:rPr>
          <w:rFonts w:ascii="Times New Roman" w:hAnsi="Times New Roman" w:cs="Times New Roman"/>
          <w:b/>
          <w:sz w:val="24"/>
          <w:szCs w:val="24"/>
        </w:rPr>
      </w:pPr>
      <w:r w:rsidRPr="002C6E70">
        <w:rPr>
          <w:rFonts w:ascii="Times New Roman" w:hAnsi="Times New Roman" w:cs="Times New Roman"/>
          <w:b/>
          <w:sz w:val="24"/>
          <w:szCs w:val="24"/>
        </w:rPr>
        <w:lastRenderedPageBreak/>
        <w:t>Supple</w:t>
      </w:r>
      <w:r w:rsidR="001874EF">
        <w:rPr>
          <w:rFonts w:ascii="Times New Roman" w:hAnsi="Times New Roman" w:cs="Times New Roman"/>
          <w:b/>
          <w:sz w:val="24"/>
          <w:szCs w:val="24"/>
        </w:rPr>
        <w:t>mental Table S5</w:t>
      </w:r>
      <w:r w:rsidR="002C6E70" w:rsidRPr="002C6E70">
        <w:rPr>
          <w:rFonts w:ascii="Times New Roman" w:hAnsi="Times New Roman" w:cs="Times New Roman"/>
          <w:b/>
          <w:sz w:val="24"/>
          <w:szCs w:val="24"/>
        </w:rPr>
        <w:t>.</w:t>
      </w:r>
      <w:r w:rsidRPr="002C6E70">
        <w:rPr>
          <w:rFonts w:ascii="Times New Roman" w:hAnsi="Times New Roman" w:cs="Times New Roman"/>
          <w:b/>
          <w:sz w:val="24"/>
          <w:szCs w:val="24"/>
        </w:rPr>
        <w:t xml:space="preserve"> </w:t>
      </w:r>
      <w:r w:rsidRPr="002C6E70">
        <w:rPr>
          <w:rFonts w:ascii="Times New Roman" w:hAnsi="Times New Roman" w:cs="Times New Roman"/>
          <w:b/>
          <w:sz w:val="24"/>
        </w:rPr>
        <w:t>Summary of total antibody phar</w:t>
      </w:r>
      <w:r w:rsidR="00077B3B">
        <w:rPr>
          <w:rFonts w:ascii="Times New Roman" w:hAnsi="Times New Roman" w:cs="Times New Roman"/>
          <w:b/>
          <w:sz w:val="24"/>
        </w:rPr>
        <w:t>macokinetic parameters from non</w:t>
      </w:r>
      <w:r w:rsidRPr="002C6E70">
        <w:rPr>
          <w:rFonts w:ascii="Times New Roman" w:hAnsi="Times New Roman" w:cs="Times New Roman"/>
          <w:b/>
          <w:sz w:val="24"/>
        </w:rPr>
        <w:t>compartmental analysis of first MGC018 dose data in cynomolgus monkeys</w:t>
      </w:r>
    </w:p>
    <w:p w14:paraId="04F10F9F" w14:textId="0849B04F" w:rsidR="00CB02D8" w:rsidRDefault="00CB02D8" w:rsidP="0051670F">
      <w:pPr>
        <w:rPr>
          <w:rFonts w:ascii="Times New Roman" w:hAnsi="Times New Roman" w:cs="Times New Roman"/>
          <w:b/>
          <w:sz w:val="24"/>
          <w:szCs w:val="24"/>
        </w:rPr>
      </w:pPr>
      <w:r>
        <w:rPr>
          <w:noProof/>
        </w:rPr>
        <w:drawing>
          <wp:inline distT="0" distB="0" distL="0" distR="0" wp14:anchorId="0DFD7A2E" wp14:editId="2A79BA2A">
            <wp:extent cx="5783283" cy="1462503"/>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26567" cy="1473449"/>
                    </a:xfrm>
                    <a:prstGeom prst="rect">
                      <a:avLst/>
                    </a:prstGeom>
                  </pic:spPr>
                </pic:pic>
              </a:graphicData>
            </a:graphic>
          </wp:inline>
        </w:drawing>
      </w:r>
    </w:p>
    <w:p w14:paraId="66623959" w14:textId="474C4D2A" w:rsidR="00096616" w:rsidRPr="00CB02D8" w:rsidRDefault="00096616" w:rsidP="00096616">
      <w:pPr>
        <w:rPr>
          <w:rFonts w:ascii="Times New Roman" w:hAnsi="Times New Roman" w:cs="Times New Roman"/>
          <w:sz w:val="20"/>
        </w:rPr>
      </w:pPr>
      <w:r w:rsidRPr="00CB02D8">
        <w:rPr>
          <w:rFonts w:ascii="Times New Roman" w:hAnsi="Times New Roman" w:cs="Times New Roman"/>
          <w:sz w:val="20"/>
        </w:rPr>
        <w:t>Abbreviations: T</w:t>
      </w:r>
      <w:r w:rsidRPr="00096616">
        <w:rPr>
          <w:rFonts w:ascii="Times New Roman" w:hAnsi="Times New Roman" w:cs="Times New Roman"/>
          <w:sz w:val="20"/>
          <w:vertAlign w:val="subscript"/>
        </w:rPr>
        <w:t>max</w:t>
      </w:r>
      <w:r>
        <w:rPr>
          <w:rFonts w:ascii="Times New Roman" w:hAnsi="Times New Roman" w:cs="Times New Roman"/>
          <w:sz w:val="20"/>
        </w:rPr>
        <w:t xml:space="preserve">: </w:t>
      </w:r>
      <w:r w:rsidRPr="00CB02D8">
        <w:rPr>
          <w:rFonts w:ascii="Times New Roman" w:hAnsi="Times New Roman" w:cs="Times New Roman"/>
          <w:sz w:val="20"/>
        </w:rPr>
        <w:t>time o</w:t>
      </w:r>
      <w:r>
        <w:rPr>
          <w:rFonts w:ascii="Times New Roman" w:hAnsi="Times New Roman" w:cs="Times New Roman"/>
          <w:sz w:val="20"/>
        </w:rPr>
        <w:t>f maximal concentration; C</w:t>
      </w:r>
      <w:r w:rsidRPr="00096616">
        <w:rPr>
          <w:rFonts w:ascii="Times New Roman" w:hAnsi="Times New Roman" w:cs="Times New Roman"/>
          <w:sz w:val="20"/>
          <w:vertAlign w:val="subscript"/>
        </w:rPr>
        <w:t>max</w:t>
      </w:r>
      <w:r>
        <w:rPr>
          <w:rFonts w:ascii="Times New Roman" w:hAnsi="Times New Roman" w:cs="Times New Roman"/>
          <w:sz w:val="20"/>
        </w:rPr>
        <w:t xml:space="preserve">: </w:t>
      </w:r>
      <w:r w:rsidRPr="00CB02D8">
        <w:rPr>
          <w:rFonts w:ascii="Times New Roman" w:hAnsi="Times New Roman" w:cs="Times New Roman"/>
          <w:sz w:val="20"/>
        </w:rPr>
        <w:t>observed maximal serum concentration; AUC</w:t>
      </w:r>
      <w:r w:rsidRPr="00CB02D8">
        <w:rPr>
          <w:rFonts w:ascii="Times New Roman" w:hAnsi="Times New Roman" w:cs="Times New Roman"/>
          <w:sz w:val="20"/>
          <w:vertAlign w:val="subscript"/>
        </w:rPr>
        <w:t>last</w:t>
      </w:r>
      <w:r>
        <w:rPr>
          <w:rFonts w:ascii="Times New Roman" w:hAnsi="Times New Roman" w:cs="Times New Roman"/>
          <w:sz w:val="20"/>
        </w:rPr>
        <w:t xml:space="preserve">: </w:t>
      </w:r>
      <w:r w:rsidRPr="00CB02D8">
        <w:rPr>
          <w:rFonts w:ascii="Times New Roman" w:hAnsi="Times New Roman" w:cs="Times New Roman"/>
          <w:sz w:val="20"/>
        </w:rPr>
        <w:t>area under the concentration curve to the last quantifiable concentration; AUC</w:t>
      </w:r>
      <w:r>
        <w:rPr>
          <w:rFonts w:ascii="Times New Roman" w:hAnsi="Times New Roman" w:cs="Times New Roman"/>
          <w:sz w:val="20"/>
          <w:vertAlign w:val="subscript"/>
        </w:rPr>
        <w:t>inf</w:t>
      </w:r>
      <w:r>
        <w:rPr>
          <w:rFonts w:ascii="Times New Roman" w:hAnsi="Times New Roman" w:cs="Times New Roman"/>
          <w:sz w:val="20"/>
        </w:rPr>
        <w:t xml:space="preserve">: </w:t>
      </w:r>
      <w:r w:rsidRPr="00CB02D8">
        <w:rPr>
          <w:rFonts w:ascii="Times New Roman" w:hAnsi="Times New Roman" w:cs="Times New Roman"/>
          <w:sz w:val="20"/>
        </w:rPr>
        <w:t xml:space="preserve">area under the concentration curve extrapolated to infinity based on the last predicted concentration; </w:t>
      </w:r>
      <w:r w:rsidR="007053C1">
        <w:rPr>
          <w:rFonts w:ascii="Times New Roman" w:hAnsi="Times New Roman" w:cs="Times New Roman"/>
          <w:sz w:val="20"/>
        </w:rPr>
        <w:t>t</w:t>
      </w:r>
      <w:r w:rsidRPr="00CB02D8">
        <w:rPr>
          <w:rFonts w:ascii="Times New Roman" w:hAnsi="Times New Roman" w:cs="Times New Roman"/>
          <w:sz w:val="20"/>
          <w:vertAlign w:val="subscript"/>
        </w:rPr>
        <w:t>1/2</w:t>
      </w:r>
      <w:r>
        <w:rPr>
          <w:rFonts w:ascii="Times New Roman" w:hAnsi="Times New Roman" w:cs="Times New Roman"/>
          <w:sz w:val="20"/>
        </w:rPr>
        <w:t xml:space="preserve">: </w:t>
      </w:r>
      <w:r w:rsidRPr="00CB02D8">
        <w:rPr>
          <w:rFonts w:ascii="Times New Roman" w:hAnsi="Times New Roman" w:cs="Times New Roman"/>
          <w:sz w:val="20"/>
        </w:rPr>
        <w:t>termi</w:t>
      </w:r>
      <w:r>
        <w:rPr>
          <w:rFonts w:ascii="Times New Roman" w:hAnsi="Times New Roman" w:cs="Times New Roman"/>
          <w:sz w:val="20"/>
        </w:rPr>
        <w:t xml:space="preserve">nal elimination half-life; CL: </w:t>
      </w:r>
      <w:r w:rsidRPr="00CB02D8">
        <w:rPr>
          <w:rFonts w:ascii="Times New Roman" w:hAnsi="Times New Roman" w:cs="Times New Roman"/>
          <w:sz w:val="20"/>
        </w:rPr>
        <w:t>predicted total body c</w:t>
      </w:r>
      <w:r>
        <w:rPr>
          <w:rFonts w:ascii="Times New Roman" w:hAnsi="Times New Roman" w:cs="Times New Roman"/>
          <w:sz w:val="20"/>
        </w:rPr>
        <w:t xml:space="preserve">learance; Vss: </w:t>
      </w:r>
      <w:r w:rsidRPr="00CB02D8">
        <w:rPr>
          <w:rFonts w:ascii="Times New Roman" w:hAnsi="Times New Roman" w:cs="Times New Roman"/>
          <w:sz w:val="20"/>
        </w:rPr>
        <w:t xml:space="preserve">volume of distribution at steady state based on the last predicted concentration; </w:t>
      </w:r>
      <w:r w:rsidRPr="00096616">
        <w:rPr>
          <w:rFonts w:ascii="Times New Roman" w:hAnsi="Times New Roman" w:cs="Times New Roman"/>
          <w:sz w:val="20"/>
        </w:rPr>
        <w:t>MRT</w:t>
      </w:r>
      <w:r w:rsidRPr="00096616">
        <w:rPr>
          <w:rFonts w:ascii="Times New Roman" w:hAnsi="Times New Roman" w:cs="Times New Roman"/>
          <w:sz w:val="20"/>
          <w:vertAlign w:val="subscript"/>
        </w:rPr>
        <w:t>inf</w:t>
      </w:r>
      <w:r>
        <w:rPr>
          <w:rFonts w:ascii="Times New Roman" w:hAnsi="Times New Roman" w:cs="Times New Roman"/>
          <w:sz w:val="20"/>
        </w:rPr>
        <w:t xml:space="preserve">: </w:t>
      </w:r>
      <w:r w:rsidRPr="00096616">
        <w:rPr>
          <w:rFonts w:ascii="Times New Roman" w:hAnsi="Times New Roman" w:cs="Times New Roman"/>
          <w:sz w:val="20"/>
        </w:rPr>
        <w:t>mean</w:t>
      </w:r>
      <w:r w:rsidRPr="00CB02D8">
        <w:rPr>
          <w:rFonts w:ascii="Times New Roman" w:hAnsi="Times New Roman" w:cs="Times New Roman"/>
          <w:sz w:val="20"/>
        </w:rPr>
        <w:t xml:space="preserve"> residence time extrapolated to infinity based on the las</w:t>
      </w:r>
      <w:r>
        <w:rPr>
          <w:rFonts w:ascii="Times New Roman" w:hAnsi="Times New Roman" w:cs="Times New Roman"/>
          <w:sz w:val="20"/>
        </w:rPr>
        <w:t xml:space="preserve">t predicted concentration; SD: standard deviation; hr: </w:t>
      </w:r>
      <w:r w:rsidRPr="00CB02D8">
        <w:rPr>
          <w:rFonts w:ascii="Times New Roman" w:hAnsi="Times New Roman" w:cs="Times New Roman"/>
          <w:sz w:val="20"/>
        </w:rPr>
        <w:t>hour.</w:t>
      </w:r>
    </w:p>
    <w:p w14:paraId="58EE3DD3" w14:textId="20ACAFE2" w:rsidR="00CB02D8" w:rsidRDefault="00CB02D8" w:rsidP="0051670F">
      <w:pPr>
        <w:rPr>
          <w:rFonts w:ascii="Times New Roman" w:hAnsi="Times New Roman" w:cs="Times New Roman"/>
          <w:b/>
          <w:sz w:val="24"/>
          <w:szCs w:val="24"/>
        </w:rPr>
      </w:pPr>
    </w:p>
    <w:p w14:paraId="10831040" w14:textId="77777777" w:rsidR="002C6E70" w:rsidRDefault="002C6E70" w:rsidP="00CB02D8">
      <w:pPr>
        <w:rPr>
          <w:rFonts w:ascii="Times New Roman" w:hAnsi="Times New Roman" w:cs="Times New Roman"/>
          <w:sz w:val="24"/>
          <w:szCs w:val="24"/>
        </w:rPr>
      </w:pPr>
    </w:p>
    <w:p w14:paraId="468338EB" w14:textId="77777777" w:rsidR="002C6E70" w:rsidRDefault="002C6E70" w:rsidP="00CB02D8">
      <w:pPr>
        <w:rPr>
          <w:rFonts w:ascii="Times New Roman" w:hAnsi="Times New Roman" w:cs="Times New Roman"/>
          <w:sz w:val="24"/>
          <w:szCs w:val="24"/>
        </w:rPr>
      </w:pPr>
    </w:p>
    <w:p w14:paraId="761D5C1B" w14:textId="77777777" w:rsidR="002C6E70" w:rsidRDefault="002C6E70" w:rsidP="00CB02D8">
      <w:pPr>
        <w:rPr>
          <w:rFonts w:ascii="Times New Roman" w:hAnsi="Times New Roman" w:cs="Times New Roman"/>
          <w:sz w:val="24"/>
          <w:szCs w:val="24"/>
        </w:rPr>
      </w:pPr>
    </w:p>
    <w:p w14:paraId="01DE0C6F" w14:textId="77777777" w:rsidR="002C6E70" w:rsidRDefault="002C6E70">
      <w:pPr>
        <w:rPr>
          <w:rFonts w:ascii="Times New Roman" w:hAnsi="Times New Roman" w:cs="Times New Roman"/>
          <w:sz w:val="24"/>
          <w:szCs w:val="24"/>
        </w:rPr>
      </w:pPr>
      <w:r>
        <w:rPr>
          <w:rFonts w:ascii="Times New Roman" w:hAnsi="Times New Roman" w:cs="Times New Roman"/>
          <w:sz w:val="24"/>
          <w:szCs w:val="24"/>
        </w:rPr>
        <w:br w:type="page"/>
      </w:r>
    </w:p>
    <w:p w14:paraId="1BE43537" w14:textId="4AEDE662" w:rsidR="00CB02D8" w:rsidRPr="005C5458" w:rsidRDefault="00CB02D8" w:rsidP="0051670F">
      <w:pPr>
        <w:rPr>
          <w:b/>
        </w:rPr>
      </w:pPr>
      <w:r w:rsidRPr="002C6E70">
        <w:rPr>
          <w:rFonts w:ascii="Times New Roman" w:hAnsi="Times New Roman" w:cs="Times New Roman"/>
          <w:b/>
          <w:sz w:val="24"/>
          <w:szCs w:val="24"/>
        </w:rPr>
        <w:lastRenderedPageBreak/>
        <w:t>Supplemental Table S</w:t>
      </w:r>
      <w:r w:rsidR="001874EF">
        <w:rPr>
          <w:rFonts w:ascii="Times New Roman" w:hAnsi="Times New Roman" w:cs="Times New Roman"/>
          <w:b/>
          <w:sz w:val="24"/>
          <w:szCs w:val="24"/>
        </w:rPr>
        <w:t>6</w:t>
      </w:r>
      <w:r w:rsidR="002C6E70" w:rsidRPr="002C6E70">
        <w:rPr>
          <w:rFonts w:ascii="Times New Roman" w:hAnsi="Times New Roman" w:cs="Times New Roman"/>
          <w:b/>
          <w:sz w:val="24"/>
          <w:szCs w:val="24"/>
        </w:rPr>
        <w:t>.</w:t>
      </w:r>
      <w:r w:rsidRPr="002C6E70">
        <w:rPr>
          <w:rFonts w:ascii="Times New Roman" w:hAnsi="Times New Roman" w:cs="Times New Roman"/>
          <w:b/>
          <w:sz w:val="24"/>
          <w:szCs w:val="24"/>
        </w:rPr>
        <w:t xml:space="preserve"> </w:t>
      </w:r>
      <w:r w:rsidRPr="002C6E70">
        <w:rPr>
          <w:rFonts w:ascii="Times New Roman" w:hAnsi="Times New Roman" w:cs="Times New Roman"/>
          <w:b/>
          <w:sz w:val="24"/>
        </w:rPr>
        <w:t>Summary of unconjugated SYD986 phar</w:t>
      </w:r>
      <w:r w:rsidR="00077B3B">
        <w:rPr>
          <w:rFonts w:ascii="Times New Roman" w:hAnsi="Times New Roman" w:cs="Times New Roman"/>
          <w:b/>
          <w:sz w:val="24"/>
        </w:rPr>
        <w:t>macokinetic parameters from non</w:t>
      </w:r>
      <w:r w:rsidRPr="002C6E70">
        <w:rPr>
          <w:rFonts w:ascii="Times New Roman" w:hAnsi="Times New Roman" w:cs="Times New Roman"/>
          <w:b/>
          <w:sz w:val="24"/>
        </w:rPr>
        <w:t>compartmental analysis of first MGC018 dose data in cynomolgus monkeys</w:t>
      </w:r>
    </w:p>
    <w:p w14:paraId="2B61C08B" w14:textId="47BDA559" w:rsidR="008142CD" w:rsidRDefault="003C5D9A" w:rsidP="00CB02D8">
      <w:pPr>
        <w:rPr>
          <w:rFonts w:ascii="Times New Roman" w:hAnsi="Times New Roman" w:cs="Times New Roman"/>
          <w:sz w:val="20"/>
        </w:rPr>
      </w:pPr>
      <w:r>
        <w:rPr>
          <w:noProof/>
        </w:rPr>
        <w:drawing>
          <wp:inline distT="0" distB="0" distL="0" distR="0" wp14:anchorId="517D351A" wp14:editId="6500F2B9">
            <wp:extent cx="5803271" cy="1535759"/>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24463" cy="1541367"/>
                    </a:xfrm>
                    <a:prstGeom prst="rect">
                      <a:avLst/>
                    </a:prstGeom>
                  </pic:spPr>
                </pic:pic>
              </a:graphicData>
            </a:graphic>
          </wp:inline>
        </w:drawing>
      </w:r>
    </w:p>
    <w:p w14:paraId="3D596E9B" w14:textId="1393E26A" w:rsidR="00CB02D8" w:rsidRPr="00CB02D8" w:rsidRDefault="00CB02D8" w:rsidP="00CB02D8">
      <w:pPr>
        <w:rPr>
          <w:rFonts w:ascii="Times New Roman" w:hAnsi="Times New Roman" w:cs="Times New Roman"/>
          <w:sz w:val="20"/>
        </w:rPr>
      </w:pPr>
      <w:r w:rsidRPr="00CB02D8">
        <w:rPr>
          <w:rFonts w:ascii="Times New Roman" w:hAnsi="Times New Roman" w:cs="Times New Roman"/>
          <w:sz w:val="20"/>
        </w:rPr>
        <w:t>Abbreviations: T</w:t>
      </w:r>
      <w:r w:rsidRPr="00096616">
        <w:rPr>
          <w:rFonts w:ascii="Times New Roman" w:hAnsi="Times New Roman" w:cs="Times New Roman"/>
          <w:sz w:val="20"/>
          <w:vertAlign w:val="subscript"/>
        </w:rPr>
        <w:t>max</w:t>
      </w:r>
      <w:r w:rsidR="00096616">
        <w:rPr>
          <w:rFonts w:ascii="Times New Roman" w:hAnsi="Times New Roman" w:cs="Times New Roman"/>
          <w:sz w:val="20"/>
        </w:rPr>
        <w:t xml:space="preserve">: </w:t>
      </w:r>
      <w:r w:rsidRPr="00CB02D8">
        <w:rPr>
          <w:rFonts w:ascii="Times New Roman" w:hAnsi="Times New Roman" w:cs="Times New Roman"/>
          <w:sz w:val="20"/>
        </w:rPr>
        <w:t>time o</w:t>
      </w:r>
      <w:r w:rsidR="00096616">
        <w:rPr>
          <w:rFonts w:ascii="Times New Roman" w:hAnsi="Times New Roman" w:cs="Times New Roman"/>
          <w:sz w:val="20"/>
        </w:rPr>
        <w:t>f maximal concentration; C</w:t>
      </w:r>
      <w:r w:rsidR="00096616" w:rsidRPr="00096616">
        <w:rPr>
          <w:rFonts w:ascii="Times New Roman" w:hAnsi="Times New Roman" w:cs="Times New Roman"/>
          <w:sz w:val="20"/>
          <w:vertAlign w:val="subscript"/>
        </w:rPr>
        <w:t>max</w:t>
      </w:r>
      <w:r w:rsidR="00096616">
        <w:rPr>
          <w:rFonts w:ascii="Times New Roman" w:hAnsi="Times New Roman" w:cs="Times New Roman"/>
          <w:sz w:val="20"/>
        </w:rPr>
        <w:t xml:space="preserve">: </w:t>
      </w:r>
      <w:r w:rsidRPr="00CB02D8">
        <w:rPr>
          <w:rFonts w:ascii="Times New Roman" w:hAnsi="Times New Roman" w:cs="Times New Roman"/>
          <w:sz w:val="20"/>
        </w:rPr>
        <w:t>observed maximal serum concentration; AUC</w:t>
      </w:r>
      <w:r w:rsidRPr="00CB02D8">
        <w:rPr>
          <w:rFonts w:ascii="Times New Roman" w:hAnsi="Times New Roman" w:cs="Times New Roman"/>
          <w:sz w:val="20"/>
          <w:vertAlign w:val="subscript"/>
        </w:rPr>
        <w:t>last</w:t>
      </w:r>
      <w:r w:rsidR="00096616">
        <w:rPr>
          <w:rFonts w:ascii="Times New Roman" w:hAnsi="Times New Roman" w:cs="Times New Roman"/>
          <w:sz w:val="20"/>
        </w:rPr>
        <w:t xml:space="preserve">: </w:t>
      </w:r>
      <w:r w:rsidRPr="00CB02D8">
        <w:rPr>
          <w:rFonts w:ascii="Times New Roman" w:hAnsi="Times New Roman" w:cs="Times New Roman"/>
          <w:sz w:val="20"/>
        </w:rPr>
        <w:t>area under the concentration curve to the last q</w:t>
      </w:r>
      <w:r w:rsidR="00096616">
        <w:rPr>
          <w:rFonts w:ascii="Times New Roman" w:hAnsi="Times New Roman" w:cs="Times New Roman"/>
          <w:sz w:val="20"/>
        </w:rPr>
        <w:t xml:space="preserve">uantifiable concentration; SD: standard deviation; hr: </w:t>
      </w:r>
      <w:r w:rsidRPr="00CB02D8">
        <w:rPr>
          <w:rFonts w:ascii="Times New Roman" w:hAnsi="Times New Roman" w:cs="Times New Roman"/>
          <w:sz w:val="20"/>
        </w:rPr>
        <w:t>hour.</w:t>
      </w:r>
    </w:p>
    <w:p w14:paraId="1C40F52A" w14:textId="77777777" w:rsidR="00CB02D8" w:rsidRDefault="00CB02D8" w:rsidP="0051670F">
      <w:pPr>
        <w:rPr>
          <w:rFonts w:ascii="Times New Roman" w:hAnsi="Times New Roman" w:cs="Times New Roman"/>
          <w:b/>
          <w:sz w:val="24"/>
          <w:szCs w:val="24"/>
        </w:rPr>
      </w:pPr>
    </w:p>
    <w:p w14:paraId="7DA03B14" w14:textId="1D579113" w:rsidR="00CB02D8" w:rsidRDefault="00CB02D8" w:rsidP="0051670F">
      <w:pPr>
        <w:rPr>
          <w:rFonts w:ascii="Times New Roman" w:hAnsi="Times New Roman" w:cs="Times New Roman"/>
          <w:b/>
          <w:sz w:val="24"/>
          <w:szCs w:val="24"/>
        </w:rPr>
      </w:pPr>
    </w:p>
    <w:p w14:paraId="4365399A" w14:textId="6890B412" w:rsidR="00CB02D8" w:rsidRDefault="00CB02D8" w:rsidP="0051670F">
      <w:pPr>
        <w:rPr>
          <w:rFonts w:ascii="Times New Roman" w:hAnsi="Times New Roman" w:cs="Times New Roman"/>
          <w:b/>
          <w:sz w:val="24"/>
          <w:szCs w:val="24"/>
        </w:rPr>
      </w:pPr>
    </w:p>
    <w:p w14:paraId="1258F866" w14:textId="6FE5B1CB" w:rsidR="00CB02D8" w:rsidRDefault="00CB02D8" w:rsidP="0051670F">
      <w:pPr>
        <w:rPr>
          <w:rFonts w:ascii="Times New Roman" w:hAnsi="Times New Roman" w:cs="Times New Roman"/>
          <w:b/>
          <w:sz w:val="24"/>
          <w:szCs w:val="24"/>
        </w:rPr>
      </w:pPr>
    </w:p>
    <w:p w14:paraId="59E2A252" w14:textId="1A3E6B77" w:rsidR="00CB02D8" w:rsidRDefault="00CB02D8" w:rsidP="0051670F">
      <w:pPr>
        <w:rPr>
          <w:rFonts w:ascii="Times New Roman" w:hAnsi="Times New Roman" w:cs="Times New Roman"/>
          <w:b/>
          <w:sz w:val="24"/>
          <w:szCs w:val="24"/>
        </w:rPr>
      </w:pPr>
    </w:p>
    <w:p w14:paraId="27ED0AEF" w14:textId="77777777" w:rsidR="002C6E70" w:rsidRDefault="002C6E70" w:rsidP="00CB02D8">
      <w:pPr>
        <w:rPr>
          <w:rFonts w:ascii="Times New Roman" w:hAnsi="Times New Roman" w:cs="Times New Roman"/>
          <w:sz w:val="24"/>
          <w:szCs w:val="24"/>
        </w:rPr>
      </w:pPr>
    </w:p>
    <w:p w14:paraId="04B165E2" w14:textId="77777777" w:rsidR="002C6E70" w:rsidRDefault="002C6E70">
      <w:pPr>
        <w:rPr>
          <w:rFonts w:ascii="Times New Roman" w:hAnsi="Times New Roman" w:cs="Times New Roman"/>
          <w:sz w:val="24"/>
          <w:szCs w:val="24"/>
        </w:rPr>
      </w:pPr>
      <w:r>
        <w:rPr>
          <w:rFonts w:ascii="Times New Roman" w:hAnsi="Times New Roman" w:cs="Times New Roman"/>
          <w:sz w:val="24"/>
          <w:szCs w:val="24"/>
        </w:rPr>
        <w:br w:type="page"/>
      </w:r>
    </w:p>
    <w:p w14:paraId="57EE18E9" w14:textId="4A1C99A9" w:rsidR="005E4D66" w:rsidRPr="00371BBC" w:rsidRDefault="00CB02D8" w:rsidP="00CB02D8">
      <w:pPr>
        <w:rPr>
          <w:rFonts w:ascii="Times New Roman" w:hAnsi="Times New Roman" w:cs="Times New Roman"/>
          <w:b/>
          <w:sz w:val="24"/>
          <w:szCs w:val="24"/>
        </w:rPr>
      </w:pPr>
      <w:r w:rsidRPr="002C6E70">
        <w:rPr>
          <w:rFonts w:ascii="Times New Roman" w:hAnsi="Times New Roman" w:cs="Times New Roman"/>
          <w:b/>
          <w:sz w:val="24"/>
          <w:szCs w:val="24"/>
        </w:rPr>
        <w:lastRenderedPageBreak/>
        <w:t>Supplemental Tabl</w:t>
      </w:r>
      <w:r w:rsidR="00436034">
        <w:rPr>
          <w:rFonts w:ascii="Times New Roman" w:hAnsi="Times New Roman" w:cs="Times New Roman"/>
          <w:b/>
          <w:sz w:val="24"/>
          <w:szCs w:val="24"/>
        </w:rPr>
        <w:t>e S7</w:t>
      </w:r>
      <w:r w:rsidR="002C6E70" w:rsidRPr="002C6E70">
        <w:rPr>
          <w:rFonts w:ascii="Times New Roman" w:hAnsi="Times New Roman" w:cs="Times New Roman"/>
          <w:b/>
          <w:sz w:val="24"/>
          <w:szCs w:val="24"/>
        </w:rPr>
        <w:t>.</w:t>
      </w:r>
      <w:r w:rsidRPr="002C6E70">
        <w:rPr>
          <w:rFonts w:ascii="Times New Roman" w:hAnsi="Times New Roman" w:cs="Times New Roman"/>
          <w:b/>
          <w:sz w:val="24"/>
          <w:szCs w:val="24"/>
        </w:rPr>
        <w:t xml:space="preserve"> </w:t>
      </w:r>
      <w:r w:rsidRPr="002C6E70">
        <w:rPr>
          <w:rFonts w:ascii="Times New Roman" w:hAnsi="Times New Roman" w:cs="Times New Roman"/>
          <w:b/>
          <w:sz w:val="24"/>
        </w:rPr>
        <w:t>Summary of total and conjugated antibody phar</w:t>
      </w:r>
      <w:r w:rsidR="00077B3B">
        <w:rPr>
          <w:rFonts w:ascii="Times New Roman" w:hAnsi="Times New Roman" w:cs="Times New Roman"/>
          <w:b/>
          <w:sz w:val="24"/>
        </w:rPr>
        <w:t>macokinetic parameters from non</w:t>
      </w:r>
      <w:r w:rsidRPr="002C6E70">
        <w:rPr>
          <w:rFonts w:ascii="Times New Roman" w:hAnsi="Times New Roman" w:cs="Times New Roman"/>
          <w:b/>
          <w:sz w:val="24"/>
        </w:rPr>
        <w:t>compartmental analysis of first MGC018 dose data in CD1 nude mice or SCID/CES1c knock out mice</w:t>
      </w:r>
    </w:p>
    <w:p w14:paraId="6D4A6FCC" w14:textId="169960EC" w:rsidR="009A0216" w:rsidRDefault="009A0216" w:rsidP="00CB02D8">
      <w:pPr>
        <w:rPr>
          <w:rFonts w:ascii="Times New Roman" w:hAnsi="Times New Roman" w:cs="Times New Roman"/>
          <w:sz w:val="20"/>
        </w:rPr>
      </w:pPr>
      <w:r>
        <w:rPr>
          <w:noProof/>
        </w:rPr>
        <w:drawing>
          <wp:inline distT="0" distB="0" distL="0" distR="0" wp14:anchorId="1527EFF0" wp14:editId="64FAEA82">
            <wp:extent cx="5848269" cy="113341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1211" cy="1139799"/>
                    </a:xfrm>
                    <a:prstGeom prst="rect">
                      <a:avLst/>
                    </a:prstGeom>
                  </pic:spPr>
                </pic:pic>
              </a:graphicData>
            </a:graphic>
          </wp:inline>
        </w:drawing>
      </w:r>
    </w:p>
    <w:p w14:paraId="6600EF08" w14:textId="3EB2D2B6" w:rsidR="00CB02D8" w:rsidRPr="00CB02D8" w:rsidRDefault="00CB02D8" w:rsidP="00CB02D8">
      <w:pPr>
        <w:rPr>
          <w:rFonts w:ascii="Times New Roman" w:hAnsi="Times New Roman" w:cs="Times New Roman"/>
          <w:sz w:val="20"/>
        </w:rPr>
      </w:pPr>
      <w:r w:rsidRPr="00CB02D8">
        <w:rPr>
          <w:rFonts w:ascii="Times New Roman" w:hAnsi="Times New Roman" w:cs="Times New Roman"/>
          <w:sz w:val="20"/>
        </w:rPr>
        <w:t>Abbreviations: T</w:t>
      </w:r>
      <w:r w:rsidRPr="00096616">
        <w:rPr>
          <w:rFonts w:ascii="Times New Roman" w:hAnsi="Times New Roman" w:cs="Times New Roman"/>
          <w:sz w:val="20"/>
          <w:vertAlign w:val="subscript"/>
        </w:rPr>
        <w:t>max</w:t>
      </w:r>
      <w:r w:rsidR="00096616">
        <w:rPr>
          <w:rFonts w:ascii="Times New Roman" w:hAnsi="Times New Roman" w:cs="Times New Roman"/>
          <w:sz w:val="20"/>
        </w:rPr>
        <w:t xml:space="preserve">: </w:t>
      </w:r>
      <w:r w:rsidRPr="00CB02D8">
        <w:rPr>
          <w:rFonts w:ascii="Times New Roman" w:hAnsi="Times New Roman" w:cs="Times New Roman"/>
          <w:sz w:val="20"/>
        </w:rPr>
        <w:t>time of maximal concentration; C</w:t>
      </w:r>
      <w:r w:rsidRPr="00096616">
        <w:rPr>
          <w:rFonts w:ascii="Times New Roman" w:hAnsi="Times New Roman" w:cs="Times New Roman"/>
          <w:sz w:val="20"/>
          <w:vertAlign w:val="subscript"/>
        </w:rPr>
        <w:t>max</w:t>
      </w:r>
      <w:r w:rsidR="00096616">
        <w:rPr>
          <w:rFonts w:ascii="Times New Roman" w:hAnsi="Times New Roman" w:cs="Times New Roman"/>
          <w:sz w:val="20"/>
        </w:rPr>
        <w:t xml:space="preserve">: </w:t>
      </w:r>
      <w:r w:rsidRPr="00CB02D8">
        <w:rPr>
          <w:rFonts w:ascii="Times New Roman" w:hAnsi="Times New Roman" w:cs="Times New Roman"/>
          <w:sz w:val="20"/>
        </w:rPr>
        <w:t>observed maximal serum concentration; AUC</w:t>
      </w:r>
      <w:r w:rsidRPr="00CB02D8">
        <w:rPr>
          <w:rFonts w:ascii="Times New Roman" w:hAnsi="Times New Roman" w:cs="Times New Roman"/>
          <w:sz w:val="20"/>
          <w:vertAlign w:val="subscript"/>
        </w:rPr>
        <w:t>last</w:t>
      </w:r>
      <w:r w:rsidR="00096616">
        <w:rPr>
          <w:rFonts w:ascii="Times New Roman" w:hAnsi="Times New Roman" w:cs="Times New Roman"/>
          <w:sz w:val="20"/>
        </w:rPr>
        <w:t xml:space="preserve">: </w:t>
      </w:r>
      <w:r w:rsidRPr="00CB02D8">
        <w:rPr>
          <w:rFonts w:ascii="Times New Roman" w:hAnsi="Times New Roman" w:cs="Times New Roman"/>
          <w:sz w:val="20"/>
        </w:rPr>
        <w:t>area under the concentration curve to the last quantifiable concentration; AUC</w:t>
      </w:r>
      <w:r w:rsidR="00B70A24">
        <w:rPr>
          <w:rFonts w:ascii="Times New Roman" w:hAnsi="Times New Roman" w:cs="Times New Roman"/>
          <w:sz w:val="20"/>
          <w:vertAlign w:val="subscript"/>
        </w:rPr>
        <w:t>inf</w:t>
      </w:r>
      <w:r w:rsidR="00096616">
        <w:rPr>
          <w:rFonts w:ascii="Times New Roman" w:hAnsi="Times New Roman" w:cs="Times New Roman"/>
          <w:sz w:val="20"/>
        </w:rPr>
        <w:t xml:space="preserve">: </w:t>
      </w:r>
      <w:r w:rsidRPr="00CB02D8">
        <w:rPr>
          <w:rFonts w:ascii="Times New Roman" w:hAnsi="Times New Roman" w:cs="Times New Roman"/>
          <w:sz w:val="20"/>
        </w:rPr>
        <w:t xml:space="preserve">area under the concentration curve extrapolated to infinity based on the last predicted concentration; </w:t>
      </w:r>
      <w:r w:rsidR="00B70A24">
        <w:rPr>
          <w:rFonts w:ascii="Times New Roman" w:hAnsi="Times New Roman" w:cs="Times New Roman"/>
          <w:sz w:val="20"/>
        </w:rPr>
        <w:t>t</w:t>
      </w:r>
      <w:r w:rsidRPr="00CB02D8">
        <w:rPr>
          <w:rFonts w:ascii="Times New Roman" w:hAnsi="Times New Roman" w:cs="Times New Roman"/>
          <w:sz w:val="20"/>
          <w:vertAlign w:val="subscript"/>
        </w:rPr>
        <w:t>1/2</w:t>
      </w:r>
      <w:r w:rsidR="00096616">
        <w:rPr>
          <w:rFonts w:ascii="Times New Roman" w:hAnsi="Times New Roman" w:cs="Times New Roman"/>
          <w:sz w:val="20"/>
        </w:rPr>
        <w:t xml:space="preserve">: </w:t>
      </w:r>
      <w:r w:rsidRPr="00CB02D8">
        <w:rPr>
          <w:rFonts w:ascii="Times New Roman" w:hAnsi="Times New Roman" w:cs="Times New Roman"/>
          <w:sz w:val="20"/>
        </w:rPr>
        <w:t>termi</w:t>
      </w:r>
      <w:r w:rsidR="00096616">
        <w:rPr>
          <w:rFonts w:ascii="Times New Roman" w:hAnsi="Times New Roman" w:cs="Times New Roman"/>
          <w:sz w:val="20"/>
        </w:rPr>
        <w:t>nal elimination half-life; C</w:t>
      </w:r>
      <w:r w:rsidR="000F0C02">
        <w:rPr>
          <w:rFonts w:ascii="Times New Roman" w:hAnsi="Times New Roman" w:cs="Times New Roman"/>
          <w:sz w:val="20"/>
        </w:rPr>
        <w:t>L</w:t>
      </w:r>
      <w:r w:rsidR="00096616">
        <w:rPr>
          <w:rFonts w:ascii="Times New Roman" w:hAnsi="Times New Roman" w:cs="Times New Roman"/>
          <w:sz w:val="20"/>
        </w:rPr>
        <w:t xml:space="preserve">: </w:t>
      </w:r>
      <w:r w:rsidRPr="00CB02D8">
        <w:rPr>
          <w:rFonts w:ascii="Times New Roman" w:hAnsi="Times New Roman" w:cs="Times New Roman"/>
          <w:sz w:val="20"/>
        </w:rPr>
        <w:t>predi</w:t>
      </w:r>
      <w:r w:rsidR="00096616">
        <w:rPr>
          <w:rFonts w:ascii="Times New Roman" w:hAnsi="Times New Roman" w:cs="Times New Roman"/>
          <w:sz w:val="20"/>
        </w:rPr>
        <w:t xml:space="preserve">cted total body clearance; hr: </w:t>
      </w:r>
      <w:r w:rsidRPr="00CB02D8">
        <w:rPr>
          <w:rFonts w:ascii="Times New Roman" w:hAnsi="Times New Roman" w:cs="Times New Roman"/>
          <w:sz w:val="20"/>
        </w:rPr>
        <w:t>hour</w:t>
      </w:r>
      <w:r w:rsidR="002B58C8">
        <w:rPr>
          <w:rFonts w:ascii="Times New Roman" w:hAnsi="Times New Roman" w:cs="Times New Roman"/>
          <w:sz w:val="20"/>
        </w:rPr>
        <w:t>; KO: knockout</w:t>
      </w:r>
      <w:r w:rsidRPr="00CB02D8">
        <w:rPr>
          <w:rFonts w:ascii="Times New Roman" w:hAnsi="Times New Roman" w:cs="Times New Roman"/>
          <w:sz w:val="20"/>
        </w:rPr>
        <w:t>.</w:t>
      </w:r>
    </w:p>
    <w:p w14:paraId="7D898335" w14:textId="01518201" w:rsidR="00CB02D8" w:rsidRDefault="00CB02D8" w:rsidP="0051670F">
      <w:pPr>
        <w:rPr>
          <w:rFonts w:ascii="Times New Roman" w:hAnsi="Times New Roman" w:cs="Times New Roman"/>
          <w:b/>
          <w:sz w:val="24"/>
          <w:szCs w:val="24"/>
        </w:rPr>
      </w:pPr>
    </w:p>
    <w:p w14:paraId="48397D6C" w14:textId="77777777" w:rsidR="002C6E70" w:rsidRDefault="002C6E70" w:rsidP="00CB02D8">
      <w:pPr>
        <w:rPr>
          <w:rFonts w:ascii="Times New Roman" w:hAnsi="Times New Roman" w:cs="Times New Roman"/>
          <w:sz w:val="24"/>
          <w:szCs w:val="24"/>
        </w:rPr>
      </w:pPr>
    </w:p>
    <w:p w14:paraId="3A598026" w14:textId="77777777" w:rsidR="002C6E70" w:rsidRDefault="002C6E70" w:rsidP="00CB02D8">
      <w:pPr>
        <w:rPr>
          <w:rFonts w:ascii="Times New Roman" w:hAnsi="Times New Roman" w:cs="Times New Roman"/>
          <w:sz w:val="24"/>
          <w:szCs w:val="24"/>
        </w:rPr>
      </w:pPr>
    </w:p>
    <w:p w14:paraId="64B24D5A" w14:textId="77777777" w:rsidR="002C6E70" w:rsidRDefault="002C6E70" w:rsidP="00CB02D8">
      <w:pPr>
        <w:rPr>
          <w:rFonts w:ascii="Times New Roman" w:hAnsi="Times New Roman" w:cs="Times New Roman"/>
          <w:sz w:val="24"/>
          <w:szCs w:val="24"/>
        </w:rPr>
      </w:pPr>
    </w:p>
    <w:p w14:paraId="7D6A64BF" w14:textId="11E4E456" w:rsidR="000A59EE" w:rsidRPr="00436034" w:rsidRDefault="002C6E70" w:rsidP="000A59EE">
      <w:pPr>
        <w:rPr>
          <w:rFonts w:ascii="Times New Roman" w:hAnsi="Times New Roman" w:cs="Times New Roman"/>
          <w:sz w:val="24"/>
          <w:szCs w:val="24"/>
        </w:rPr>
      </w:pPr>
      <w:r>
        <w:rPr>
          <w:rFonts w:ascii="Times New Roman" w:hAnsi="Times New Roman" w:cs="Times New Roman"/>
          <w:sz w:val="24"/>
          <w:szCs w:val="24"/>
        </w:rPr>
        <w:br w:type="page"/>
      </w:r>
      <w:r w:rsidR="000A59EE" w:rsidRPr="004529C0">
        <w:rPr>
          <w:rFonts w:ascii="Times New Roman" w:hAnsi="Times New Roman" w:cs="Times New Roman"/>
          <w:b/>
          <w:sz w:val="24"/>
          <w:szCs w:val="24"/>
        </w:rPr>
        <w:lastRenderedPageBreak/>
        <w:t>Supplemental Figure S1</w:t>
      </w:r>
    </w:p>
    <w:p w14:paraId="4A072298" w14:textId="77777777" w:rsidR="000A59EE" w:rsidRPr="002C6E70" w:rsidRDefault="000A59EE" w:rsidP="000A59EE">
      <w:pPr>
        <w:rPr>
          <w:b/>
        </w:rPr>
      </w:pPr>
    </w:p>
    <w:p w14:paraId="1B758556" w14:textId="77777777" w:rsidR="000A59EE" w:rsidRPr="000A59EE" w:rsidRDefault="000A59EE" w:rsidP="000A59EE">
      <w:pPr>
        <w:keepNext/>
        <w:spacing w:before="40" w:after="40" w:line="300" w:lineRule="auto"/>
        <w:rPr>
          <w:rFonts w:ascii="Times New Roman" w:eastAsia="Times New Roman" w:hAnsi="Times New Roman" w:cs="Times New Roman"/>
          <w:b/>
          <w:kern w:val="20"/>
          <w:sz w:val="20"/>
          <w:szCs w:val="24"/>
        </w:rPr>
      </w:pPr>
      <w:r w:rsidRPr="000A59EE">
        <w:rPr>
          <w:rFonts w:ascii="Times New Roman" w:eastAsia="Times New Roman" w:hAnsi="Times New Roman" w:cs="Times New Roman"/>
          <w:b/>
          <w:kern w:val="20"/>
          <w:sz w:val="20"/>
          <w:szCs w:val="24"/>
        </w:rPr>
        <w:t>Light Chain Amino Acid Sequence</w:t>
      </w:r>
    </w:p>
    <w:p w14:paraId="0688F595" w14:textId="77777777" w:rsidR="000A59EE" w:rsidRPr="000A59EE" w:rsidRDefault="000A59EE" w:rsidP="000A59EE">
      <w:pPr>
        <w:spacing w:line="256" w:lineRule="auto"/>
        <w:rPr>
          <w:rFonts w:ascii="Times New Roman" w:eastAsia="Times New Roman" w:hAnsi="Times New Roman" w:cs="Times New Roman"/>
          <w:kern w:val="24"/>
          <w:sz w:val="20"/>
          <w:szCs w:val="20"/>
        </w:rPr>
      </w:pPr>
      <w:r w:rsidRPr="000A59EE">
        <w:rPr>
          <w:rFonts w:ascii="Times New Roman" w:eastAsia="Times New Roman" w:hAnsi="Times New Roman" w:cs="Times New Roman"/>
          <w:kern w:val="24"/>
          <w:sz w:val="20"/>
          <w:szCs w:val="20"/>
        </w:rPr>
        <w:t>1</w:t>
      </w:r>
      <w:r w:rsidRPr="000A59EE">
        <w:rPr>
          <w:rFonts w:ascii="Times New Roman" w:eastAsia="Times New Roman" w:hAnsi="Times New Roman" w:cs="Times New Roman"/>
          <w:kern w:val="24"/>
          <w:sz w:val="20"/>
          <w:szCs w:val="20"/>
        </w:rPr>
        <w:tab/>
        <w:t>DIQMTQSPSSLSASVGDRVTITCRASESIYSYLAWYQQKPGKAPKLLVYN</w:t>
      </w:r>
    </w:p>
    <w:p w14:paraId="4F421797" w14:textId="77777777" w:rsidR="000A59EE" w:rsidRPr="000A59EE" w:rsidRDefault="000A59EE" w:rsidP="000A59EE">
      <w:pPr>
        <w:spacing w:line="256" w:lineRule="auto"/>
        <w:rPr>
          <w:rFonts w:ascii="Times New Roman" w:eastAsia="Times New Roman" w:hAnsi="Times New Roman" w:cs="Times New Roman"/>
          <w:kern w:val="24"/>
          <w:sz w:val="20"/>
          <w:szCs w:val="20"/>
        </w:rPr>
      </w:pPr>
      <w:r w:rsidRPr="000A59EE">
        <w:rPr>
          <w:rFonts w:ascii="Times New Roman" w:eastAsia="Times New Roman" w:hAnsi="Times New Roman" w:cs="Times New Roman"/>
          <w:kern w:val="24"/>
          <w:sz w:val="20"/>
          <w:szCs w:val="20"/>
        </w:rPr>
        <w:t>51</w:t>
      </w:r>
      <w:r w:rsidRPr="000A59EE">
        <w:rPr>
          <w:rFonts w:ascii="Times New Roman" w:eastAsia="Times New Roman" w:hAnsi="Times New Roman" w:cs="Times New Roman"/>
          <w:kern w:val="24"/>
          <w:sz w:val="20"/>
          <w:szCs w:val="20"/>
        </w:rPr>
        <w:tab/>
        <w:t>TKTLPEGVPSRFSGSGSGTDFTLTISSLQPEDFATYYCQHHYGTPPWTFG</w:t>
      </w:r>
    </w:p>
    <w:p w14:paraId="358FDA1E" w14:textId="77777777" w:rsidR="000A59EE" w:rsidRPr="000A59EE" w:rsidRDefault="000A59EE" w:rsidP="000A59EE">
      <w:pPr>
        <w:spacing w:line="256" w:lineRule="auto"/>
        <w:rPr>
          <w:rFonts w:ascii="Times New Roman" w:eastAsia="Times New Roman" w:hAnsi="Times New Roman" w:cs="Times New Roman"/>
          <w:kern w:val="24"/>
          <w:sz w:val="20"/>
          <w:szCs w:val="20"/>
        </w:rPr>
      </w:pPr>
      <w:r w:rsidRPr="000A59EE">
        <w:rPr>
          <w:rFonts w:ascii="Times New Roman" w:eastAsia="Times New Roman" w:hAnsi="Times New Roman" w:cs="Times New Roman"/>
          <w:kern w:val="24"/>
          <w:sz w:val="20"/>
          <w:szCs w:val="20"/>
        </w:rPr>
        <w:t>101</w:t>
      </w:r>
      <w:r w:rsidRPr="000A59EE">
        <w:rPr>
          <w:rFonts w:ascii="Times New Roman" w:eastAsia="Times New Roman" w:hAnsi="Times New Roman" w:cs="Times New Roman"/>
          <w:kern w:val="24"/>
          <w:sz w:val="20"/>
          <w:szCs w:val="20"/>
        </w:rPr>
        <w:tab/>
        <w:t>QGTRLEIKRTVAAPSVFIFPPSDEQLKSGTASVVCLLNNFYPREAKVQWK</w:t>
      </w:r>
    </w:p>
    <w:p w14:paraId="6AAF77B4" w14:textId="77777777" w:rsidR="000A59EE" w:rsidRPr="000A59EE" w:rsidRDefault="000A59EE" w:rsidP="000A59EE">
      <w:pPr>
        <w:spacing w:line="256" w:lineRule="auto"/>
        <w:rPr>
          <w:rFonts w:ascii="Times New Roman" w:eastAsia="Times New Roman" w:hAnsi="Times New Roman" w:cs="Times New Roman"/>
          <w:kern w:val="24"/>
          <w:sz w:val="20"/>
          <w:szCs w:val="20"/>
        </w:rPr>
      </w:pPr>
      <w:r w:rsidRPr="000A59EE">
        <w:rPr>
          <w:rFonts w:ascii="Times New Roman" w:eastAsia="Times New Roman" w:hAnsi="Times New Roman" w:cs="Times New Roman"/>
          <w:kern w:val="24"/>
          <w:sz w:val="20"/>
          <w:szCs w:val="20"/>
        </w:rPr>
        <w:t>151</w:t>
      </w:r>
      <w:r w:rsidRPr="000A59EE">
        <w:rPr>
          <w:rFonts w:ascii="Times New Roman" w:eastAsia="Times New Roman" w:hAnsi="Times New Roman" w:cs="Times New Roman"/>
          <w:kern w:val="24"/>
          <w:sz w:val="20"/>
          <w:szCs w:val="20"/>
        </w:rPr>
        <w:tab/>
        <w:t>VDNALQSGNSQESVTEQDSKDSTYSLSSTLTLSKADYEKHKVYACEVTHQ</w:t>
      </w:r>
    </w:p>
    <w:p w14:paraId="6890272E" w14:textId="77777777" w:rsidR="000A59EE" w:rsidRPr="000A59EE" w:rsidRDefault="000A59EE" w:rsidP="000A59EE">
      <w:pPr>
        <w:spacing w:line="256" w:lineRule="auto"/>
        <w:rPr>
          <w:rFonts w:ascii="Times New Roman" w:eastAsia="Times New Roman" w:hAnsi="Times New Roman" w:cs="Times New Roman"/>
          <w:kern w:val="24"/>
          <w:sz w:val="20"/>
          <w:szCs w:val="20"/>
        </w:rPr>
      </w:pPr>
      <w:r w:rsidRPr="000A59EE">
        <w:rPr>
          <w:rFonts w:ascii="Times New Roman" w:eastAsia="Times New Roman" w:hAnsi="Times New Roman" w:cs="Times New Roman"/>
          <w:kern w:val="24"/>
          <w:sz w:val="20"/>
          <w:szCs w:val="20"/>
        </w:rPr>
        <w:t>201</w:t>
      </w:r>
      <w:r w:rsidRPr="000A59EE">
        <w:rPr>
          <w:rFonts w:ascii="Times New Roman" w:eastAsia="Times New Roman" w:hAnsi="Times New Roman" w:cs="Times New Roman"/>
          <w:kern w:val="24"/>
          <w:sz w:val="20"/>
          <w:szCs w:val="20"/>
        </w:rPr>
        <w:tab/>
        <w:t>GLSSPVTKSFNRGE</w:t>
      </w:r>
      <w:r w:rsidRPr="000A59EE">
        <w:rPr>
          <w:rFonts w:ascii="Times New Roman" w:eastAsia="Times New Roman" w:hAnsi="Times New Roman" w:cs="Times New Roman"/>
          <w:kern w:val="24"/>
          <w:sz w:val="20"/>
          <w:szCs w:val="20"/>
          <w:highlight w:val="lightGray"/>
        </w:rPr>
        <w:t>C</w:t>
      </w:r>
    </w:p>
    <w:p w14:paraId="7D3BF409" w14:textId="77777777" w:rsidR="000A59EE" w:rsidRPr="000A59EE" w:rsidRDefault="000A59EE" w:rsidP="000A59EE">
      <w:pPr>
        <w:keepNext/>
        <w:spacing w:before="40" w:after="40" w:line="300" w:lineRule="auto"/>
        <w:rPr>
          <w:rFonts w:ascii="Times New Roman" w:eastAsia="Times New Roman" w:hAnsi="Times New Roman" w:cs="Times New Roman"/>
          <w:b/>
          <w:kern w:val="20"/>
          <w:sz w:val="20"/>
          <w:szCs w:val="24"/>
        </w:rPr>
      </w:pPr>
      <w:r w:rsidRPr="000A59EE">
        <w:rPr>
          <w:rFonts w:ascii="Times New Roman" w:eastAsia="Times New Roman" w:hAnsi="Times New Roman" w:cs="Times New Roman"/>
          <w:b/>
          <w:kern w:val="20"/>
          <w:sz w:val="20"/>
          <w:szCs w:val="24"/>
        </w:rPr>
        <w:t>Heavy Chain Amino Acid Sequence</w:t>
      </w:r>
    </w:p>
    <w:p w14:paraId="000E05CB" w14:textId="77777777" w:rsidR="000A59EE" w:rsidRPr="000A59EE" w:rsidRDefault="000A59EE" w:rsidP="000A59EE">
      <w:pPr>
        <w:spacing w:line="256" w:lineRule="auto"/>
        <w:rPr>
          <w:rFonts w:ascii="Times New Roman" w:eastAsia="Times New Roman" w:hAnsi="Times New Roman" w:cs="Times New Roman"/>
          <w:kern w:val="24"/>
          <w:sz w:val="20"/>
          <w:szCs w:val="20"/>
        </w:rPr>
      </w:pPr>
      <w:r w:rsidRPr="000A59EE">
        <w:rPr>
          <w:rFonts w:ascii="Times New Roman" w:eastAsia="Times New Roman" w:hAnsi="Times New Roman" w:cs="Times New Roman"/>
          <w:kern w:val="24"/>
          <w:sz w:val="20"/>
          <w:szCs w:val="20"/>
        </w:rPr>
        <w:t>1</w:t>
      </w:r>
      <w:r w:rsidRPr="000A59EE">
        <w:rPr>
          <w:rFonts w:ascii="Times New Roman" w:eastAsia="Times New Roman" w:hAnsi="Times New Roman" w:cs="Times New Roman"/>
          <w:kern w:val="24"/>
          <w:sz w:val="20"/>
          <w:szCs w:val="20"/>
        </w:rPr>
        <w:tab/>
        <w:t>EVQLVESGGGLVKPGGSLRLSCAASGFTFSSYGMSWVRQAPGKGLEWVAT</w:t>
      </w:r>
    </w:p>
    <w:p w14:paraId="3500EE6D" w14:textId="77777777" w:rsidR="000A59EE" w:rsidRPr="000A59EE" w:rsidRDefault="000A59EE" w:rsidP="000A59EE">
      <w:pPr>
        <w:spacing w:line="256" w:lineRule="auto"/>
        <w:rPr>
          <w:rFonts w:ascii="Times New Roman" w:eastAsia="Times New Roman" w:hAnsi="Times New Roman" w:cs="Times New Roman"/>
          <w:kern w:val="24"/>
          <w:sz w:val="20"/>
          <w:szCs w:val="20"/>
        </w:rPr>
      </w:pPr>
      <w:r w:rsidRPr="000A59EE">
        <w:rPr>
          <w:rFonts w:ascii="Times New Roman" w:eastAsia="Times New Roman" w:hAnsi="Times New Roman" w:cs="Times New Roman"/>
          <w:kern w:val="24"/>
          <w:sz w:val="20"/>
          <w:szCs w:val="20"/>
        </w:rPr>
        <w:t>51</w:t>
      </w:r>
      <w:r w:rsidRPr="000A59EE">
        <w:rPr>
          <w:rFonts w:ascii="Times New Roman" w:eastAsia="Times New Roman" w:hAnsi="Times New Roman" w:cs="Times New Roman"/>
          <w:kern w:val="24"/>
          <w:sz w:val="20"/>
          <w:szCs w:val="20"/>
        </w:rPr>
        <w:tab/>
        <w:t xml:space="preserve">INSGGSNTYYPDSLKGRFTISRDNAKNSLYLQMNSLRAEDTAVYYCARHD </w:t>
      </w:r>
    </w:p>
    <w:p w14:paraId="7FC78F7B" w14:textId="77777777" w:rsidR="000A59EE" w:rsidRPr="000A59EE" w:rsidRDefault="000A59EE" w:rsidP="000A59EE">
      <w:pPr>
        <w:spacing w:line="256" w:lineRule="auto"/>
        <w:rPr>
          <w:rFonts w:ascii="Times New Roman" w:eastAsia="Times New Roman" w:hAnsi="Times New Roman" w:cs="Times New Roman"/>
          <w:kern w:val="24"/>
          <w:sz w:val="20"/>
          <w:szCs w:val="20"/>
        </w:rPr>
      </w:pPr>
      <w:r w:rsidRPr="000A59EE">
        <w:rPr>
          <w:rFonts w:ascii="Times New Roman" w:eastAsia="Times New Roman" w:hAnsi="Times New Roman" w:cs="Times New Roman"/>
          <w:kern w:val="24"/>
          <w:sz w:val="20"/>
          <w:szCs w:val="20"/>
        </w:rPr>
        <w:t>101</w:t>
      </w:r>
      <w:r w:rsidRPr="000A59EE">
        <w:rPr>
          <w:rFonts w:ascii="Times New Roman" w:eastAsia="Times New Roman" w:hAnsi="Times New Roman" w:cs="Times New Roman"/>
          <w:kern w:val="24"/>
          <w:sz w:val="20"/>
          <w:szCs w:val="20"/>
        </w:rPr>
        <w:tab/>
        <w:t>GGAMDYWGQGTTVTVSSASTKGPSVFPLAPSSKSTSGGTAALGCLVKDYF</w:t>
      </w:r>
    </w:p>
    <w:p w14:paraId="25D85EE4" w14:textId="77777777" w:rsidR="000A59EE" w:rsidRPr="000A59EE" w:rsidRDefault="000A59EE" w:rsidP="000A59EE">
      <w:pPr>
        <w:spacing w:line="256" w:lineRule="auto"/>
        <w:rPr>
          <w:rFonts w:ascii="Times New Roman" w:eastAsia="Times New Roman" w:hAnsi="Times New Roman" w:cs="Times New Roman"/>
          <w:kern w:val="24"/>
          <w:sz w:val="20"/>
          <w:szCs w:val="20"/>
        </w:rPr>
      </w:pPr>
      <w:r w:rsidRPr="000A59EE">
        <w:rPr>
          <w:rFonts w:ascii="Times New Roman" w:eastAsia="Times New Roman" w:hAnsi="Times New Roman" w:cs="Times New Roman"/>
          <w:kern w:val="24"/>
          <w:sz w:val="20"/>
          <w:szCs w:val="20"/>
        </w:rPr>
        <w:t>151</w:t>
      </w:r>
      <w:r w:rsidRPr="000A59EE">
        <w:rPr>
          <w:rFonts w:ascii="Times New Roman" w:eastAsia="Times New Roman" w:hAnsi="Times New Roman" w:cs="Times New Roman"/>
          <w:kern w:val="24"/>
          <w:sz w:val="20"/>
          <w:szCs w:val="20"/>
        </w:rPr>
        <w:tab/>
        <w:t xml:space="preserve">PEPVTVSWNSGALTSGVHTFPAVLQSSGLYSLSSVVTVPSSSLGTQTYIC   </w:t>
      </w:r>
    </w:p>
    <w:p w14:paraId="78BD1862" w14:textId="77777777" w:rsidR="000A59EE" w:rsidRPr="000A59EE" w:rsidRDefault="000A59EE" w:rsidP="000A59EE">
      <w:pPr>
        <w:spacing w:line="256" w:lineRule="auto"/>
        <w:rPr>
          <w:rFonts w:ascii="Times New Roman" w:eastAsia="Times New Roman" w:hAnsi="Times New Roman" w:cs="Times New Roman"/>
          <w:kern w:val="24"/>
          <w:sz w:val="20"/>
          <w:szCs w:val="20"/>
        </w:rPr>
      </w:pPr>
      <w:r w:rsidRPr="000A59EE">
        <w:rPr>
          <w:rFonts w:ascii="Times New Roman" w:eastAsia="Times New Roman" w:hAnsi="Times New Roman" w:cs="Times New Roman"/>
          <w:kern w:val="24"/>
          <w:sz w:val="20"/>
          <w:szCs w:val="20"/>
        </w:rPr>
        <w:t>201</w:t>
      </w:r>
      <w:r w:rsidRPr="000A59EE">
        <w:rPr>
          <w:rFonts w:ascii="Times New Roman" w:eastAsia="Times New Roman" w:hAnsi="Times New Roman" w:cs="Times New Roman"/>
          <w:kern w:val="24"/>
          <w:sz w:val="20"/>
          <w:szCs w:val="20"/>
        </w:rPr>
        <w:tab/>
        <w:t>NVNHKPSNTKVDKRVEPKS</w:t>
      </w:r>
      <w:r w:rsidRPr="000A59EE">
        <w:rPr>
          <w:rFonts w:ascii="Times New Roman" w:eastAsia="Times New Roman" w:hAnsi="Times New Roman" w:cs="Times New Roman"/>
          <w:kern w:val="24"/>
          <w:sz w:val="20"/>
          <w:szCs w:val="20"/>
          <w:highlight w:val="lightGray"/>
        </w:rPr>
        <w:t>C</w:t>
      </w:r>
      <w:r w:rsidRPr="000A59EE">
        <w:rPr>
          <w:rFonts w:ascii="Times New Roman" w:eastAsia="Times New Roman" w:hAnsi="Times New Roman" w:cs="Times New Roman"/>
          <w:kern w:val="24"/>
          <w:sz w:val="20"/>
          <w:szCs w:val="20"/>
        </w:rPr>
        <w:t>DKTHT</w:t>
      </w:r>
      <w:r w:rsidRPr="000A59EE">
        <w:rPr>
          <w:rFonts w:ascii="Times New Roman" w:eastAsia="Times New Roman" w:hAnsi="Times New Roman" w:cs="Times New Roman"/>
          <w:kern w:val="24"/>
          <w:sz w:val="20"/>
          <w:szCs w:val="20"/>
          <w:highlight w:val="lightGray"/>
        </w:rPr>
        <w:t>C</w:t>
      </w:r>
      <w:r w:rsidRPr="000A59EE">
        <w:rPr>
          <w:rFonts w:ascii="Times New Roman" w:eastAsia="Times New Roman" w:hAnsi="Times New Roman" w:cs="Times New Roman"/>
          <w:kern w:val="24"/>
          <w:sz w:val="20"/>
          <w:szCs w:val="20"/>
        </w:rPr>
        <w:t>PP</w:t>
      </w:r>
      <w:r w:rsidRPr="000A59EE">
        <w:rPr>
          <w:rFonts w:ascii="Times New Roman" w:eastAsia="Times New Roman" w:hAnsi="Times New Roman" w:cs="Times New Roman"/>
          <w:kern w:val="24"/>
          <w:sz w:val="20"/>
          <w:szCs w:val="20"/>
          <w:highlight w:val="lightGray"/>
        </w:rPr>
        <w:t>C</w:t>
      </w:r>
      <w:r w:rsidRPr="000A59EE">
        <w:rPr>
          <w:rFonts w:ascii="Times New Roman" w:eastAsia="Times New Roman" w:hAnsi="Times New Roman" w:cs="Times New Roman"/>
          <w:kern w:val="24"/>
          <w:sz w:val="20"/>
          <w:szCs w:val="20"/>
        </w:rPr>
        <w:t>PAPELLGGPSVFLFPPKPKDT</w:t>
      </w:r>
    </w:p>
    <w:p w14:paraId="095D535A" w14:textId="77777777" w:rsidR="000A59EE" w:rsidRPr="000A59EE" w:rsidRDefault="000A59EE" w:rsidP="000A59EE">
      <w:pPr>
        <w:spacing w:line="256" w:lineRule="auto"/>
        <w:rPr>
          <w:rFonts w:ascii="Times New Roman" w:eastAsia="Times New Roman" w:hAnsi="Times New Roman" w:cs="Times New Roman"/>
          <w:kern w:val="24"/>
          <w:sz w:val="20"/>
          <w:szCs w:val="20"/>
        </w:rPr>
      </w:pPr>
      <w:r w:rsidRPr="000A59EE">
        <w:rPr>
          <w:rFonts w:ascii="Times New Roman" w:eastAsia="Times New Roman" w:hAnsi="Times New Roman" w:cs="Times New Roman"/>
          <w:kern w:val="24"/>
          <w:sz w:val="20"/>
          <w:szCs w:val="20"/>
        </w:rPr>
        <w:t>251</w:t>
      </w:r>
      <w:r w:rsidRPr="000A59EE">
        <w:rPr>
          <w:rFonts w:ascii="Times New Roman" w:eastAsia="Times New Roman" w:hAnsi="Times New Roman" w:cs="Times New Roman"/>
          <w:kern w:val="24"/>
          <w:sz w:val="20"/>
          <w:szCs w:val="20"/>
        </w:rPr>
        <w:tab/>
        <w:t>LMISRTPEVTCVVVDVSHEDPEVKFNWYVDGVEVHNAKTKPREEQYNSTY</w:t>
      </w:r>
    </w:p>
    <w:p w14:paraId="5C535EF6" w14:textId="77777777" w:rsidR="000A59EE" w:rsidRPr="000A59EE" w:rsidRDefault="000A59EE" w:rsidP="000A59EE">
      <w:pPr>
        <w:spacing w:line="256" w:lineRule="auto"/>
        <w:rPr>
          <w:rFonts w:ascii="Times New Roman" w:eastAsia="Times New Roman" w:hAnsi="Times New Roman" w:cs="Times New Roman"/>
          <w:kern w:val="24"/>
          <w:sz w:val="20"/>
          <w:szCs w:val="20"/>
        </w:rPr>
      </w:pPr>
      <w:r w:rsidRPr="000A59EE">
        <w:rPr>
          <w:rFonts w:ascii="Times New Roman" w:eastAsia="Times New Roman" w:hAnsi="Times New Roman" w:cs="Times New Roman"/>
          <w:kern w:val="24"/>
          <w:sz w:val="20"/>
          <w:szCs w:val="20"/>
        </w:rPr>
        <w:t>301</w:t>
      </w:r>
      <w:r w:rsidRPr="000A59EE">
        <w:rPr>
          <w:rFonts w:ascii="Times New Roman" w:eastAsia="Times New Roman" w:hAnsi="Times New Roman" w:cs="Times New Roman"/>
          <w:kern w:val="24"/>
          <w:sz w:val="20"/>
          <w:szCs w:val="20"/>
        </w:rPr>
        <w:tab/>
        <w:t>RVVSVLTVLHQDWLNGKEYKCKVSNKALPAPIEKTISKAKGQPREPQVYT</w:t>
      </w:r>
    </w:p>
    <w:p w14:paraId="056EF736" w14:textId="77777777" w:rsidR="000A59EE" w:rsidRPr="000A59EE" w:rsidRDefault="000A59EE" w:rsidP="000A59EE">
      <w:pPr>
        <w:spacing w:line="256" w:lineRule="auto"/>
        <w:rPr>
          <w:rFonts w:ascii="Times New Roman" w:eastAsia="Times New Roman" w:hAnsi="Times New Roman" w:cs="Times New Roman"/>
          <w:kern w:val="24"/>
          <w:sz w:val="20"/>
          <w:szCs w:val="20"/>
        </w:rPr>
      </w:pPr>
      <w:r w:rsidRPr="000A59EE">
        <w:rPr>
          <w:rFonts w:ascii="Times New Roman" w:eastAsia="Times New Roman" w:hAnsi="Times New Roman" w:cs="Times New Roman"/>
          <w:kern w:val="24"/>
          <w:sz w:val="20"/>
          <w:szCs w:val="20"/>
        </w:rPr>
        <w:t>351</w:t>
      </w:r>
      <w:r w:rsidRPr="000A59EE">
        <w:rPr>
          <w:rFonts w:ascii="Times New Roman" w:eastAsia="Times New Roman" w:hAnsi="Times New Roman" w:cs="Times New Roman"/>
          <w:kern w:val="24"/>
          <w:sz w:val="20"/>
          <w:szCs w:val="20"/>
        </w:rPr>
        <w:tab/>
        <w:t>LPPSREEMTKNQVSLTCLVKGFYPSDIAVEWESNGQPENNYKTTPPVLDS</w:t>
      </w:r>
    </w:p>
    <w:p w14:paraId="0D0E7F0E" w14:textId="77777777" w:rsidR="000A59EE" w:rsidRPr="000A59EE" w:rsidRDefault="000A59EE" w:rsidP="000A59EE">
      <w:pPr>
        <w:spacing w:line="256" w:lineRule="auto"/>
        <w:rPr>
          <w:rFonts w:ascii="Times New Roman" w:eastAsia="Times New Roman" w:hAnsi="Times New Roman" w:cs="Times New Roman"/>
          <w:kern w:val="24"/>
          <w:sz w:val="20"/>
          <w:szCs w:val="20"/>
        </w:rPr>
      </w:pPr>
      <w:r w:rsidRPr="000A59EE">
        <w:rPr>
          <w:rFonts w:ascii="Times New Roman" w:eastAsia="Times New Roman" w:hAnsi="Times New Roman" w:cs="Times New Roman"/>
          <w:kern w:val="24"/>
          <w:sz w:val="20"/>
          <w:szCs w:val="20"/>
        </w:rPr>
        <w:t>401</w:t>
      </w:r>
      <w:r w:rsidRPr="000A59EE">
        <w:rPr>
          <w:rFonts w:ascii="Times New Roman" w:eastAsia="Times New Roman" w:hAnsi="Times New Roman" w:cs="Times New Roman"/>
          <w:kern w:val="24"/>
          <w:sz w:val="20"/>
          <w:szCs w:val="20"/>
        </w:rPr>
        <w:tab/>
        <w:t>DGSFFLYSKLTVDKSRWQQGNVFSCSVMHEALHNHYTQKSLSLSPGK</w:t>
      </w:r>
    </w:p>
    <w:p w14:paraId="14640FA0" w14:textId="01914822" w:rsidR="000A59EE" w:rsidRDefault="000A59EE" w:rsidP="000A59EE">
      <w:pPr>
        <w:rPr>
          <w:rFonts w:ascii="Times New Roman" w:hAnsi="Times New Roman" w:cs="Times New Roman"/>
          <w:b/>
          <w:sz w:val="24"/>
          <w:szCs w:val="24"/>
        </w:rPr>
      </w:pPr>
    </w:p>
    <w:p w14:paraId="2771EE86" w14:textId="5EA5EDE5" w:rsidR="00865618" w:rsidRDefault="000A59EE" w:rsidP="00865618">
      <w:pPr>
        <w:pStyle w:val="FigureLegend"/>
        <w:rPr>
          <w:rFonts w:ascii="Times New Roman" w:eastAsia="Calibri" w:hAnsi="Times New Roman" w:cs="Times New Roman"/>
          <w:b w:val="0"/>
          <w:sz w:val="24"/>
        </w:rPr>
      </w:pPr>
      <w:r>
        <w:rPr>
          <w:rFonts w:ascii="Times New Roman" w:hAnsi="Times New Roman" w:cs="Times New Roman"/>
          <w:sz w:val="24"/>
        </w:rPr>
        <w:t xml:space="preserve">Supplemental </w:t>
      </w:r>
      <w:r w:rsidRPr="002C6E70">
        <w:rPr>
          <w:rFonts w:ascii="Times New Roman" w:hAnsi="Times New Roman" w:cs="Times New Roman"/>
          <w:sz w:val="24"/>
        </w:rPr>
        <w:t xml:space="preserve">Figure S1. </w:t>
      </w:r>
      <w:r w:rsidRPr="000A59EE">
        <w:rPr>
          <w:rFonts w:ascii="Times New Roman" w:hAnsi="Times New Roman" w:cs="Times New Roman"/>
          <w:sz w:val="24"/>
        </w:rPr>
        <w:t>Amino acid sequence of light and heavy chain of MGC018.</w:t>
      </w:r>
      <w:r>
        <w:rPr>
          <w:rFonts w:ascii="Times New Roman" w:hAnsi="Times New Roman" w:cs="Times New Roman"/>
          <w:sz w:val="24"/>
        </w:rPr>
        <w:t xml:space="preserve"> </w:t>
      </w:r>
      <w:r w:rsidRPr="000A59EE">
        <w:rPr>
          <w:rFonts w:ascii="Times New Roman" w:eastAsia="Calibri" w:hAnsi="Times New Roman" w:cs="Times New Roman"/>
          <w:b w:val="0"/>
          <w:sz w:val="24"/>
        </w:rPr>
        <w:t>Sequences are presented from N-terminus to C-terminus. The letters shown represent the one-letter code for the 20 common amino acids. The linker-drug moiety (SYD980) is preferentially linked to cysteine residues involved in interchain disulfide bridges (hi</w:t>
      </w:r>
      <w:r w:rsidR="007B289E">
        <w:rPr>
          <w:rFonts w:ascii="Times New Roman" w:eastAsia="Calibri" w:hAnsi="Times New Roman" w:cs="Times New Roman"/>
          <w:b w:val="0"/>
          <w:sz w:val="24"/>
        </w:rPr>
        <w:t xml:space="preserve">ghlighted in grey). The amino acid sequences were verified with </w:t>
      </w:r>
      <w:r w:rsidR="000F0C02">
        <w:rPr>
          <w:rFonts w:ascii="Times New Roman" w:eastAsia="Calibri" w:hAnsi="Times New Roman" w:cs="Times New Roman"/>
          <w:b w:val="0"/>
          <w:sz w:val="24"/>
        </w:rPr>
        <w:t xml:space="preserve">liquid chromatography-mass spectrometry </w:t>
      </w:r>
      <w:r w:rsidR="004A2447">
        <w:rPr>
          <w:rFonts w:ascii="Times New Roman" w:eastAsia="Calibri" w:hAnsi="Times New Roman" w:cs="Times New Roman"/>
          <w:b w:val="0"/>
          <w:sz w:val="24"/>
        </w:rPr>
        <w:t>using electrospray ionization on reduced peptide map for MGC018</w:t>
      </w:r>
      <w:r w:rsidR="00865618">
        <w:rPr>
          <w:rFonts w:ascii="Times New Roman" w:eastAsia="Calibri" w:hAnsi="Times New Roman" w:cs="Times New Roman"/>
          <w:b w:val="0"/>
          <w:sz w:val="24"/>
        </w:rPr>
        <w:t>.</w:t>
      </w:r>
    </w:p>
    <w:p w14:paraId="75D55449" w14:textId="140F643E" w:rsidR="00865618" w:rsidRDefault="00865618" w:rsidP="00865618"/>
    <w:p w14:paraId="2D854B68" w14:textId="1EA45CC2" w:rsidR="00865618" w:rsidRPr="0022489D" w:rsidRDefault="00865618" w:rsidP="00865618">
      <w:pPr>
        <w:rPr>
          <w:rFonts w:ascii="Times New Roman" w:hAnsi="Times New Roman" w:cs="Times New Roman"/>
          <w:sz w:val="20"/>
        </w:rPr>
      </w:pPr>
    </w:p>
    <w:p w14:paraId="53E6AF00" w14:textId="02F4BA07" w:rsidR="000A59EE" w:rsidRPr="000A59EE" w:rsidRDefault="000A59EE" w:rsidP="000A59EE">
      <w:pPr>
        <w:rPr>
          <w:rFonts w:ascii="Times New Roman" w:hAnsi="Times New Roman" w:cs="Times New Roman"/>
          <w:sz w:val="24"/>
          <w:szCs w:val="24"/>
        </w:rPr>
      </w:pPr>
    </w:p>
    <w:p w14:paraId="5DB839A0" w14:textId="017A8255" w:rsidR="000A59EE" w:rsidRDefault="000A59EE" w:rsidP="000A59EE">
      <w:pPr>
        <w:rPr>
          <w:rFonts w:ascii="Times New Roman" w:hAnsi="Times New Roman" w:cs="Times New Roman"/>
          <w:sz w:val="24"/>
          <w:szCs w:val="24"/>
        </w:rPr>
      </w:pPr>
    </w:p>
    <w:p w14:paraId="00C37781" w14:textId="289E63E8" w:rsidR="000A59EE" w:rsidRDefault="000A59EE" w:rsidP="000A59EE">
      <w:pPr>
        <w:rPr>
          <w:rFonts w:ascii="Times New Roman" w:hAnsi="Times New Roman" w:cs="Times New Roman"/>
          <w:b/>
          <w:sz w:val="24"/>
          <w:szCs w:val="24"/>
        </w:rPr>
      </w:pPr>
      <w:r>
        <w:rPr>
          <w:rFonts w:ascii="Times New Roman" w:hAnsi="Times New Roman" w:cs="Times New Roman"/>
          <w:b/>
          <w:sz w:val="24"/>
          <w:szCs w:val="24"/>
        </w:rPr>
        <w:br w:type="page"/>
      </w:r>
      <w:r w:rsidRPr="004529C0">
        <w:rPr>
          <w:rFonts w:ascii="Times New Roman" w:hAnsi="Times New Roman" w:cs="Times New Roman"/>
          <w:b/>
          <w:sz w:val="24"/>
          <w:szCs w:val="24"/>
        </w:rPr>
        <w:lastRenderedPageBreak/>
        <w:t>Supplemental Figure S2</w:t>
      </w:r>
    </w:p>
    <w:p w14:paraId="5F6B7DD1" w14:textId="39C6A028" w:rsidR="000A59EE" w:rsidRDefault="000A59EE" w:rsidP="000A59EE">
      <w:pPr>
        <w:rPr>
          <w:rFonts w:ascii="Times New Roman" w:hAnsi="Times New Roman" w:cs="Times New Roman"/>
          <w:b/>
          <w:sz w:val="24"/>
          <w:szCs w:val="24"/>
        </w:rPr>
      </w:pPr>
    </w:p>
    <w:p w14:paraId="13FAE138" w14:textId="58BF1641" w:rsidR="000A59EE" w:rsidRDefault="004D0D63" w:rsidP="000A59EE">
      <w:pPr>
        <w:rPr>
          <w:rFonts w:ascii="Times New Roman" w:hAnsi="Times New Roman" w:cs="Times New Roman"/>
          <w:b/>
          <w:sz w:val="24"/>
          <w:szCs w:val="24"/>
        </w:rPr>
      </w:pPr>
      <w:r>
        <w:rPr>
          <w:noProof/>
        </w:rPr>
        <w:drawing>
          <wp:inline distT="0" distB="0" distL="0" distR="0" wp14:anchorId="0D9B42CA" wp14:editId="4E2E13EC">
            <wp:extent cx="5337958" cy="3169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55909" cy="3180357"/>
                    </a:xfrm>
                    <a:prstGeom prst="rect">
                      <a:avLst/>
                    </a:prstGeom>
                  </pic:spPr>
                </pic:pic>
              </a:graphicData>
            </a:graphic>
          </wp:inline>
        </w:drawing>
      </w:r>
    </w:p>
    <w:p w14:paraId="6525869A" w14:textId="77777777" w:rsidR="004D0D63" w:rsidRDefault="004D0D63" w:rsidP="004D0D63">
      <w:pPr>
        <w:rPr>
          <w:rFonts w:ascii="Times New Roman" w:hAnsi="Times New Roman" w:cs="Times New Roman"/>
          <w:b/>
          <w:sz w:val="24"/>
          <w:szCs w:val="24"/>
        </w:rPr>
      </w:pPr>
    </w:p>
    <w:p w14:paraId="35FA8D59" w14:textId="10696986" w:rsidR="004D0D63" w:rsidRDefault="004D0D63" w:rsidP="004D0D63">
      <w:pPr>
        <w:rPr>
          <w:rFonts w:ascii="Times New Roman" w:eastAsia="Calibri" w:hAnsi="Times New Roman" w:cs="Times New Roman"/>
          <w:sz w:val="24"/>
        </w:rPr>
      </w:pPr>
      <w:r>
        <w:rPr>
          <w:rFonts w:ascii="Times New Roman" w:hAnsi="Times New Roman" w:cs="Times New Roman"/>
          <w:b/>
          <w:sz w:val="24"/>
        </w:rPr>
        <w:t>Supplemental Figure S2</w:t>
      </w:r>
      <w:r w:rsidRPr="002C6E70">
        <w:rPr>
          <w:rFonts w:ascii="Times New Roman" w:hAnsi="Times New Roman" w:cs="Times New Roman"/>
          <w:b/>
          <w:sz w:val="24"/>
        </w:rPr>
        <w:t xml:space="preserve">. </w:t>
      </w:r>
      <w:r>
        <w:rPr>
          <w:rFonts w:ascii="Times New Roman" w:hAnsi="Times New Roman" w:cs="Times New Roman"/>
          <w:b/>
          <w:sz w:val="24"/>
        </w:rPr>
        <w:t>Schematic Representation of MGC018</w:t>
      </w:r>
      <w:r w:rsidRPr="002C6E70">
        <w:rPr>
          <w:rFonts w:ascii="Times New Roman" w:hAnsi="Times New Roman" w:cs="Times New Roman"/>
          <w:b/>
          <w:sz w:val="24"/>
          <w:szCs w:val="24"/>
        </w:rPr>
        <w:t>.</w:t>
      </w:r>
      <w:r w:rsidRPr="004D0D63">
        <w:rPr>
          <w:rFonts w:ascii="Times New Roman" w:hAnsi="Times New Roman" w:cs="Times New Roman"/>
          <w:sz w:val="28"/>
          <w:szCs w:val="24"/>
        </w:rPr>
        <w:t xml:space="preserve"> </w:t>
      </w:r>
      <w:r w:rsidRPr="004D0D63">
        <w:rPr>
          <w:rFonts w:ascii="Times New Roman" w:eastAsia="Calibri" w:hAnsi="Times New Roman" w:cs="Times New Roman"/>
          <w:sz w:val="24"/>
        </w:rPr>
        <w:t xml:space="preserve">MGC018 is an antibody-drug conjugate (ADC) composed of the humanized monoclonal IgG1 antibody MGA017 covalently linked to a restricted number of linker-drug (SYD980) moieties, containing a </w:t>
      </w:r>
      <w:r w:rsidRPr="004D0D63">
        <w:rPr>
          <w:rFonts w:ascii="Times New Roman" w:eastAsia="Calibri" w:hAnsi="Times New Roman" w:cs="Times New Roman"/>
          <w:i/>
          <w:sz w:val="24"/>
        </w:rPr>
        <w:t>seco</w:t>
      </w:r>
      <w:r w:rsidRPr="004D0D63">
        <w:rPr>
          <w:rFonts w:ascii="Times New Roman" w:eastAsia="Calibri" w:hAnsi="Times New Roman" w:cs="Times New Roman"/>
          <w:sz w:val="24"/>
        </w:rPr>
        <w:t xml:space="preserve">-duocarmycin derivative. MGA017 is a humanized monoclonal IgG1 antibody that recognizes human B7-H3. The linker-drug (SYD980) contains a cleavable linker and the prodrug </w:t>
      </w:r>
      <w:r w:rsidRPr="004D0D63">
        <w:rPr>
          <w:rFonts w:ascii="Times New Roman" w:eastAsia="Calibri" w:hAnsi="Times New Roman" w:cs="Times New Roman"/>
          <w:i/>
          <w:iCs/>
          <w:sz w:val="24"/>
        </w:rPr>
        <w:t>seco</w:t>
      </w:r>
      <w:r w:rsidRPr="004D0D63">
        <w:rPr>
          <w:rFonts w:ascii="Times New Roman" w:eastAsia="Calibri" w:hAnsi="Times New Roman" w:cs="Times New Roman"/>
          <w:sz w:val="24"/>
        </w:rPr>
        <w:t>-duocarmycin-hydroxybenzamide-azaindole (</w:t>
      </w:r>
      <w:r w:rsidRPr="004D0D63">
        <w:rPr>
          <w:rFonts w:ascii="Times New Roman" w:eastAsia="Calibri" w:hAnsi="Times New Roman" w:cs="Times New Roman"/>
          <w:i/>
          <w:iCs/>
          <w:sz w:val="24"/>
        </w:rPr>
        <w:t>seco</w:t>
      </w:r>
      <w:r w:rsidRPr="004D0D63">
        <w:rPr>
          <w:rFonts w:ascii="Times New Roman" w:eastAsia="Calibri" w:hAnsi="Times New Roman" w:cs="Times New Roman"/>
          <w:sz w:val="24"/>
        </w:rPr>
        <w:noBreakHyphen/>
        <w:t>DUBA, SYD978).</w:t>
      </w:r>
    </w:p>
    <w:p w14:paraId="370205BC" w14:textId="22D9DCDD" w:rsidR="005A7224" w:rsidRPr="0022489D" w:rsidRDefault="005A7224" w:rsidP="004D0D63">
      <w:pPr>
        <w:rPr>
          <w:rFonts w:ascii="Times New Roman" w:hAnsi="Times New Roman" w:cs="Times New Roman"/>
          <w:sz w:val="20"/>
          <w:szCs w:val="24"/>
        </w:rPr>
      </w:pPr>
      <w:r w:rsidRPr="0022489D">
        <w:rPr>
          <w:rFonts w:ascii="Times New Roman" w:hAnsi="Times New Roman" w:cs="Times New Roman"/>
          <w:sz w:val="20"/>
          <w:szCs w:val="24"/>
        </w:rPr>
        <w:t>Abbreviations: PABC</w:t>
      </w:r>
      <w:r w:rsidR="000E237A">
        <w:rPr>
          <w:rFonts w:ascii="Times New Roman" w:hAnsi="Times New Roman" w:cs="Times New Roman"/>
          <w:sz w:val="20"/>
          <w:szCs w:val="24"/>
        </w:rPr>
        <w:t xml:space="preserve">: </w:t>
      </w:r>
      <w:r w:rsidRPr="0022489D">
        <w:rPr>
          <w:rFonts w:ascii="Times New Roman" w:hAnsi="Times New Roman" w:cs="Times New Roman"/>
          <w:sz w:val="20"/>
          <w:szCs w:val="24"/>
        </w:rPr>
        <w:t>para-aminobenzyloxycarbonyl</w:t>
      </w:r>
      <w:r w:rsidR="000E237A">
        <w:rPr>
          <w:rFonts w:ascii="Times New Roman" w:hAnsi="Times New Roman" w:cs="Times New Roman"/>
          <w:sz w:val="20"/>
          <w:szCs w:val="24"/>
        </w:rPr>
        <w:t>.</w:t>
      </w:r>
    </w:p>
    <w:p w14:paraId="7A6FD6F5" w14:textId="27F997B8" w:rsidR="005A7224" w:rsidRPr="0022489D" w:rsidRDefault="005A7224" w:rsidP="004D0D63">
      <w:pPr>
        <w:rPr>
          <w:rFonts w:ascii="Times New Roman" w:hAnsi="Times New Roman" w:cs="Times New Roman"/>
          <w:sz w:val="20"/>
          <w:szCs w:val="24"/>
        </w:rPr>
      </w:pPr>
      <w:r w:rsidRPr="0022489D">
        <w:rPr>
          <w:rFonts w:ascii="Times New Roman" w:hAnsi="Times New Roman" w:cs="Times New Roman"/>
          <w:sz w:val="20"/>
          <w:szCs w:val="24"/>
        </w:rPr>
        <w:t>Representation is not to scale</w:t>
      </w:r>
    </w:p>
    <w:p w14:paraId="25F736CE" w14:textId="77777777" w:rsidR="00865618" w:rsidRDefault="00865618">
      <w:pPr>
        <w:rPr>
          <w:rFonts w:ascii="Times New Roman" w:hAnsi="Times New Roman" w:cs="Times New Roman"/>
          <w:b/>
          <w:sz w:val="24"/>
          <w:szCs w:val="24"/>
        </w:rPr>
      </w:pPr>
      <w:r>
        <w:rPr>
          <w:rFonts w:ascii="Times New Roman" w:hAnsi="Times New Roman" w:cs="Times New Roman"/>
          <w:b/>
          <w:sz w:val="24"/>
          <w:szCs w:val="24"/>
        </w:rPr>
        <w:br w:type="page"/>
      </w:r>
    </w:p>
    <w:p w14:paraId="2264645C" w14:textId="77777777" w:rsidR="00865618" w:rsidRDefault="00865618">
      <w:pPr>
        <w:rPr>
          <w:rFonts w:ascii="Times New Roman" w:hAnsi="Times New Roman" w:cs="Times New Roman"/>
          <w:b/>
          <w:sz w:val="24"/>
          <w:szCs w:val="24"/>
        </w:rPr>
      </w:pPr>
      <w:r w:rsidRPr="004529C0">
        <w:rPr>
          <w:rFonts w:ascii="Times New Roman" w:hAnsi="Times New Roman" w:cs="Times New Roman"/>
          <w:b/>
          <w:sz w:val="24"/>
          <w:szCs w:val="24"/>
        </w:rPr>
        <w:lastRenderedPageBreak/>
        <w:t>Supplemental Figure S3</w:t>
      </w:r>
    </w:p>
    <w:p w14:paraId="5D805E4A" w14:textId="5F87963B" w:rsidR="00865618" w:rsidRDefault="00865618">
      <w:pPr>
        <w:rPr>
          <w:rFonts w:ascii="Times New Roman" w:hAnsi="Times New Roman" w:cs="Times New Roman"/>
          <w:b/>
          <w:sz w:val="24"/>
          <w:szCs w:val="24"/>
        </w:rPr>
      </w:pPr>
    </w:p>
    <w:p w14:paraId="302679F5" w14:textId="77777777" w:rsidR="00865618" w:rsidRDefault="00865618">
      <w:pPr>
        <w:rPr>
          <w:rFonts w:ascii="Times New Roman" w:hAnsi="Times New Roman" w:cs="Times New Roman"/>
          <w:b/>
          <w:sz w:val="24"/>
          <w:szCs w:val="24"/>
        </w:rPr>
      </w:pPr>
      <w:r>
        <w:rPr>
          <w:noProof/>
        </w:rPr>
        <w:drawing>
          <wp:inline distT="0" distB="0" distL="0" distR="0" wp14:anchorId="69B58770" wp14:editId="7419D5C3">
            <wp:extent cx="5715000" cy="2431415"/>
            <wp:effectExtent l="0" t="0" r="0" b="6985"/>
            <wp:docPr id="13" name="Picture 4"/>
            <wp:cNvGraphicFramePr/>
            <a:graphic xmlns:a="http://schemas.openxmlformats.org/drawingml/2006/main">
              <a:graphicData uri="http://schemas.openxmlformats.org/drawingml/2006/picture">
                <pic:pic xmlns:pic="http://schemas.openxmlformats.org/drawingml/2006/picture">
                  <pic:nvPicPr>
                    <pic:cNvPr id="10" name="Picture 4"/>
                    <pic:cNvPicPr/>
                  </pic:nvPicPr>
                  <pic:blipFill>
                    <a:blip r:embed="rId15" cstate="print"/>
                    <a:srcRect/>
                    <a:stretch>
                      <a:fillRect/>
                    </a:stretch>
                  </pic:blipFill>
                  <pic:spPr bwMode="auto">
                    <a:xfrm>
                      <a:off x="0" y="0"/>
                      <a:ext cx="5715000" cy="2431415"/>
                    </a:xfrm>
                    <a:prstGeom prst="rect">
                      <a:avLst/>
                    </a:prstGeom>
                    <a:noFill/>
                    <a:ln w="9525">
                      <a:noFill/>
                      <a:miter lim="800000"/>
                      <a:headEnd/>
                      <a:tailEnd/>
                    </a:ln>
                  </pic:spPr>
                </pic:pic>
              </a:graphicData>
            </a:graphic>
          </wp:inline>
        </w:drawing>
      </w:r>
    </w:p>
    <w:p w14:paraId="1B6FD027" w14:textId="020EBFDF" w:rsidR="00865618" w:rsidRDefault="00865618">
      <w:pPr>
        <w:rPr>
          <w:rFonts w:ascii="Times New Roman" w:hAnsi="Times New Roman" w:cs="Times New Roman"/>
          <w:sz w:val="24"/>
          <w:szCs w:val="24"/>
        </w:rPr>
      </w:pPr>
      <w:r>
        <w:rPr>
          <w:rFonts w:ascii="Times New Roman" w:hAnsi="Times New Roman" w:cs="Times New Roman"/>
          <w:b/>
          <w:sz w:val="24"/>
          <w:szCs w:val="24"/>
        </w:rPr>
        <w:t xml:space="preserve">Supplemental Figure S3. Drug distribution and drug antibody ratio (DAR) average analyzed by hydrophobic interaction (HIC) chromatography. </w:t>
      </w:r>
      <w:r>
        <w:rPr>
          <w:rFonts w:ascii="Times New Roman" w:hAnsi="Times New Roman" w:cs="Times New Roman"/>
          <w:sz w:val="24"/>
          <w:szCs w:val="24"/>
        </w:rPr>
        <w:t xml:space="preserve">Representative </w:t>
      </w:r>
      <w:r w:rsidR="0000375A">
        <w:rPr>
          <w:rFonts w:ascii="Times New Roman" w:hAnsi="Times New Roman" w:cs="Times New Roman"/>
          <w:sz w:val="24"/>
          <w:szCs w:val="24"/>
        </w:rPr>
        <w:t xml:space="preserve">HIC </w:t>
      </w:r>
      <w:r>
        <w:rPr>
          <w:rFonts w:ascii="Times New Roman" w:hAnsi="Times New Roman" w:cs="Times New Roman"/>
          <w:sz w:val="24"/>
          <w:szCs w:val="24"/>
        </w:rPr>
        <w:t>chromatogram of MGC018. The HIC chromatogram shows two main species: DAL2 and DAL4.</w:t>
      </w:r>
    </w:p>
    <w:p w14:paraId="14114149" w14:textId="49FD15DE" w:rsidR="000A59EE" w:rsidRDefault="00865618">
      <w:pPr>
        <w:rPr>
          <w:rFonts w:ascii="Times New Roman" w:hAnsi="Times New Roman" w:cs="Times New Roman"/>
          <w:b/>
          <w:sz w:val="24"/>
          <w:szCs w:val="24"/>
        </w:rPr>
      </w:pPr>
      <w:r w:rsidRPr="0022489D">
        <w:rPr>
          <w:rFonts w:ascii="Times New Roman" w:hAnsi="Times New Roman" w:cs="Times New Roman"/>
          <w:sz w:val="20"/>
          <w:szCs w:val="24"/>
        </w:rPr>
        <w:t>Abbreviations: DAR</w:t>
      </w:r>
      <w:r w:rsidR="000E237A">
        <w:rPr>
          <w:rFonts w:ascii="Times New Roman" w:hAnsi="Times New Roman" w:cs="Times New Roman"/>
          <w:sz w:val="20"/>
          <w:szCs w:val="24"/>
        </w:rPr>
        <w:t xml:space="preserve">: </w:t>
      </w:r>
      <w:r w:rsidRPr="0022489D">
        <w:rPr>
          <w:rFonts w:ascii="Times New Roman" w:hAnsi="Times New Roman" w:cs="Times New Roman"/>
          <w:sz w:val="20"/>
          <w:szCs w:val="24"/>
        </w:rPr>
        <w:t>drug antibody ratio; DAL</w:t>
      </w:r>
      <w:r w:rsidR="000E237A">
        <w:rPr>
          <w:rFonts w:ascii="Times New Roman" w:hAnsi="Times New Roman" w:cs="Times New Roman"/>
          <w:sz w:val="20"/>
          <w:szCs w:val="24"/>
        </w:rPr>
        <w:t xml:space="preserve">: </w:t>
      </w:r>
      <w:r w:rsidRPr="0022489D">
        <w:rPr>
          <w:rFonts w:ascii="Times New Roman" w:hAnsi="Times New Roman" w:cs="Times New Roman"/>
          <w:sz w:val="20"/>
          <w:szCs w:val="24"/>
        </w:rPr>
        <w:t>drug-to-antibody linkage; HIC</w:t>
      </w:r>
      <w:r w:rsidR="000E237A">
        <w:rPr>
          <w:rFonts w:ascii="Times New Roman" w:hAnsi="Times New Roman" w:cs="Times New Roman"/>
          <w:sz w:val="20"/>
          <w:szCs w:val="24"/>
        </w:rPr>
        <w:t xml:space="preserve">: </w:t>
      </w:r>
      <w:r w:rsidRPr="0022489D">
        <w:rPr>
          <w:rFonts w:ascii="Times New Roman" w:hAnsi="Times New Roman" w:cs="Times New Roman"/>
          <w:sz w:val="20"/>
          <w:szCs w:val="24"/>
        </w:rPr>
        <w:t>hydrophobic interaction chromatograp</w:t>
      </w:r>
      <w:r w:rsidR="0022489D" w:rsidRPr="0022489D">
        <w:rPr>
          <w:rFonts w:ascii="Times New Roman" w:hAnsi="Times New Roman" w:cs="Times New Roman"/>
          <w:sz w:val="20"/>
          <w:szCs w:val="24"/>
        </w:rPr>
        <w:t>hy.</w:t>
      </w:r>
      <w:r w:rsidR="000A59EE">
        <w:rPr>
          <w:rFonts w:ascii="Times New Roman" w:hAnsi="Times New Roman" w:cs="Times New Roman"/>
          <w:b/>
          <w:sz w:val="24"/>
          <w:szCs w:val="24"/>
        </w:rPr>
        <w:br w:type="page"/>
      </w:r>
    </w:p>
    <w:p w14:paraId="473076D0" w14:textId="77777777" w:rsidR="000A59EE" w:rsidRDefault="000A59EE" w:rsidP="000A59EE">
      <w:pPr>
        <w:rPr>
          <w:rFonts w:ascii="Times New Roman" w:hAnsi="Times New Roman" w:cs="Times New Roman"/>
          <w:b/>
          <w:sz w:val="24"/>
          <w:szCs w:val="24"/>
        </w:rPr>
      </w:pPr>
    </w:p>
    <w:p w14:paraId="46893CCD" w14:textId="20216502" w:rsidR="002C6E70" w:rsidRPr="002C6E70" w:rsidRDefault="00BC6C6D" w:rsidP="002C6E70">
      <w:pPr>
        <w:rPr>
          <w:b/>
        </w:rPr>
      </w:pPr>
      <w:r>
        <w:rPr>
          <w:rFonts w:ascii="Times New Roman" w:hAnsi="Times New Roman" w:cs="Times New Roman"/>
          <w:b/>
          <w:sz w:val="24"/>
          <w:szCs w:val="24"/>
        </w:rPr>
        <w:t>Supplemental Figure S</w:t>
      </w:r>
      <w:r w:rsidR="0022489D">
        <w:rPr>
          <w:rFonts w:ascii="Times New Roman" w:hAnsi="Times New Roman" w:cs="Times New Roman"/>
          <w:b/>
          <w:sz w:val="24"/>
          <w:szCs w:val="24"/>
        </w:rPr>
        <w:t>4</w:t>
      </w:r>
    </w:p>
    <w:p w14:paraId="34B86E42" w14:textId="7513A69B" w:rsidR="002C6E70" w:rsidRDefault="002C6E70" w:rsidP="0051670F">
      <w:pPr>
        <w:rPr>
          <w:rFonts w:ascii="Times New Roman" w:hAnsi="Times New Roman" w:cs="Times New Roman"/>
          <w:b/>
          <w:sz w:val="24"/>
          <w:szCs w:val="24"/>
        </w:rPr>
      </w:pPr>
    </w:p>
    <w:p w14:paraId="729B096E" w14:textId="55917336" w:rsidR="002C6E70" w:rsidRDefault="002C6E70" w:rsidP="0051670F">
      <w:pPr>
        <w:rPr>
          <w:rFonts w:ascii="Times New Roman" w:hAnsi="Times New Roman" w:cs="Times New Roman"/>
          <w:b/>
          <w:sz w:val="24"/>
          <w:szCs w:val="24"/>
        </w:rPr>
      </w:pPr>
      <w:r>
        <w:rPr>
          <w:noProof/>
        </w:rPr>
        <w:drawing>
          <wp:inline distT="0" distB="0" distL="0" distR="0" wp14:anchorId="47FDB2C3" wp14:editId="58353C83">
            <wp:extent cx="4275117" cy="168721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05317" cy="1699129"/>
                    </a:xfrm>
                    <a:prstGeom prst="rect">
                      <a:avLst/>
                    </a:prstGeom>
                  </pic:spPr>
                </pic:pic>
              </a:graphicData>
            </a:graphic>
          </wp:inline>
        </w:drawing>
      </w:r>
    </w:p>
    <w:p w14:paraId="1A64ED6B" w14:textId="0D3CCDBA" w:rsidR="0051670F" w:rsidRDefault="004F26FF" w:rsidP="0051670F">
      <w:pPr>
        <w:rPr>
          <w:rFonts w:ascii="Times New Roman" w:hAnsi="Times New Roman" w:cs="Times New Roman"/>
          <w:sz w:val="24"/>
          <w:szCs w:val="24"/>
        </w:rPr>
      </w:pPr>
      <w:r>
        <w:rPr>
          <w:rFonts w:ascii="Times New Roman" w:hAnsi="Times New Roman" w:cs="Times New Roman"/>
          <w:b/>
          <w:sz w:val="24"/>
        </w:rPr>
        <w:t xml:space="preserve">Supplemental </w:t>
      </w:r>
      <w:r w:rsidR="00BC6C6D">
        <w:rPr>
          <w:rFonts w:ascii="Times New Roman" w:hAnsi="Times New Roman" w:cs="Times New Roman"/>
          <w:b/>
          <w:sz w:val="24"/>
        </w:rPr>
        <w:t>Figure S</w:t>
      </w:r>
      <w:r w:rsidR="0022489D">
        <w:rPr>
          <w:rFonts w:ascii="Times New Roman" w:hAnsi="Times New Roman" w:cs="Times New Roman"/>
          <w:b/>
          <w:sz w:val="24"/>
        </w:rPr>
        <w:t>4</w:t>
      </w:r>
      <w:r w:rsidR="002C6E70" w:rsidRPr="002C6E70">
        <w:rPr>
          <w:rFonts w:ascii="Times New Roman" w:hAnsi="Times New Roman" w:cs="Times New Roman"/>
          <w:b/>
          <w:sz w:val="24"/>
        </w:rPr>
        <w:t>. Analysis of B7-H3 expression on parental Hs700T and Hs700T/B7-H3 KO line by flow cytometry</w:t>
      </w:r>
      <w:r w:rsidR="002C6E70" w:rsidRPr="002C6E70">
        <w:rPr>
          <w:rFonts w:ascii="Times New Roman" w:hAnsi="Times New Roman" w:cs="Times New Roman"/>
          <w:b/>
          <w:sz w:val="24"/>
          <w:szCs w:val="24"/>
        </w:rPr>
        <w:t>.</w:t>
      </w:r>
      <w:r w:rsidR="002C6E70">
        <w:rPr>
          <w:rFonts w:ascii="Times New Roman" w:hAnsi="Times New Roman" w:cs="Times New Roman"/>
          <w:sz w:val="24"/>
          <w:szCs w:val="24"/>
        </w:rPr>
        <w:t xml:space="preserve"> </w:t>
      </w:r>
      <w:r w:rsidR="0051670F">
        <w:rPr>
          <w:rFonts w:ascii="Times New Roman" w:hAnsi="Times New Roman" w:cs="Times New Roman"/>
          <w:sz w:val="24"/>
          <w:szCs w:val="24"/>
        </w:rPr>
        <w:t>B7-H3 expression on parental Hs700T (left) and a derivative of Hs700T in which B7-H3 was stably knocked</w:t>
      </w:r>
      <w:r w:rsidR="000E237A">
        <w:rPr>
          <w:rFonts w:ascii="Times New Roman" w:hAnsi="Times New Roman" w:cs="Times New Roman"/>
          <w:sz w:val="24"/>
          <w:szCs w:val="24"/>
        </w:rPr>
        <w:t xml:space="preserve"> </w:t>
      </w:r>
      <w:r w:rsidR="0051670F">
        <w:rPr>
          <w:rFonts w:ascii="Times New Roman" w:hAnsi="Times New Roman" w:cs="Times New Roman"/>
          <w:sz w:val="24"/>
          <w:szCs w:val="24"/>
        </w:rPr>
        <w:t>out (right), monitored by flow cytometry. Green open peak is anti-B7-H3 antibody (BRCA69D) plus goat anti-mouse IgG-R-phycoerythrin secondary antibody staining, red closed peak is unstained control, and blue open peak is goat anti-mouse IgG-R-phycoerythrin secondary antibody alone control.</w:t>
      </w:r>
    </w:p>
    <w:p w14:paraId="3E77157E" w14:textId="77777777" w:rsidR="002C6E70" w:rsidRDefault="002C6E70" w:rsidP="0051670F">
      <w:pPr>
        <w:rPr>
          <w:rFonts w:ascii="Times New Roman" w:hAnsi="Times New Roman" w:cs="Times New Roman"/>
          <w:b/>
          <w:sz w:val="24"/>
          <w:szCs w:val="24"/>
        </w:rPr>
      </w:pPr>
    </w:p>
    <w:p w14:paraId="4AD59712" w14:textId="77777777" w:rsidR="002C6E70" w:rsidRDefault="002C6E70" w:rsidP="0051670F">
      <w:pPr>
        <w:rPr>
          <w:rFonts w:ascii="Times New Roman" w:hAnsi="Times New Roman" w:cs="Times New Roman"/>
          <w:b/>
          <w:sz w:val="24"/>
          <w:szCs w:val="24"/>
        </w:rPr>
      </w:pPr>
    </w:p>
    <w:p w14:paraId="5B1C35DF" w14:textId="77777777" w:rsidR="002C6E70" w:rsidRDefault="002C6E70" w:rsidP="0051670F">
      <w:pPr>
        <w:rPr>
          <w:rFonts w:ascii="Times New Roman" w:hAnsi="Times New Roman" w:cs="Times New Roman"/>
          <w:b/>
          <w:sz w:val="24"/>
          <w:szCs w:val="24"/>
        </w:rPr>
      </w:pPr>
    </w:p>
    <w:p w14:paraId="4437A161" w14:textId="77777777" w:rsidR="002C6E70" w:rsidRDefault="002C6E70" w:rsidP="0051670F">
      <w:pPr>
        <w:rPr>
          <w:rFonts w:ascii="Times New Roman" w:hAnsi="Times New Roman" w:cs="Times New Roman"/>
          <w:b/>
          <w:sz w:val="24"/>
          <w:szCs w:val="24"/>
        </w:rPr>
      </w:pPr>
    </w:p>
    <w:p w14:paraId="4572EE9C" w14:textId="77777777" w:rsidR="002C6E70" w:rsidRDefault="002C6E70" w:rsidP="0051670F">
      <w:pPr>
        <w:rPr>
          <w:rFonts w:ascii="Times New Roman" w:hAnsi="Times New Roman" w:cs="Times New Roman"/>
          <w:b/>
          <w:sz w:val="24"/>
          <w:szCs w:val="24"/>
        </w:rPr>
      </w:pPr>
    </w:p>
    <w:p w14:paraId="4B28DFA4" w14:textId="77777777" w:rsidR="002C6E70" w:rsidRDefault="002C6E70" w:rsidP="0051670F">
      <w:pPr>
        <w:rPr>
          <w:rFonts w:ascii="Times New Roman" w:hAnsi="Times New Roman" w:cs="Times New Roman"/>
          <w:b/>
          <w:sz w:val="24"/>
          <w:szCs w:val="24"/>
        </w:rPr>
      </w:pPr>
    </w:p>
    <w:p w14:paraId="1680CBD7" w14:textId="77777777" w:rsidR="002C6E70" w:rsidRDefault="002C6E70" w:rsidP="0051670F">
      <w:pPr>
        <w:rPr>
          <w:rFonts w:ascii="Times New Roman" w:hAnsi="Times New Roman" w:cs="Times New Roman"/>
          <w:b/>
          <w:sz w:val="24"/>
          <w:szCs w:val="24"/>
        </w:rPr>
      </w:pPr>
    </w:p>
    <w:p w14:paraId="5BB0E3A9" w14:textId="77777777" w:rsidR="002C6E70" w:rsidRDefault="002C6E70" w:rsidP="0051670F">
      <w:pPr>
        <w:rPr>
          <w:rFonts w:ascii="Times New Roman" w:hAnsi="Times New Roman" w:cs="Times New Roman"/>
          <w:b/>
          <w:sz w:val="24"/>
          <w:szCs w:val="24"/>
        </w:rPr>
      </w:pPr>
    </w:p>
    <w:p w14:paraId="1845FF00" w14:textId="77777777" w:rsidR="002C6E70" w:rsidRDefault="002C6E70" w:rsidP="0051670F">
      <w:pPr>
        <w:rPr>
          <w:rFonts w:ascii="Times New Roman" w:hAnsi="Times New Roman" w:cs="Times New Roman"/>
          <w:b/>
          <w:sz w:val="24"/>
          <w:szCs w:val="24"/>
        </w:rPr>
      </w:pPr>
    </w:p>
    <w:p w14:paraId="5285A9F4" w14:textId="77777777" w:rsidR="002C6E70" w:rsidRDefault="002C6E70" w:rsidP="0051670F">
      <w:pPr>
        <w:rPr>
          <w:rFonts w:ascii="Times New Roman" w:hAnsi="Times New Roman" w:cs="Times New Roman"/>
          <w:b/>
          <w:sz w:val="24"/>
          <w:szCs w:val="24"/>
        </w:rPr>
      </w:pPr>
    </w:p>
    <w:p w14:paraId="600FC42B" w14:textId="77777777" w:rsidR="002C6E70" w:rsidRDefault="002C6E70" w:rsidP="0051670F">
      <w:pPr>
        <w:rPr>
          <w:rFonts w:ascii="Times New Roman" w:hAnsi="Times New Roman" w:cs="Times New Roman"/>
          <w:b/>
          <w:sz w:val="24"/>
          <w:szCs w:val="24"/>
        </w:rPr>
      </w:pPr>
    </w:p>
    <w:p w14:paraId="1A12A6A5" w14:textId="77777777" w:rsidR="002C6E70" w:rsidRDefault="002C6E70" w:rsidP="0051670F">
      <w:pPr>
        <w:rPr>
          <w:rFonts w:ascii="Times New Roman" w:hAnsi="Times New Roman" w:cs="Times New Roman"/>
          <w:b/>
          <w:sz w:val="24"/>
          <w:szCs w:val="24"/>
        </w:rPr>
      </w:pPr>
    </w:p>
    <w:p w14:paraId="2057640A" w14:textId="77777777" w:rsidR="002C6E70" w:rsidRDefault="002C6E70" w:rsidP="0051670F">
      <w:pPr>
        <w:rPr>
          <w:rFonts w:ascii="Times New Roman" w:hAnsi="Times New Roman" w:cs="Times New Roman"/>
          <w:b/>
          <w:sz w:val="24"/>
          <w:szCs w:val="24"/>
        </w:rPr>
      </w:pPr>
    </w:p>
    <w:p w14:paraId="150B577F" w14:textId="77777777" w:rsidR="002C6E70" w:rsidRDefault="002C6E70" w:rsidP="0051670F">
      <w:pPr>
        <w:rPr>
          <w:rFonts w:ascii="Times New Roman" w:hAnsi="Times New Roman" w:cs="Times New Roman"/>
          <w:b/>
          <w:sz w:val="24"/>
          <w:szCs w:val="24"/>
        </w:rPr>
      </w:pPr>
    </w:p>
    <w:p w14:paraId="79A0D5EE" w14:textId="77777777" w:rsidR="002C6E70" w:rsidRDefault="002C6E70" w:rsidP="0051670F">
      <w:pPr>
        <w:rPr>
          <w:rFonts w:ascii="Times New Roman" w:hAnsi="Times New Roman" w:cs="Times New Roman"/>
          <w:b/>
          <w:sz w:val="24"/>
          <w:szCs w:val="24"/>
        </w:rPr>
      </w:pPr>
    </w:p>
    <w:p w14:paraId="72E5440B" w14:textId="5386AE42" w:rsidR="001874EF" w:rsidRDefault="001874EF" w:rsidP="001874EF">
      <w:pPr>
        <w:rPr>
          <w:rFonts w:ascii="Times New Roman" w:eastAsia="Times New Roman" w:hAnsi="Times New Roman" w:cs="Times New Roman"/>
          <w:b/>
          <w:kern w:val="24"/>
          <w:sz w:val="24"/>
          <w:szCs w:val="24"/>
        </w:rPr>
      </w:pPr>
      <w:r>
        <w:rPr>
          <w:rFonts w:ascii="Times New Roman" w:eastAsia="Times New Roman" w:hAnsi="Times New Roman" w:cs="Times New Roman"/>
          <w:b/>
          <w:kern w:val="24"/>
          <w:sz w:val="24"/>
          <w:szCs w:val="24"/>
        </w:rPr>
        <w:lastRenderedPageBreak/>
        <w:t>Supplemental Figure S5</w:t>
      </w:r>
    </w:p>
    <w:p w14:paraId="607052EE" w14:textId="7F694CB9" w:rsidR="001874EF" w:rsidRDefault="001874EF" w:rsidP="001874EF">
      <w:pPr>
        <w:rPr>
          <w:rFonts w:ascii="Times New Roman" w:eastAsia="Times New Roman" w:hAnsi="Times New Roman" w:cs="Times New Roman"/>
          <w:kern w:val="24"/>
          <w:sz w:val="24"/>
          <w:szCs w:val="24"/>
        </w:rPr>
      </w:pPr>
      <w:r>
        <w:rPr>
          <w:rFonts w:ascii="Times New Roman" w:eastAsia="Times New Roman" w:hAnsi="Times New Roman" w:cs="Times New Roman"/>
          <w:b/>
          <w:kern w:val="24"/>
          <w:sz w:val="24"/>
          <w:szCs w:val="24"/>
        </w:rPr>
        <w:t>Supplemental Figure S5</w:t>
      </w:r>
      <w:r w:rsidRPr="00167B6C">
        <w:rPr>
          <w:rFonts w:ascii="Times New Roman" w:eastAsia="Times New Roman" w:hAnsi="Times New Roman" w:cs="Times New Roman"/>
          <w:b/>
          <w:kern w:val="24"/>
          <w:sz w:val="24"/>
          <w:szCs w:val="24"/>
        </w:rPr>
        <w:t>.</w:t>
      </w:r>
      <w:r>
        <w:rPr>
          <w:rFonts w:ascii="Times New Roman" w:eastAsia="Times New Roman" w:hAnsi="Times New Roman" w:cs="Times New Roman"/>
          <w:b/>
          <w:kern w:val="24"/>
          <w:sz w:val="24"/>
          <w:szCs w:val="24"/>
        </w:rPr>
        <w:t xml:space="preserve"> </w:t>
      </w:r>
      <w:r w:rsidRPr="00167B6C">
        <w:rPr>
          <w:rFonts w:ascii="Times New Roman" w:eastAsia="Times New Roman" w:hAnsi="Times New Roman" w:cs="Times New Roman"/>
          <w:b/>
          <w:kern w:val="24"/>
          <w:sz w:val="24"/>
          <w:szCs w:val="24"/>
        </w:rPr>
        <w:t>Time</w:t>
      </w:r>
      <w:r>
        <w:rPr>
          <w:rFonts w:ascii="Times New Roman" w:eastAsia="Times New Roman" w:hAnsi="Times New Roman" w:cs="Times New Roman"/>
          <w:b/>
          <w:kern w:val="24"/>
          <w:sz w:val="24"/>
          <w:szCs w:val="24"/>
        </w:rPr>
        <w:t xml:space="preserve"> </w:t>
      </w:r>
      <w:r w:rsidRPr="00167B6C">
        <w:rPr>
          <w:rFonts w:ascii="Times New Roman" w:eastAsia="Times New Roman" w:hAnsi="Times New Roman" w:cs="Times New Roman"/>
          <w:b/>
          <w:kern w:val="24"/>
          <w:sz w:val="24"/>
          <w:szCs w:val="24"/>
        </w:rPr>
        <w:t xml:space="preserve">lapse video of in vitro bystander killing by MGC018. </w:t>
      </w:r>
      <w:r>
        <w:rPr>
          <w:rFonts w:ascii="Times New Roman" w:eastAsia="Times New Roman" w:hAnsi="Times New Roman" w:cs="Times New Roman"/>
          <w:kern w:val="24"/>
          <w:sz w:val="24"/>
          <w:szCs w:val="24"/>
        </w:rPr>
        <w:t>An i</w:t>
      </w:r>
      <w:r w:rsidRPr="00167B6C">
        <w:rPr>
          <w:rFonts w:ascii="Times New Roman" w:eastAsia="Times New Roman" w:hAnsi="Times New Roman" w:cs="Times New Roman"/>
          <w:kern w:val="24"/>
          <w:sz w:val="24"/>
          <w:szCs w:val="24"/>
        </w:rPr>
        <w:t>n vitro co-culture experiment was conducted in which Hs700T/B7-H3 KO cells, engineered to express stabilized red fluorescent protein (Hs700T/B7-H3 KO/RFP), were cultured alone, or in the presence of progressively larger amounts of unlabeled parental Hs700T cells. T</w:t>
      </w:r>
      <w:r>
        <w:rPr>
          <w:rFonts w:ascii="Times New Roman" w:eastAsia="Times New Roman" w:hAnsi="Times New Roman" w:cs="Times New Roman"/>
          <w:kern w:val="24"/>
          <w:sz w:val="24"/>
          <w:szCs w:val="24"/>
        </w:rPr>
        <w:t xml:space="preserve">he cultures were incubated in the absence or presence of 6.7 </w:t>
      </w:r>
      <w:r w:rsidR="00FB5246">
        <w:rPr>
          <w:rFonts w:ascii="Times New Roman" w:eastAsia="Times New Roman" w:hAnsi="Times New Roman" w:cs="Times New Roman"/>
          <w:kern w:val="24"/>
          <w:sz w:val="24"/>
          <w:szCs w:val="24"/>
        </w:rPr>
        <w:t>n</w:t>
      </w:r>
      <w:r>
        <w:rPr>
          <w:rFonts w:ascii="Times New Roman" w:eastAsia="Times New Roman" w:hAnsi="Times New Roman" w:cs="Times New Roman"/>
          <w:kern w:val="24"/>
          <w:sz w:val="24"/>
          <w:szCs w:val="24"/>
        </w:rPr>
        <w:t xml:space="preserve">M </w:t>
      </w:r>
      <w:r w:rsidRPr="00167B6C">
        <w:rPr>
          <w:rFonts w:ascii="Times New Roman" w:eastAsia="Times New Roman" w:hAnsi="Times New Roman" w:cs="Times New Roman"/>
          <w:kern w:val="24"/>
          <w:sz w:val="24"/>
          <w:szCs w:val="24"/>
        </w:rPr>
        <w:t>MGC018 and the number of viable RFP-labeled cells (only Hs700T/B7-H3 KO cells are visible) were monitored by time-lapse fluorescent microscopy over a period of 5 days.</w:t>
      </w:r>
      <w:r>
        <w:rPr>
          <w:rFonts w:ascii="Times New Roman" w:eastAsia="Times New Roman" w:hAnsi="Times New Roman" w:cs="Times New Roman"/>
          <w:kern w:val="24"/>
          <w:sz w:val="24"/>
          <w:szCs w:val="24"/>
        </w:rPr>
        <w:t xml:space="preserve"> </w:t>
      </w:r>
    </w:p>
    <w:p w14:paraId="502A54E5" w14:textId="77777777" w:rsidR="001874EF" w:rsidRDefault="001874EF" w:rsidP="001874EF">
      <w:pPr>
        <w:rPr>
          <w:rFonts w:ascii="Times New Roman" w:eastAsia="Times New Roman" w:hAnsi="Times New Roman" w:cs="Times New Roman"/>
          <w:kern w:val="24"/>
          <w:sz w:val="24"/>
          <w:szCs w:val="24"/>
        </w:rPr>
      </w:pPr>
      <w:r w:rsidRPr="008473EB">
        <w:rPr>
          <w:rFonts w:ascii="Times New Roman" w:eastAsia="Times New Roman" w:hAnsi="Times New Roman" w:cs="Times New Roman"/>
          <w:b/>
          <w:kern w:val="24"/>
          <w:sz w:val="24"/>
          <w:szCs w:val="24"/>
        </w:rPr>
        <w:t>Video</w:t>
      </w:r>
      <w:r>
        <w:rPr>
          <w:rFonts w:ascii="Times New Roman" w:eastAsia="Times New Roman" w:hAnsi="Times New Roman" w:cs="Times New Roman"/>
          <w:kern w:val="24"/>
          <w:sz w:val="24"/>
          <w:szCs w:val="24"/>
        </w:rPr>
        <w:t xml:space="preserve"> </w:t>
      </w:r>
      <w:r w:rsidRPr="00775456">
        <w:rPr>
          <w:rFonts w:ascii="Times New Roman" w:eastAsia="Times New Roman" w:hAnsi="Times New Roman" w:cs="Times New Roman"/>
          <w:b/>
          <w:kern w:val="24"/>
          <w:sz w:val="24"/>
          <w:szCs w:val="24"/>
        </w:rPr>
        <w:t>A</w:t>
      </w:r>
      <w:r>
        <w:rPr>
          <w:rFonts w:ascii="Times New Roman" w:eastAsia="Times New Roman" w:hAnsi="Times New Roman" w:cs="Times New Roman"/>
          <w:kern w:val="24"/>
          <w:sz w:val="24"/>
          <w:szCs w:val="24"/>
        </w:rPr>
        <w:t xml:space="preserve">, 5000 Hs700T parental cells only without treatment. </w:t>
      </w:r>
    </w:p>
    <w:p w14:paraId="0307A645" w14:textId="1AE78C66" w:rsidR="001874EF" w:rsidRDefault="001874EF" w:rsidP="001874EF">
      <w:pPr>
        <w:rPr>
          <w:rFonts w:ascii="Times New Roman" w:eastAsia="Times New Roman" w:hAnsi="Times New Roman" w:cs="Times New Roman"/>
          <w:kern w:val="24"/>
          <w:sz w:val="24"/>
          <w:szCs w:val="24"/>
        </w:rPr>
      </w:pPr>
      <w:r w:rsidRPr="008473EB">
        <w:rPr>
          <w:rFonts w:ascii="Times New Roman" w:eastAsia="Times New Roman" w:hAnsi="Times New Roman" w:cs="Times New Roman"/>
          <w:b/>
          <w:kern w:val="24"/>
          <w:sz w:val="24"/>
          <w:szCs w:val="24"/>
        </w:rPr>
        <w:t>Video</w:t>
      </w:r>
      <w:r>
        <w:rPr>
          <w:rFonts w:ascii="Times New Roman" w:eastAsia="Times New Roman" w:hAnsi="Times New Roman" w:cs="Times New Roman"/>
          <w:kern w:val="24"/>
          <w:sz w:val="24"/>
          <w:szCs w:val="24"/>
        </w:rPr>
        <w:t xml:space="preserve"> </w:t>
      </w:r>
      <w:r w:rsidRPr="00775456">
        <w:rPr>
          <w:rFonts w:ascii="Times New Roman" w:eastAsia="Times New Roman" w:hAnsi="Times New Roman" w:cs="Times New Roman"/>
          <w:b/>
          <w:kern w:val="24"/>
          <w:sz w:val="24"/>
          <w:szCs w:val="24"/>
        </w:rPr>
        <w:t>B</w:t>
      </w:r>
      <w:r>
        <w:rPr>
          <w:rFonts w:ascii="Times New Roman" w:eastAsia="Times New Roman" w:hAnsi="Times New Roman" w:cs="Times New Roman"/>
          <w:kern w:val="24"/>
          <w:sz w:val="24"/>
          <w:szCs w:val="24"/>
        </w:rPr>
        <w:t>, 5000 Hs700T</w:t>
      </w:r>
      <w:r w:rsidR="00F24470">
        <w:rPr>
          <w:rFonts w:ascii="Times New Roman" w:eastAsia="Times New Roman" w:hAnsi="Times New Roman" w:cs="Times New Roman"/>
          <w:kern w:val="24"/>
          <w:sz w:val="24"/>
          <w:szCs w:val="24"/>
        </w:rPr>
        <w:t>/</w:t>
      </w:r>
      <w:r>
        <w:rPr>
          <w:rFonts w:ascii="Times New Roman" w:eastAsia="Times New Roman" w:hAnsi="Times New Roman" w:cs="Times New Roman"/>
          <w:kern w:val="24"/>
          <w:sz w:val="24"/>
          <w:szCs w:val="24"/>
        </w:rPr>
        <w:t xml:space="preserve">B7-H3 KO/RFP cells only without treatment. </w:t>
      </w:r>
    </w:p>
    <w:p w14:paraId="578246B5" w14:textId="4833EE55" w:rsidR="001874EF" w:rsidRDefault="001874EF" w:rsidP="001874EF">
      <w:pPr>
        <w:rPr>
          <w:rFonts w:ascii="Times New Roman" w:eastAsia="Times New Roman" w:hAnsi="Times New Roman" w:cs="Times New Roman"/>
          <w:kern w:val="24"/>
          <w:sz w:val="24"/>
          <w:szCs w:val="24"/>
        </w:rPr>
      </w:pPr>
      <w:r w:rsidRPr="008473EB">
        <w:rPr>
          <w:rFonts w:ascii="Times New Roman" w:eastAsia="Times New Roman" w:hAnsi="Times New Roman" w:cs="Times New Roman"/>
          <w:b/>
          <w:kern w:val="24"/>
          <w:sz w:val="24"/>
          <w:szCs w:val="24"/>
        </w:rPr>
        <w:t>Video</w:t>
      </w:r>
      <w:r>
        <w:rPr>
          <w:rFonts w:ascii="Times New Roman" w:eastAsia="Times New Roman" w:hAnsi="Times New Roman" w:cs="Times New Roman"/>
          <w:kern w:val="24"/>
          <w:sz w:val="24"/>
          <w:szCs w:val="24"/>
        </w:rPr>
        <w:t xml:space="preserve"> </w:t>
      </w:r>
      <w:r w:rsidRPr="00775456">
        <w:rPr>
          <w:rFonts w:ascii="Times New Roman" w:eastAsia="Times New Roman" w:hAnsi="Times New Roman" w:cs="Times New Roman"/>
          <w:b/>
          <w:kern w:val="24"/>
          <w:sz w:val="24"/>
          <w:szCs w:val="24"/>
        </w:rPr>
        <w:t>C</w:t>
      </w:r>
      <w:r>
        <w:rPr>
          <w:rFonts w:ascii="Times New Roman" w:eastAsia="Times New Roman" w:hAnsi="Times New Roman" w:cs="Times New Roman"/>
          <w:kern w:val="24"/>
          <w:sz w:val="24"/>
          <w:szCs w:val="24"/>
        </w:rPr>
        <w:t xml:space="preserve">, 5000 Hs700T parental cells only in the presence of 6.7 </w:t>
      </w:r>
      <w:r w:rsidR="00684677">
        <w:rPr>
          <w:rFonts w:ascii="Times New Roman" w:eastAsia="Times New Roman" w:hAnsi="Times New Roman" w:cs="Times New Roman"/>
          <w:kern w:val="24"/>
          <w:sz w:val="24"/>
          <w:szCs w:val="24"/>
        </w:rPr>
        <w:t>n</w:t>
      </w:r>
      <w:r>
        <w:rPr>
          <w:rFonts w:ascii="Times New Roman" w:eastAsia="Times New Roman" w:hAnsi="Times New Roman" w:cs="Times New Roman"/>
          <w:kern w:val="24"/>
          <w:sz w:val="24"/>
          <w:szCs w:val="24"/>
        </w:rPr>
        <w:t xml:space="preserve">M </w:t>
      </w:r>
      <w:r w:rsidRPr="00167B6C">
        <w:rPr>
          <w:rFonts w:ascii="Times New Roman" w:eastAsia="Times New Roman" w:hAnsi="Times New Roman" w:cs="Times New Roman"/>
          <w:kern w:val="24"/>
          <w:sz w:val="24"/>
          <w:szCs w:val="24"/>
        </w:rPr>
        <w:t>MGC018</w:t>
      </w:r>
      <w:r>
        <w:rPr>
          <w:rFonts w:ascii="Times New Roman" w:eastAsia="Times New Roman" w:hAnsi="Times New Roman" w:cs="Times New Roman"/>
          <w:kern w:val="24"/>
          <w:sz w:val="24"/>
          <w:szCs w:val="24"/>
        </w:rPr>
        <w:t xml:space="preserve">. </w:t>
      </w:r>
    </w:p>
    <w:p w14:paraId="3BDF7CF3" w14:textId="5BA38473" w:rsidR="001874EF" w:rsidRDefault="001874EF" w:rsidP="001874EF">
      <w:pPr>
        <w:rPr>
          <w:rFonts w:ascii="Times New Roman" w:eastAsia="Times New Roman" w:hAnsi="Times New Roman" w:cs="Times New Roman"/>
          <w:kern w:val="24"/>
          <w:sz w:val="24"/>
          <w:szCs w:val="24"/>
        </w:rPr>
      </w:pPr>
      <w:r w:rsidRPr="008473EB">
        <w:rPr>
          <w:rFonts w:ascii="Times New Roman" w:eastAsia="Times New Roman" w:hAnsi="Times New Roman" w:cs="Times New Roman"/>
          <w:b/>
          <w:kern w:val="24"/>
          <w:sz w:val="24"/>
          <w:szCs w:val="24"/>
        </w:rPr>
        <w:t>Video</w:t>
      </w:r>
      <w:r>
        <w:rPr>
          <w:rFonts w:ascii="Times New Roman" w:eastAsia="Times New Roman" w:hAnsi="Times New Roman" w:cs="Times New Roman"/>
          <w:kern w:val="24"/>
          <w:sz w:val="24"/>
          <w:szCs w:val="24"/>
        </w:rPr>
        <w:t xml:space="preserve"> </w:t>
      </w:r>
      <w:r w:rsidRPr="00775456">
        <w:rPr>
          <w:rFonts w:ascii="Times New Roman" w:eastAsia="Times New Roman" w:hAnsi="Times New Roman" w:cs="Times New Roman"/>
          <w:b/>
          <w:kern w:val="24"/>
          <w:sz w:val="24"/>
          <w:szCs w:val="24"/>
        </w:rPr>
        <w:t>D</w:t>
      </w:r>
      <w:r>
        <w:rPr>
          <w:rFonts w:ascii="Times New Roman" w:eastAsia="Times New Roman" w:hAnsi="Times New Roman" w:cs="Times New Roman"/>
          <w:kern w:val="24"/>
          <w:sz w:val="24"/>
          <w:szCs w:val="24"/>
        </w:rPr>
        <w:t>, 5000 Hs700T</w:t>
      </w:r>
      <w:r w:rsidR="00F24470">
        <w:rPr>
          <w:rFonts w:ascii="Times New Roman" w:eastAsia="Times New Roman" w:hAnsi="Times New Roman" w:cs="Times New Roman"/>
          <w:kern w:val="24"/>
          <w:sz w:val="24"/>
          <w:szCs w:val="24"/>
        </w:rPr>
        <w:t>/</w:t>
      </w:r>
      <w:r>
        <w:rPr>
          <w:rFonts w:ascii="Times New Roman" w:eastAsia="Times New Roman" w:hAnsi="Times New Roman" w:cs="Times New Roman"/>
          <w:kern w:val="24"/>
          <w:sz w:val="24"/>
          <w:szCs w:val="24"/>
        </w:rPr>
        <w:t xml:space="preserve">B7-H3 KO/RFP cells alone in the presence of 6.7 </w:t>
      </w:r>
      <w:r w:rsidR="00684677">
        <w:rPr>
          <w:rFonts w:ascii="Times New Roman" w:eastAsia="Times New Roman" w:hAnsi="Times New Roman" w:cs="Times New Roman"/>
          <w:kern w:val="24"/>
          <w:sz w:val="24"/>
          <w:szCs w:val="24"/>
        </w:rPr>
        <w:t>n</w:t>
      </w:r>
      <w:r>
        <w:rPr>
          <w:rFonts w:ascii="Times New Roman" w:eastAsia="Times New Roman" w:hAnsi="Times New Roman" w:cs="Times New Roman"/>
          <w:kern w:val="24"/>
          <w:sz w:val="24"/>
          <w:szCs w:val="24"/>
        </w:rPr>
        <w:t xml:space="preserve">M </w:t>
      </w:r>
      <w:r w:rsidRPr="00167B6C">
        <w:rPr>
          <w:rFonts w:ascii="Times New Roman" w:eastAsia="Times New Roman" w:hAnsi="Times New Roman" w:cs="Times New Roman"/>
          <w:kern w:val="24"/>
          <w:sz w:val="24"/>
          <w:szCs w:val="24"/>
        </w:rPr>
        <w:t>MGC018</w:t>
      </w:r>
      <w:r>
        <w:rPr>
          <w:rFonts w:ascii="Times New Roman" w:eastAsia="Times New Roman" w:hAnsi="Times New Roman" w:cs="Times New Roman"/>
          <w:kern w:val="24"/>
          <w:sz w:val="24"/>
          <w:szCs w:val="24"/>
        </w:rPr>
        <w:t xml:space="preserve">. </w:t>
      </w:r>
    </w:p>
    <w:p w14:paraId="07C9560A" w14:textId="17EC3732" w:rsidR="001874EF" w:rsidRPr="004F26FF" w:rsidRDefault="001874EF" w:rsidP="001874EF">
      <w:pPr>
        <w:rPr>
          <w:rFonts w:ascii="Times New Roman" w:eastAsia="Times New Roman" w:hAnsi="Times New Roman" w:cs="Times New Roman"/>
          <w:b/>
          <w:kern w:val="24"/>
          <w:sz w:val="24"/>
          <w:szCs w:val="24"/>
        </w:rPr>
      </w:pPr>
      <w:r w:rsidRPr="008473EB">
        <w:rPr>
          <w:rFonts w:ascii="Times New Roman" w:eastAsia="Times New Roman" w:hAnsi="Times New Roman" w:cs="Times New Roman"/>
          <w:b/>
          <w:kern w:val="24"/>
          <w:sz w:val="24"/>
          <w:szCs w:val="24"/>
        </w:rPr>
        <w:t xml:space="preserve">Video </w:t>
      </w:r>
      <w:r w:rsidRPr="00775456">
        <w:rPr>
          <w:rFonts w:ascii="Times New Roman" w:eastAsia="Times New Roman" w:hAnsi="Times New Roman" w:cs="Times New Roman"/>
          <w:b/>
          <w:kern w:val="24"/>
          <w:sz w:val="24"/>
          <w:szCs w:val="24"/>
        </w:rPr>
        <w:t>E</w:t>
      </w:r>
      <w:r>
        <w:rPr>
          <w:rFonts w:ascii="Times New Roman" w:eastAsia="Times New Roman" w:hAnsi="Times New Roman" w:cs="Times New Roman"/>
          <w:kern w:val="24"/>
          <w:sz w:val="24"/>
          <w:szCs w:val="24"/>
        </w:rPr>
        <w:t>, Co-culture of 5000 Hs700T parental cells and 5000 Hs700T</w:t>
      </w:r>
      <w:r w:rsidR="00F24470">
        <w:rPr>
          <w:rFonts w:ascii="Times New Roman" w:eastAsia="Times New Roman" w:hAnsi="Times New Roman" w:cs="Times New Roman"/>
          <w:kern w:val="24"/>
          <w:sz w:val="24"/>
          <w:szCs w:val="24"/>
        </w:rPr>
        <w:t>/</w:t>
      </w:r>
      <w:r>
        <w:rPr>
          <w:rFonts w:ascii="Times New Roman" w:eastAsia="Times New Roman" w:hAnsi="Times New Roman" w:cs="Times New Roman"/>
          <w:kern w:val="24"/>
          <w:sz w:val="24"/>
          <w:szCs w:val="24"/>
        </w:rPr>
        <w:t xml:space="preserve">B7-H3 KO/RFP cells in the presence of 6.7 </w:t>
      </w:r>
      <w:r w:rsidR="00684677">
        <w:rPr>
          <w:rFonts w:ascii="Times New Roman" w:eastAsia="Times New Roman" w:hAnsi="Times New Roman" w:cs="Times New Roman"/>
          <w:kern w:val="24"/>
          <w:sz w:val="24"/>
          <w:szCs w:val="24"/>
        </w:rPr>
        <w:t>n</w:t>
      </w:r>
      <w:bookmarkStart w:id="0" w:name="_GoBack"/>
      <w:bookmarkEnd w:id="0"/>
      <w:r>
        <w:rPr>
          <w:rFonts w:ascii="Times New Roman" w:eastAsia="Times New Roman" w:hAnsi="Times New Roman" w:cs="Times New Roman"/>
          <w:kern w:val="24"/>
          <w:sz w:val="24"/>
          <w:szCs w:val="24"/>
        </w:rPr>
        <w:t xml:space="preserve">M </w:t>
      </w:r>
      <w:r w:rsidRPr="00167B6C">
        <w:rPr>
          <w:rFonts w:ascii="Times New Roman" w:eastAsia="Times New Roman" w:hAnsi="Times New Roman" w:cs="Times New Roman"/>
          <w:kern w:val="24"/>
          <w:sz w:val="24"/>
          <w:szCs w:val="24"/>
        </w:rPr>
        <w:t>MGC018</w:t>
      </w:r>
      <w:r>
        <w:rPr>
          <w:rFonts w:ascii="Times New Roman" w:eastAsia="Times New Roman" w:hAnsi="Times New Roman" w:cs="Times New Roman"/>
          <w:kern w:val="24"/>
          <w:sz w:val="24"/>
          <w:szCs w:val="24"/>
        </w:rPr>
        <w:t>.</w:t>
      </w:r>
    </w:p>
    <w:p w14:paraId="0A8706FF" w14:textId="77777777" w:rsidR="004F26FF" w:rsidRDefault="004F26FF" w:rsidP="0051670F">
      <w:pPr>
        <w:rPr>
          <w:rFonts w:ascii="Times New Roman" w:hAnsi="Times New Roman" w:cs="Times New Roman"/>
          <w:b/>
          <w:sz w:val="24"/>
          <w:szCs w:val="24"/>
        </w:rPr>
      </w:pPr>
    </w:p>
    <w:p w14:paraId="2A294137" w14:textId="7C86A7A8" w:rsidR="0051670F" w:rsidRPr="001874EF" w:rsidRDefault="001874EF" w:rsidP="001874EF">
      <w:pPr>
        <w:rPr>
          <w:rFonts w:ascii="Times New Roman" w:hAnsi="Times New Roman" w:cs="Times New Roman"/>
          <w:b/>
          <w:sz w:val="24"/>
          <w:szCs w:val="24"/>
        </w:rPr>
      </w:pPr>
      <w:r>
        <w:rPr>
          <w:rFonts w:ascii="Times New Roman" w:hAnsi="Times New Roman" w:cs="Times New Roman"/>
          <w:b/>
          <w:sz w:val="24"/>
          <w:szCs w:val="24"/>
        </w:rPr>
        <w:br w:type="page"/>
      </w:r>
      <w:r w:rsidR="004F26FF">
        <w:rPr>
          <w:rFonts w:ascii="Times New Roman" w:eastAsia="Times New Roman" w:hAnsi="Times New Roman" w:cs="Times New Roman"/>
          <w:b/>
          <w:kern w:val="24"/>
          <w:sz w:val="24"/>
          <w:szCs w:val="24"/>
        </w:rPr>
        <w:lastRenderedPageBreak/>
        <w:t xml:space="preserve">Supplemental </w:t>
      </w:r>
      <w:r w:rsidR="00BC6C6D">
        <w:rPr>
          <w:rFonts w:ascii="Times New Roman" w:eastAsia="Times New Roman" w:hAnsi="Times New Roman" w:cs="Times New Roman"/>
          <w:b/>
          <w:kern w:val="24"/>
          <w:sz w:val="24"/>
          <w:szCs w:val="24"/>
        </w:rPr>
        <w:t>Figure S</w:t>
      </w:r>
      <w:r w:rsidR="0022489D">
        <w:rPr>
          <w:rFonts w:ascii="Times New Roman" w:eastAsia="Times New Roman" w:hAnsi="Times New Roman" w:cs="Times New Roman"/>
          <w:b/>
          <w:kern w:val="24"/>
          <w:sz w:val="24"/>
          <w:szCs w:val="24"/>
        </w:rPr>
        <w:t>6</w:t>
      </w:r>
    </w:p>
    <w:p w14:paraId="1E9C533E" w14:textId="77777777" w:rsidR="004F26FF" w:rsidRDefault="004F26FF" w:rsidP="0051670F">
      <w:pPr>
        <w:spacing w:after="240" w:line="240" w:lineRule="auto"/>
        <w:rPr>
          <w:rFonts w:ascii="Times New Roman" w:eastAsia="Times New Roman" w:hAnsi="Times New Roman" w:cs="Times New Roman"/>
          <w:b/>
          <w:kern w:val="24"/>
          <w:sz w:val="24"/>
          <w:szCs w:val="24"/>
        </w:rPr>
      </w:pPr>
    </w:p>
    <w:p w14:paraId="14CDC228" w14:textId="3A45E199" w:rsidR="004F26FF" w:rsidRDefault="004F26FF" w:rsidP="0051670F">
      <w:pPr>
        <w:spacing w:after="240" w:line="240" w:lineRule="auto"/>
        <w:rPr>
          <w:rFonts w:ascii="Times New Roman" w:eastAsia="Times New Roman" w:hAnsi="Times New Roman" w:cs="Times New Roman"/>
          <w:b/>
          <w:kern w:val="24"/>
          <w:sz w:val="24"/>
          <w:szCs w:val="24"/>
        </w:rPr>
      </w:pPr>
    </w:p>
    <w:p w14:paraId="2EC6A46B" w14:textId="7BB18769" w:rsidR="007A495A" w:rsidRDefault="007A495A" w:rsidP="0051670F">
      <w:pPr>
        <w:spacing w:after="240" w:line="240" w:lineRule="auto"/>
        <w:rPr>
          <w:rFonts w:ascii="Times New Roman" w:eastAsia="Times New Roman" w:hAnsi="Times New Roman" w:cs="Times New Roman"/>
          <w:b/>
          <w:kern w:val="24"/>
          <w:sz w:val="24"/>
          <w:szCs w:val="24"/>
        </w:rPr>
      </w:pPr>
      <w:r>
        <w:rPr>
          <w:noProof/>
        </w:rPr>
        <w:drawing>
          <wp:inline distT="0" distB="0" distL="0" distR="0" wp14:anchorId="64A4C493" wp14:editId="1F45E7F4">
            <wp:extent cx="5252383" cy="334166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58455" cy="3345523"/>
                    </a:xfrm>
                    <a:prstGeom prst="rect">
                      <a:avLst/>
                    </a:prstGeom>
                  </pic:spPr>
                </pic:pic>
              </a:graphicData>
            </a:graphic>
          </wp:inline>
        </w:drawing>
      </w:r>
    </w:p>
    <w:p w14:paraId="0BB7A649" w14:textId="6B45C3A1" w:rsidR="0051670F" w:rsidRPr="00F42BF5" w:rsidRDefault="00BC6C6D" w:rsidP="0051670F">
      <w:pPr>
        <w:spacing w:after="240" w:line="240" w:lineRule="auto"/>
        <w:rPr>
          <w:rFonts w:ascii="Times New Roman" w:eastAsia="Times New Roman" w:hAnsi="Times New Roman" w:cs="Times New Roman"/>
          <w:kern w:val="24"/>
          <w:sz w:val="24"/>
          <w:szCs w:val="24"/>
        </w:rPr>
      </w:pPr>
      <w:r>
        <w:rPr>
          <w:rFonts w:ascii="Times New Roman" w:eastAsia="Times New Roman" w:hAnsi="Times New Roman" w:cs="Times New Roman"/>
          <w:b/>
          <w:kern w:val="24"/>
          <w:sz w:val="24"/>
          <w:szCs w:val="24"/>
        </w:rPr>
        <w:t>Supplemental Figure S</w:t>
      </w:r>
      <w:r w:rsidR="0022489D">
        <w:rPr>
          <w:rFonts w:ascii="Times New Roman" w:eastAsia="Times New Roman" w:hAnsi="Times New Roman" w:cs="Times New Roman"/>
          <w:b/>
          <w:kern w:val="24"/>
          <w:sz w:val="24"/>
          <w:szCs w:val="24"/>
        </w:rPr>
        <w:t>6</w:t>
      </w:r>
      <w:r w:rsidR="004F26FF" w:rsidRPr="004F26FF">
        <w:rPr>
          <w:rFonts w:ascii="Times New Roman" w:eastAsia="Times New Roman" w:hAnsi="Times New Roman" w:cs="Times New Roman"/>
          <w:b/>
          <w:kern w:val="24"/>
          <w:sz w:val="24"/>
          <w:szCs w:val="24"/>
        </w:rPr>
        <w:t xml:space="preserve">. </w:t>
      </w:r>
      <w:r w:rsidR="0051670F" w:rsidRPr="004F26FF">
        <w:rPr>
          <w:rFonts w:ascii="Times New Roman" w:eastAsia="Times New Roman" w:hAnsi="Times New Roman" w:cs="Times New Roman"/>
          <w:b/>
          <w:kern w:val="24"/>
          <w:sz w:val="24"/>
          <w:szCs w:val="24"/>
        </w:rPr>
        <w:t>Stability of MGC018 following incubation in human, cynomolgus monkey and mouse serum.</w:t>
      </w:r>
      <w:r w:rsidR="0051670F">
        <w:rPr>
          <w:rFonts w:ascii="Times New Roman" w:eastAsia="Times New Roman" w:hAnsi="Times New Roman" w:cs="Times New Roman"/>
          <w:kern w:val="24"/>
          <w:sz w:val="24"/>
          <w:szCs w:val="24"/>
        </w:rPr>
        <w:t xml:space="preserve"> Serum concentration-time profiles for conjugated mAb (red squares) and total mAb (black circles). </w:t>
      </w:r>
      <w:r w:rsidR="0051670F">
        <w:rPr>
          <w:rFonts w:ascii="Times New Roman" w:eastAsia="Times New Roman" w:hAnsi="Times New Roman" w:cs="Times New Roman"/>
          <w:b/>
          <w:kern w:val="24"/>
          <w:sz w:val="24"/>
          <w:szCs w:val="24"/>
        </w:rPr>
        <w:t>A</w:t>
      </w:r>
      <w:r w:rsidR="0051670F" w:rsidRPr="00D810DF">
        <w:rPr>
          <w:rFonts w:ascii="Times New Roman" w:eastAsia="Times New Roman" w:hAnsi="Times New Roman" w:cs="Times New Roman"/>
          <w:kern w:val="24"/>
          <w:sz w:val="24"/>
          <w:szCs w:val="24"/>
        </w:rPr>
        <w:t>,</w:t>
      </w:r>
      <w:r w:rsidR="0051670F">
        <w:rPr>
          <w:rFonts w:ascii="Times New Roman" w:eastAsia="Times New Roman" w:hAnsi="Times New Roman" w:cs="Times New Roman"/>
          <w:kern w:val="24"/>
          <w:sz w:val="24"/>
          <w:szCs w:val="24"/>
        </w:rPr>
        <w:t xml:space="preserve"> human serum; </w:t>
      </w:r>
      <w:r w:rsidR="0051670F">
        <w:rPr>
          <w:rFonts w:ascii="Times New Roman" w:eastAsia="Times New Roman" w:hAnsi="Times New Roman" w:cs="Times New Roman"/>
          <w:b/>
          <w:kern w:val="24"/>
          <w:sz w:val="24"/>
          <w:szCs w:val="24"/>
        </w:rPr>
        <w:t>B</w:t>
      </w:r>
      <w:r w:rsidR="0051670F" w:rsidRPr="00D810DF">
        <w:rPr>
          <w:rFonts w:ascii="Times New Roman" w:eastAsia="Times New Roman" w:hAnsi="Times New Roman" w:cs="Times New Roman"/>
          <w:kern w:val="24"/>
          <w:sz w:val="24"/>
          <w:szCs w:val="24"/>
        </w:rPr>
        <w:t>,</w:t>
      </w:r>
      <w:r w:rsidR="0051670F">
        <w:rPr>
          <w:rFonts w:ascii="Times New Roman" w:eastAsia="Times New Roman" w:hAnsi="Times New Roman" w:cs="Times New Roman"/>
          <w:kern w:val="24"/>
          <w:sz w:val="24"/>
          <w:szCs w:val="24"/>
        </w:rPr>
        <w:t xml:space="preserve"> cynomolgus monkey serum; </w:t>
      </w:r>
      <w:r w:rsidR="0051670F">
        <w:rPr>
          <w:rFonts w:ascii="Times New Roman" w:eastAsia="Times New Roman" w:hAnsi="Times New Roman" w:cs="Times New Roman"/>
          <w:b/>
          <w:kern w:val="24"/>
          <w:sz w:val="24"/>
          <w:szCs w:val="24"/>
        </w:rPr>
        <w:t>C</w:t>
      </w:r>
      <w:r w:rsidR="0051670F" w:rsidRPr="00D810DF">
        <w:rPr>
          <w:rFonts w:ascii="Times New Roman" w:eastAsia="Times New Roman" w:hAnsi="Times New Roman" w:cs="Times New Roman"/>
          <w:kern w:val="24"/>
          <w:sz w:val="24"/>
          <w:szCs w:val="24"/>
        </w:rPr>
        <w:t>,</w:t>
      </w:r>
      <w:r w:rsidR="0051670F">
        <w:rPr>
          <w:rFonts w:ascii="Times New Roman" w:eastAsia="Times New Roman" w:hAnsi="Times New Roman" w:cs="Times New Roman"/>
          <w:kern w:val="24"/>
          <w:sz w:val="24"/>
          <w:szCs w:val="24"/>
        </w:rPr>
        <w:t xml:space="preserve"> wild-type CD1 nude mouse serum; </w:t>
      </w:r>
      <w:r w:rsidR="0051670F">
        <w:rPr>
          <w:rFonts w:ascii="Times New Roman" w:eastAsia="Times New Roman" w:hAnsi="Times New Roman" w:cs="Times New Roman"/>
          <w:b/>
          <w:kern w:val="24"/>
          <w:sz w:val="24"/>
          <w:szCs w:val="24"/>
        </w:rPr>
        <w:t>D</w:t>
      </w:r>
      <w:r w:rsidR="0051670F" w:rsidRPr="00D810DF">
        <w:rPr>
          <w:rFonts w:ascii="Times New Roman" w:eastAsia="Times New Roman" w:hAnsi="Times New Roman" w:cs="Times New Roman"/>
          <w:kern w:val="24"/>
          <w:sz w:val="24"/>
          <w:szCs w:val="24"/>
        </w:rPr>
        <w:t xml:space="preserve">, </w:t>
      </w:r>
      <w:r w:rsidR="0051670F">
        <w:rPr>
          <w:rFonts w:ascii="Times New Roman" w:eastAsia="Times New Roman" w:hAnsi="Times New Roman" w:cs="Times New Roman"/>
          <w:kern w:val="24"/>
          <w:sz w:val="24"/>
          <w:szCs w:val="24"/>
        </w:rPr>
        <w:t>SCID/CES1c knock out mouse serum.</w:t>
      </w:r>
    </w:p>
    <w:p w14:paraId="09B4C939" w14:textId="77777777" w:rsidR="002C6E70" w:rsidRDefault="002C6E70">
      <w:pPr>
        <w:rPr>
          <w:rFonts w:ascii="Times New Roman" w:eastAsia="Times New Roman" w:hAnsi="Times New Roman" w:cs="Times New Roman"/>
          <w:b/>
          <w:kern w:val="24"/>
          <w:sz w:val="24"/>
          <w:szCs w:val="24"/>
        </w:rPr>
      </w:pPr>
      <w:r>
        <w:rPr>
          <w:rFonts w:ascii="Times New Roman" w:eastAsia="Times New Roman" w:hAnsi="Times New Roman" w:cs="Times New Roman"/>
          <w:b/>
          <w:kern w:val="24"/>
          <w:sz w:val="24"/>
          <w:szCs w:val="24"/>
        </w:rPr>
        <w:br w:type="page"/>
      </w:r>
    </w:p>
    <w:p w14:paraId="1F73070D" w14:textId="237D289F" w:rsidR="0051670F" w:rsidRPr="0092394E" w:rsidRDefault="004F26FF" w:rsidP="0051670F">
      <w:pPr>
        <w:spacing w:after="240" w:line="240" w:lineRule="auto"/>
        <w:rPr>
          <w:rFonts w:ascii="Times New Roman" w:eastAsia="Times New Roman" w:hAnsi="Times New Roman" w:cs="Times New Roman"/>
          <w:b/>
          <w:kern w:val="24"/>
          <w:sz w:val="24"/>
          <w:szCs w:val="24"/>
        </w:rPr>
      </w:pPr>
      <w:r>
        <w:rPr>
          <w:rFonts w:ascii="Times New Roman" w:eastAsia="Times New Roman" w:hAnsi="Times New Roman" w:cs="Times New Roman"/>
          <w:b/>
          <w:kern w:val="24"/>
          <w:sz w:val="24"/>
          <w:szCs w:val="24"/>
        </w:rPr>
        <w:lastRenderedPageBreak/>
        <w:t xml:space="preserve">Supplemental </w:t>
      </w:r>
      <w:r w:rsidR="00BC6C6D">
        <w:rPr>
          <w:rFonts w:ascii="Times New Roman" w:eastAsia="Times New Roman" w:hAnsi="Times New Roman" w:cs="Times New Roman"/>
          <w:b/>
          <w:kern w:val="24"/>
          <w:sz w:val="24"/>
          <w:szCs w:val="24"/>
        </w:rPr>
        <w:t>Figure S</w:t>
      </w:r>
      <w:r w:rsidR="0022489D">
        <w:rPr>
          <w:rFonts w:ascii="Times New Roman" w:eastAsia="Times New Roman" w:hAnsi="Times New Roman" w:cs="Times New Roman"/>
          <w:b/>
          <w:kern w:val="24"/>
          <w:sz w:val="24"/>
          <w:szCs w:val="24"/>
        </w:rPr>
        <w:t>7</w:t>
      </w:r>
    </w:p>
    <w:p w14:paraId="701E0622" w14:textId="63419F1B" w:rsidR="004F26FF" w:rsidRDefault="004F26FF" w:rsidP="004F26FF">
      <w:pPr>
        <w:spacing w:after="240" w:line="240" w:lineRule="auto"/>
        <w:rPr>
          <w:rFonts w:ascii="Times New Roman" w:eastAsia="Times New Roman" w:hAnsi="Times New Roman" w:cs="Times New Roman"/>
          <w:b/>
          <w:kern w:val="24"/>
          <w:sz w:val="24"/>
          <w:szCs w:val="24"/>
        </w:rPr>
      </w:pPr>
      <w:r>
        <w:rPr>
          <w:noProof/>
        </w:rPr>
        <w:drawing>
          <wp:inline distT="0" distB="0" distL="0" distR="0" wp14:anchorId="6781C066" wp14:editId="78FA3802">
            <wp:extent cx="5943600" cy="29552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955290"/>
                    </a:xfrm>
                    <a:prstGeom prst="rect">
                      <a:avLst/>
                    </a:prstGeom>
                  </pic:spPr>
                </pic:pic>
              </a:graphicData>
            </a:graphic>
          </wp:inline>
        </w:drawing>
      </w:r>
    </w:p>
    <w:p w14:paraId="1AE250F8" w14:textId="1C3FD468" w:rsidR="0051670F" w:rsidRPr="004F26FF" w:rsidRDefault="004F26FF" w:rsidP="004F26FF">
      <w:pPr>
        <w:spacing w:after="240" w:line="240" w:lineRule="auto"/>
        <w:rPr>
          <w:rFonts w:ascii="Times New Roman" w:eastAsia="Times New Roman" w:hAnsi="Times New Roman" w:cs="Times New Roman"/>
          <w:b/>
          <w:kern w:val="24"/>
          <w:sz w:val="24"/>
          <w:szCs w:val="24"/>
        </w:rPr>
      </w:pPr>
      <w:r>
        <w:rPr>
          <w:rFonts w:ascii="Times New Roman" w:eastAsia="Times New Roman" w:hAnsi="Times New Roman" w:cs="Times New Roman"/>
          <w:b/>
          <w:kern w:val="24"/>
          <w:sz w:val="24"/>
          <w:szCs w:val="24"/>
        </w:rPr>
        <w:t>Supplemental Figure</w:t>
      </w:r>
      <w:r w:rsidR="00BC6C6D">
        <w:rPr>
          <w:rFonts w:ascii="Times New Roman" w:eastAsia="Times New Roman" w:hAnsi="Times New Roman" w:cs="Times New Roman"/>
          <w:b/>
          <w:kern w:val="24"/>
          <w:sz w:val="24"/>
          <w:szCs w:val="24"/>
        </w:rPr>
        <w:t xml:space="preserve"> S</w:t>
      </w:r>
      <w:r w:rsidR="0022489D">
        <w:rPr>
          <w:rFonts w:ascii="Times New Roman" w:eastAsia="Times New Roman" w:hAnsi="Times New Roman" w:cs="Times New Roman"/>
          <w:b/>
          <w:kern w:val="24"/>
          <w:sz w:val="24"/>
          <w:szCs w:val="24"/>
        </w:rPr>
        <w:t>7</w:t>
      </w:r>
      <w:r w:rsidRPr="0092394E">
        <w:rPr>
          <w:rFonts w:ascii="Times New Roman" w:eastAsia="Times New Roman" w:hAnsi="Times New Roman" w:cs="Times New Roman"/>
          <w:b/>
          <w:kern w:val="24"/>
          <w:sz w:val="24"/>
          <w:szCs w:val="24"/>
        </w:rPr>
        <w:t xml:space="preserve">. </w:t>
      </w:r>
      <w:r w:rsidR="0051670F" w:rsidRPr="00636547">
        <w:rPr>
          <w:rFonts w:ascii="Times New Roman" w:eastAsia="Times New Roman" w:hAnsi="Times New Roman" w:cs="Times New Roman"/>
          <w:b/>
          <w:kern w:val="24"/>
          <w:sz w:val="24"/>
          <w:szCs w:val="24"/>
        </w:rPr>
        <w:t>Pharmacokinetics of MGC018 in cynomolgus monkey and mice</w:t>
      </w:r>
      <w:r w:rsidR="0051670F">
        <w:rPr>
          <w:rFonts w:ascii="Times New Roman" w:eastAsia="Times New Roman" w:hAnsi="Times New Roman" w:cs="Times New Roman"/>
          <w:kern w:val="24"/>
          <w:sz w:val="24"/>
          <w:szCs w:val="24"/>
        </w:rPr>
        <w:t xml:space="preserve">. </w:t>
      </w:r>
      <w:r w:rsidR="0051670F" w:rsidRPr="00DA1FCC">
        <w:rPr>
          <w:rFonts w:ascii="Times New Roman" w:eastAsia="Times New Roman" w:hAnsi="Times New Roman" w:cs="Times New Roman"/>
          <w:b/>
          <w:kern w:val="24"/>
          <w:sz w:val="24"/>
          <w:szCs w:val="24"/>
        </w:rPr>
        <w:t>A-D</w:t>
      </w:r>
      <w:r w:rsidR="0051670F">
        <w:rPr>
          <w:rFonts w:ascii="Times New Roman" w:eastAsia="Times New Roman" w:hAnsi="Times New Roman" w:cs="Times New Roman"/>
          <w:kern w:val="24"/>
          <w:sz w:val="24"/>
          <w:szCs w:val="24"/>
        </w:rPr>
        <w:t xml:space="preserve">, serum concentration-time profiles for conjugated mAb (red open circles), total mAb (green open squares), and unconjugated DUBA (blue open triangles) in cynomolgus monkey following IV administration of MGC018 at the indicated concentrations. </w:t>
      </w:r>
      <w:r w:rsidR="0051670F" w:rsidRPr="00DA1FCC">
        <w:rPr>
          <w:rFonts w:ascii="Times New Roman" w:eastAsia="Times New Roman" w:hAnsi="Times New Roman" w:cs="Times New Roman"/>
          <w:b/>
          <w:kern w:val="24"/>
          <w:sz w:val="24"/>
          <w:szCs w:val="24"/>
        </w:rPr>
        <w:t>E</w:t>
      </w:r>
      <w:r w:rsidR="0051670F">
        <w:rPr>
          <w:rFonts w:ascii="Times New Roman" w:eastAsia="Times New Roman" w:hAnsi="Times New Roman" w:cs="Times New Roman"/>
          <w:kern w:val="24"/>
          <w:sz w:val="24"/>
          <w:szCs w:val="24"/>
        </w:rPr>
        <w:t xml:space="preserve">, serum concentration-time profiles for conjugated mAb (red open circles) and total mAb (green open squares) in CD1 nude mice following IV administration of MGC018 at 5 mg/kg. </w:t>
      </w:r>
      <w:r w:rsidR="0051670F" w:rsidRPr="00DA1FCC">
        <w:rPr>
          <w:rFonts w:ascii="Times New Roman" w:eastAsia="Times New Roman" w:hAnsi="Times New Roman" w:cs="Times New Roman"/>
          <w:b/>
          <w:kern w:val="24"/>
          <w:sz w:val="24"/>
          <w:szCs w:val="24"/>
        </w:rPr>
        <w:t>F</w:t>
      </w:r>
      <w:r w:rsidR="0051670F">
        <w:rPr>
          <w:rFonts w:ascii="Times New Roman" w:eastAsia="Times New Roman" w:hAnsi="Times New Roman" w:cs="Times New Roman"/>
          <w:kern w:val="24"/>
          <w:sz w:val="24"/>
          <w:szCs w:val="24"/>
        </w:rPr>
        <w:t>, serum concentration-time profiles for conjugated mAb (red open circles) and total mAb (green open squares) in SCID/CES1c knock out mice following IV administration of MGC018 at 5 mg/kg.</w:t>
      </w:r>
    </w:p>
    <w:p w14:paraId="108DD089" w14:textId="77777777" w:rsidR="002C6E70" w:rsidRDefault="002C6E70">
      <w:pPr>
        <w:rPr>
          <w:rFonts w:ascii="Times New Roman" w:eastAsia="Times New Roman" w:hAnsi="Times New Roman" w:cs="Times New Roman"/>
          <w:b/>
          <w:kern w:val="24"/>
          <w:sz w:val="24"/>
          <w:szCs w:val="24"/>
        </w:rPr>
      </w:pPr>
      <w:r>
        <w:rPr>
          <w:rFonts w:ascii="Times New Roman" w:eastAsia="Times New Roman" w:hAnsi="Times New Roman" w:cs="Times New Roman"/>
          <w:b/>
          <w:kern w:val="24"/>
          <w:sz w:val="24"/>
          <w:szCs w:val="24"/>
        </w:rPr>
        <w:br w:type="page"/>
      </w:r>
    </w:p>
    <w:p w14:paraId="0F00ED58" w14:textId="5E8389C5" w:rsidR="001874EF" w:rsidRPr="003D003B" w:rsidRDefault="001874EF" w:rsidP="003D003B">
      <w:pPr>
        <w:rPr>
          <w:rFonts w:ascii="Times New Roman" w:hAnsi="Times New Roman" w:cs="Times New Roman"/>
          <w:b/>
          <w:sz w:val="24"/>
          <w:szCs w:val="24"/>
        </w:rPr>
      </w:pPr>
      <w:r>
        <w:rPr>
          <w:rFonts w:ascii="Times New Roman" w:hAnsi="Times New Roman" w:cs="Times New Roman"/>
          <w:b/>
          <w:sz w:val="24"/>
          <w:szCs w:val="24"/>
        </w:rPr>
        <w:lastRenderedPageBreak/>
        <w:t>Supplemental Figure S8</w:t>
      </w:r>
    </w:p>
    <w:p w14:paraId="01174F92" w14:textId="62C2C44A" w:rsidR="00DA7765" w:rsidRDefault="00B11D92" w:rsidP="001874EF">
      <w:pPr>
        <w:spacing w:after="240" w:line="240" w:lineRule="auto"/>
        <w:rPr>
          <w:rFonts w:ascii="Times New Roman" w:eastAsia="Times New Roman" w:hAnsi="Times New Roman" w:cs="Times New Roman"/>
          <w:b/>
          <w:kern w:val="24"/>
          <w:sz w:val="24"/>
          <w:szCs w:val="24"/>
        </w:rPr>
      </w:pPr>
      <w:r>
        <w:rPr>
          <w:noProof/>
        </w:rPr>
        <w:drawing>
          <wp:inline distT="0" distB="0" distL="0" distR="0" wp14:anchorId="64F12744" wp14:editId="3CB536E2">
            <wp:extent cx="4939030" cy="2361869"/>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71246" cy="2377275"/>
                    </a:xfrm>
                    <a:prstGeom prst="rect">
                      <a:avLst/>
                    </a:prstGeom>
                  </pic:spPr>
                </pic:pic>
              </a:graphicData>
            </a:graphic>
          </wp:inline>
        </w:drawing>
      </w:r>
    </w:p>
    <w:p w14:paraId="1C39AE41" w14:textId="77777777" w:rsidR="00DA7765" w:rsidRDefault="00DA7765" w:rsidP="001874EF">
      <w:pPr>
        <w:spacing w:after="240" w:line="240" w:lineRule="auto"/>
        <w:rPr>
          <w:rFonts w:ascii="Times New Roman" w:eastAsia="Times New Roman" w:hAnsi="Times New Roman" w:cs="Times New Roman"/>
          <w:b/>
          <w:kern w:val="24"/>
          <w:sz w:val="24"/>
          <w:szCs w:val="24"/>
        </w:rPr>
      </w:pPr>
    </w:p>
    <w:p w14:paraId="319E0CC8" w14:textId="4DDB065F" w:rsidR="001874EF" w:rsidRDefault="001874EF" w:rsidP="001874EF">
      <w:pPr>
        <w:spacing w:after="240" w:line="240" w:lineRule="auto"/>
        <w:rPr>
          <w:rFonts w:ascii="Times New Roman" w:eastAsia="Times New Roman" w:hAnsi="Times New Roman" w:cs="Times New Roman"/>
          <w:kern w:val="24"/>
          <w:sz w:val="24"/>
          <w:szCs w:val="24"/>
        </w:rPr>
      </w:pPr>
      <w:r>
        <w:rPr>
          <w:rFonts w:ascii="Times New Roman" w:eastAsia="Times New Roman" w:hAnsi="Times New Roman" w:cs="Times New Roman"/>
          <w:b/>
          <w:kern w:val="24"/>
          <w:sz w:val="24"/>
          <w:szCs w:val="24"/>
        </w:rPr>
        <w:t>Supplemental Figure S8</w:t>
      </w:r>
      <w:r w:rsidRPr="002C6E70">
        <w:rPr>
          <w:rFonts w:ascii="Times New Roman" w:eastAsia="Times New Roman" w:hAnsi="Times New Roman" w:cs="Times New Roman"/>
          <w:b/>
          <w:kern w:val="24"/>
          <w:sz w:val="24"/>
          <w:szCs w:val="24"/>
        </w:rPr>
        <w:t xml:space="preserve">. </w:t>
      </w:r>
      <w:r>
        <w:rPr>
          <w:rFonts w:ascii="Times New Roman" w:eastAsia="Times New Roman" w:hAnsi="Times New Roman" w:cs="Times New Roman"/>
          <w:b/>
          <w:kern w:val="24"/>
          <w:sz w:val="24"/>
          <w:szCs w:val="24"/>
        </w:rPr>
        <w:t>Anti</w:t>
      </w:r>
      <w:r w:rsidRPr="002C6E70">
        <w:rPr>
          <w:rFonts w:ascii="Times New Roman" w:eastAsia="Times New Roman" w:hAnsi="Times New Roman" w:cs="Times New Roman"/>
          <w:b/>
          <w:kern w:val="24"/>
          <w:sz w:val="24"/>
          <w:szCs w:val="24"/>
        </w:rPr>
        <w:t>tumor activity of MGC018</w:t>
      </w:r>
      <w:r w:rsidR="002A1BB7">
        <w:rPr>
          <w:rFonts w:ascii="Times New Roman" w:eastAsia="Times New Roman" w:hAnsi="Times New Roman" w:cs="Times New Roman"/>
          <w:b/>
          <w:kern w:val="24"/>
          <w:sz w:val="24"/>
          <w:szCs w:val="24"/>
        </w:rPr>
        <w:t>, MGA017 and SYD978</w:t>
      </w:r>
      <w:r w:rsidRPr="002C6E70">
        <w:rPr>
          <w:rFonts w:ascii="Times New Roman" w:eastAsia="Times New Roman" w:hAnsi="Times New Roman" w:cs="Times New Roman"/>
          <w:b/>
          <w:kern w:val="24"/>
          <w:sz w:val="24"/>
          <w:szCs w:val="24"/>
        </w:rPr>
        <w:t xml:space="preserve"> in </w:t>
      </w:r>
      <w:r w:rsidR="002A1BB7">
        <w:rPr>
          <w:rFonts w:ascii="Times New Roman" w:eastAsia="Times New Roman" w:hAnsi="Times New Roman" w:cs="Times New Roman"/>
          <w:b/>
          <w:kern w:val="24"/>
          <w:sz w:val="24"/>
          <w:szCs w:val="24"/>
        </w:rPr>
        <w:t>CD-1 nude</w:t>
      </w:r>
      <w:r w:rsidRPr="002C6E70">
        <w:rPr>
          <w:rFonts w:ascii="Times New Roman" w:eastAsia="Times New Roman" w:hAnsi="Times New Roman" w:cs="Times New Roman"/>
          <w:b/>
          <w:kern w:val="24"/>
          <w:sz w:val="24"/>
          <w:szCs w:val="24"/>
        </w:rPr>
        <w:t xml:space="preserve"> mice.</w:t>
      </w:r>
      <w:r>
        <w:rPr>
          <w:rFonts w:ascii="Times New Roman" w:eastAsia="Times New Roman" w:hAnsi="Times New Roman" w:cs="Times New Roman"/>
          <w:kern w:val="24"/>
          <w:sz w:val="24"/>
          <w:szCs w:val="24"/>
        </w:rPr>
        <w:t xml:space="preserve"> Calu-6 lung cancer subcutaneous xenografts </w:t>
      </w:r>
      <w:r w:rsidR="006A10E9">
        <w:rPr>
          <w:rFonts w:ascii="Times New Roman" w:eastAsia="Times New Roman" w:hAnsi="Times New Roman" w:cs="Times New Roman"/>
          <w:kern w:val="24"/>
          <w:sz w:val="24"/>
          <w:szCs w:val="24"/>
        </w:rPr>
        <w:t>in CD</w:t>
      </w:r>
      <w:r w:rsidR="004437F6">
        <w:rPr>
          <w:rFonts w:ascii="Times New Roman" w:eastAsia="Times New Roman" w:hAnsi="Times New Roman" w:cs="Times New Roman"/>
          <w:kern w:val="24"/>
          <w:sz w:val="24"/>
          <w:szCs w:val="24"/>
        </w:rPr>
        <w:t xml:space="preserve">-1 nude mice </w:t>
      </w:r>
      <w:r>
        <w:rPr>
          <w:rFonts w:ascii="Times New Roman" w:eastAsia="Times New Roman" w:hAnsi="Times New Roman" w:cs="Times New Roman"/>
          <w:kern w:val="24"/>
          <w:sz w:val="24"/>
          <w:szCs w:val="24"/>
        </w:rPr>
        <w:t>were treated wit</w:t>
      </w:r>
      <w:r w:rsidR="00E85DE2">
        <w:rPr>
          <w:rFonts w:ascii="Times New Roman" w:eastAsia="Times New Roman" w:hAnsi="Times New Roman" w:cs="Times New Roman"/>
          <w:kern w:val="24"/>
          <w:sz w:val="24"/>
          <w:szCs w:val="24"/>
        </w:rPr>
        <w:t xml:space="preserve">h a single dose of MGC018, MGA017, </w:t>
      </w:r>
      <w:r w:rsidR="00FD4784">
        <w:rPr>
          <w:rFonts w:ascii="Times New Roman" w:eastAsia="Times New Roman" w:hAnsi="Times New Roman" w:cs="Times New Roman"/>
          <w:kern w:val="24"/>
          <w:sz w:val="24"/>
          <w:szCs w:val="24"/>
        </w:rPr>
        <w:t>Control</w:t>
      </w:r>
      <w:r w:rsidR="008F7C49">
        <w:rPr>
          <w:rFonts w:ascii="Times New Roman" w:eastAsia="Times New Roman" w:hAnsi="Times New Roman" w:cs="Times New Roman"/>
          <w:kern w:val="24"/>
          <w:sz w:val="24"/>
          <w:szCs w:val="24"/>
        </w:rPr>
        <w:t xml:space="preserve"> ADC</w:t>
      </w:r>
      <w:r w:rsidR="00FD4784">
        <w:rPr>
          <w:rFonts w:ascii="Times New Roman" w:eastAsia="Times New Roman" w:hAnsi="Times New Roman" w:cs="Times New Roman"/>
          <w:kern w:val="24"/>
          <w:sz w:val="24"/>
          <w:szCs w:val="24"/>
        </w:rPr>
        <w:t xml:space="preserve"> (anti-CD20</w:t>
      </w:r>
      <w:r w:rsidR="00574490">
        <w:rPr>
          <w:rFonts w:ascii="Times New Roman" w:eastAsia="Times New Roman" w:hAnsi="Times New Roman" w:cs="Times New Roman"/>
          <w:kern w:val="24"/>
          <w:sz w:val="24"/>
          <w:szCs w:val="24"/>
        </w:rPr>
        <w:t xml:space="preserve"> </w:t>
      </w:r>
      <w:r w:rsidR="00314D5E">
        <w:rPr>
          <w:rFonts w:ascii="Times New Roman" w:eastAsia="Times New Roman" w:hAnsi="Times New Roman" w:cs="Times New Roman"/>
          <w:kern w:val="24"/>
          <w:sz w:val="24"/>
          <w:szCs w:val="24"/>
        </w:rPr>
        <w:t>ADC</w:t>
      </w:r>
      <w:r w:rsidR="00574490">
        <w:rPr>
          <w:rFonts w:ascii="Times New Roman" w:eastAsia="Times New Roman" w:hAnsi="Times New Roman" w:cs="Times New Roman"/>
          <w:kern w:val="24"/>
          <w:sz w:val="24"/>
          <w:szCs w:val="24"/>
        </w:rPr>
        <w:t>)</w:t>
      </w:r>
      <w:r w:rsidR="00E85DE2">
        <w:rPr>
          <w:rFonts w:ascii="Times New Roman" w:eastAsia="Times New Roman" w:hAnsi="Times New Roman" w:cs="Times New Roman"/>
          <w:kern w:val="24"/>
          <w:sz w:val="24"/>
          <w:szCs w:val="24"/>
        </w:rPr>
        <w:t xml:space="preserve"> or SYD978 (free payload), or the combination of MGA017 and SYD978, at the indicated dose levels</w:t>
      </w:r>
      <w:r>
        <w:rPr>
          <w:rFonts w:ascii="Times New Roman" w:eastAsia="Times New Roman" w:hAnsi="Times New Roman" w:cs="Times New Roman"/>
          <w:kern w:val="24"/>
          <w:sz w:val="24"/>
          <w:szCs w:val="24"/>
        </w:rPr>
        <w:t>.</w:t>
      </w:r>
      <w:r w:rsidR="00A4391B">
        <w:rPr>
          <w:rFonts w:ascii="Times New Roman" w:eastAsia="Times New Roman" w:hAnsi="Times New Roman" w:cs="Times New Roman"/>
          <w:kern w:val="24"/>
          <w:sz w:val="24"/>
          <w:szCs w:val="24"/>
        </w:rPr>
        <w:t xml:space="preserve"> Treatment day is indicated by the arrow.</w:t>
      </w:r>
      <w:r w:rsidR="004A4843">
        <w:rPr>
          <w:rFonts w:ascii="Times New Roman" w:eastAsia="Times New Roman" w:hAnsi="Times New Roman" w:cs="Times New Roman"/>
          <w:kern w:val="24"/>
          <w:sz w:val="24"/>
          <w:szCs w:val="24"/>
        </w:rPr>
        <w:t xml:space="preserve"> Tumor volume is shown as group mean ± SEM.</w:t>
      </w:r>
    </w:p>
    <w:p w14:paraId="7A75DFA4" w14:textId="77777777" w:rsidR="0051670F" w:rsidRDefault="0051670F" w:rsidP="0051670F">
      <w:pPr>
        <w:rPr>
          <w:rFonts w:ascii="Times New Roman" w:hAnsi="Times New Roman" w:cs="Times New Roman"/>
          <w:sz w:val="24"/>
          <w:szCs w:val="24"/>
        </w:rPr>
      </w:pPr>
      <w:r>
        <w:rPr>
          <w:rFonts w:ascii="Times New Roman" w:hAnsi="Times New Roman" w:cs="Times New Roman"/>
          <w:sz w:val="24"/>
          <w:szCs w:val="24"/>
        </w:rPr>
        <w:br w:type="page"/>
      </w:r>
    </w:p>
    <w:p w14:paraId="2708B3A2" w14:textId="77777777" w:rsidR="009D4CD7" w:rsidRDefault="009D4CD7"/>
    <w:sectPr w:rsidR="009D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E4EB3"/>
    <w:multiLevelType w:val="singleLevel"/>
    <w:tmpl w:val="FD787494"/>
    <w:lvl w:ilvl="0">
      <w:start w:val="1"/>
      <w:numFmt w:val="lowerLetter"/>
      <w:pStyle w:val="TableFootnoteLetter"/>
      <w:lvlText w:val="%1"/>
      <w:lvlJc w:val="left"/>
      <w:pPr>
        <w:ind w:left="360" w:hanging="360"/>
      </w:pPr>
      <w:rPr>
        <w:rFonts w:ascii="Times New Roman" w:hAnsi="Times New Roman" w:cs="Times New Roman" w:hint="default"/>
        <w:b w:val="0"/>
        <w:i w:val="0"/>
        <w:caps w:val="0"/>
        <w:strike w:val="0"/>
        <w:dstrike w:val="0"/>
        <w:sz w:val="20"/>
        <w:u w:val="none"/>
        <w:effect w:val="none"/>
        <w:vertAlign w:val="baseli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70F"/>
    <w:rsid w:val="0000375A"/>
    <w:rsid w:val="00077B3B"/>
    <w:rsid w:val="00096616"/>
    <w:rsid w:val="000A59EE"/>
    <w:rsid w:val="000C71B2"/>
    <w:rsid w:val="000E237A"/>
    <w:rsid w:val="000F0ACC"/>
    <w:rsid w:val="000F0C02"/>
    <w:rsid w:val="001874EF"/>
    <w:rsid w:val="001B1B59"/>
    <w:rsid w:val="001C3231"/>
    <w:rsid w:val="001C6B27"/>
    <w:rsid w:val="00207F01"/>
    <w:rsid w:val="0022489D"/>
    <w:rsid w:val="002476A6"/>
    <w:rsid w:val="002A1BB7"/>
    <w:rsid w:val="002A509D"/>
    <w:rsid w:val="002B58C8"/>
    <w:rsid w:val="002C033A"/>
    <w:rsid w:val="002C6E70"/>
    <w:rsid w:val="00314D5E"/>
    <w:rsid w:val="00315B73"/>
    <w:rsid w:val="0033420C"/>
    <w:rsid w:val="00353C86"/>
    <w:rsid w:val="00371BBC"/>
    <w:rsid w:val="003A0789"/>
    <w:rsid w:val="003C5D9A"/>
    <w:rsid w:val="003D003B"/>
    <w:rsid w:val="003D2631"/>
    <w:rsid w:val="0041040C"/>
    <w:rsid w:val="00417DEF"/>
    <w:rsid w:val="00436034"/>
    <w:rsid w:val="00440891"/>
    <w:rsid w:val="004437F6"/>
    <w:rsid w:val="004529C0"/>
    <w:rsid w:val="004A2447"/>
    <w:rsid w:val="004A4843"/>
    <w:rsid w:val="004D0D63"/>
    <w:rsid w:val="004D5FDF"/>
    <w:rsid w:val="004F26FF"/>
    <w:rsid w:val="0051670F"/>
    <w:rsid w:val="00574490"/>
    <w:rsid w:val="005832D4"/>
    <w:rsid w:val="005A7224"/>
    <w:rsid w:val="005C5458"/>
    <w:rsid w:val="005D1CAB"/>
    <w:rsid w:val="005D5F33"/>
    <w:rsid w:val="005E4D66"/>
    <w:rsid w:val="005F38ED"/>
    <w:rsid w:val="00637EE5"/>
    <w:rsid w:val="006529AB"/>
    <w:rsid w:val="00684677"/>
    <w:rsid w:val="006A10E9"/>
    <w:rsid w:val="007053C1"/>
    <w:rsid w:val="00705584"/>
    <w:rsid w:val="0075733E"/>
    <w:rsid w:val="007A495A"/>
    <w:rsid w:val="007B289E"/>
    <w:rsid w:val="007B5A3B"/>
    <w:rsid w:val="007C1CEE"/>
    <w:rsid w:val="008142CD"/>
    <w:rsid w:val="00822294"/>
    <w:rsid w:val="008473EB"/>
    <w:rsid w:val="00865618"/>
    <w:rsid w:val="0087078C"/>
    <w:rsid w:val="00894786"/>
    <w:rsid w:val="008D3E4F"/>
    <w:rsid w:val="008F7C49"/>
    <w:rsid w:val="00910618"/>
    <w:rsid w:val="009835C7"/>
    <w:rsid w:val="009A0216"/>
    <w:rsid w:val="009A1EFB"/>
    <w:rsid w:val="009D4CD7"/>
    <w:rsid w:val="009E27F5"/>
    <w:rsid w:val="00A032D1"/>
    <w:rsid w:val="00A4391B"/>
    <w:rsid w:val="00A779E7"/>
    <w:rsid w:val="00A80C8C"/>
    <w:rsid w:val="00AB25F9"/>
    <w:rsid w:val="00AC39CB"/>
    <w:rsid w:val="00B11D92"/>
    <w:rsid w:val="00B70A24"/>
    <w:rsid w:val="00BC3075"/>
    <w:rsid w:val="00BC6C6D"/>
    <w:rsid w:val="00CB02D8"/>
    <w:rsid w:val="00CB2067"/>
    <w:rsid w:val="00D03A21"/>
    <w:rsid w:val="00D10022"/>
    <w:rsid w:val="00D85562"/>
    <w:rsid w:val="00DA7765"/>
    <w:rsid w:val="00DC10E2"/>
    <w:rsid w:val="00E76E6A"/>
    <w:rsid w:val="00E85DE2"/>
    <w:rsid w:val="00F1556D"/>
    <w:rsid w:val="00F2228D"/>
    <w:rsid w:val="00F24470"/>
    <w:rsid w:val="00F33091"/>
    <w:rsid w:val="00F71AC4"/>
    <w:rsid w:val="00F81CA2"/>
    <w:rsid w:val="00FB5246"/>
    <w:rsid w:val="00FB759A"/>
    <w:rsid w:val="00FD4784"/>
    <w:rsid w:val="00FE56DF"/>
    <w:rsid w:val="00FF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01662"/>
  <w15:chartTrackingRefBased/>
  <w15:docId w15:val="{9F755697-39C0-43B1-8EE2-FC2C0302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67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ext">
    <w:name w:val="Document Text"/>
    <w:basedOn w:val="Normal"/>
    <w:link w:val="DocumentTextChar"/>
    <w:qFormat/>
    <w:rsid w:val="0051670F"/>
    <w:pPr>
      <w:spacing w:after="240" w:line="240" w:lineRule="auto"/>
    </w:pPr>
    <w:rPr>
      <w:rFonts w:ascii="Times New Roman" w:eastAsia="Times New Roman" w:hAnsi="Times New Roman" w:cs="Times New Roman"/>
      <w:kern w:val="24"/>
      <w:sz w:val="24"/>
      <w:szCs w:val="24"/>
    </w:rPr>
  </w:style>
  <w:style w:type="character" w:customStyle="1" w:styleId="DocumentTextChar">
    <w:name w:val="Document Text Char"/>
    <w:basedOn w:val="DefaultParagraphFont"/>
    <w:link w:val="DocumentText"/>
    <w:rsid w:val="0051670F"/>
    <w:rPr>
      <w:rFonts w:ascii="Times New Roman" w:eastAsia="Times New Roman" w:hAnsi="Times New Roman" w:cs="Times New Roman"/>
      <w:kern w:val="24"/>
      <w:sz w:val="24"/>
      <w:szCs w:val="24"/>
    </w:rPr>
  </w:style>
  <w:style w:type="paragraph" w:styleId="NormalWeb">
    <w:name w:val="Normal (Web)"/>
    <w:basedOn w:val="Normal"/>
    <w:uiPriority w:val="99"/>
    <w:semiHidden/>
    <w:unhideWhenUsed/>
    <w:rsid w:val="008947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6FF"/>
    <w:rPr>
      <w:rFonts w:ascii="Segoe UI" w:hAnsi="Segoe UI" w:cs="Segoe UI"/>
      <w:sz w:val="18"/>
      <w:szCs w:val="18"/>
    </w:rPr>
  </w:style>
  <w:style w:type="paragraph" w:styleId="CommentText">
    <w:name w:val="annotation text"/>
    <w:basedOn w:val="Normal"/>
    <w:link w:val="CommentTextChar"/>
    <w:uiPriority w:val="99"/>
    <w:semiHidden/>
    <w:unhideWhenUsed/>
    <w:rsid w:val="000A59EE"/>
    <w:pPr>
      <w:spacing w:line="240" w:lineRule="auto"/>
    </w:pPr>
    <w:rPr>
      <w:sz w:val="20"/>
      <w:szCs w:val="20"/>
    </w:rPr>
  </w:style>
  <w:style w:type="character" w:customStyle="1" w:styleId="CommentTextChar">
    <w:name w:val="Comment Text Char"/>
    <w:basedOn w:val="DefaultParagraphFont"/>
    <w:link w:val="CommentText"/>
    <w:uiPriority w:val="99"/>
    <w:semiHidden/>
    <w:rsid w:val="000A59EE"/>
    <w:rPr>
      <w:sz w:val="20"/>
      <w:szCs w:val="20"/>
    </w:rPr>
  </w:style>
  <w:style w:type="character" w:styleId="CommentReference">
    <w:name w:val="annotation reference"/>
    <w:basedOn w:val="DefaultParagraphFont"/>
    <w:semiHidden/>
    <w:unhideWhenUsed/>
    <w:rsid w:val="000A59EE"/>
    <w:rPr>
      <w:sz w:val="16"/>
      <w:szCs w:val="16"/>
    </w:rPr>
  </w:style>
  <w:style w:type="character" w:customStyle="1" w:styleId="FigureLegendChar">
    <w:name w:val="Figure Legend Char"/>
    <w:basedOn w:val="DefaultParagraphFont"/>
    <w:link w:val="FigureLegend"/>
    <w:locked/>
    <w:rsid w:val="000A59EE"/>
    <w:rPr>
      <w:b/>
      <w:kern w:val="20"/>
      <w:szCs w:val="24"/>
    </w:rPr>
  </w:style>
  <w:style w:type="paragraph" w:customStyle="1" w:styleId="FigureLegend">
    <w:name w:val="Figure Legend"/>
    <w:basedOn w:val="Normal"/>
    <w:next w:val="Normal"/>
    <w:link w:val="FigureLegendChar"/>
    <w:qFormat/>
    <w:rsid w:val="000A59EE"/>
    <w:pPr>
      <w:keepNext/>
      <w:keepLines/>
      <w:spacing w:before="40" w:after="40" w:line="240" w:lineRule="auto"/>
    </w:pPr>
    <w:rPr>
      <w:b/>
      <w:kern w:val="20"/>
      <w:szCs w:val="24"/>
    </w:rPr>
  </w:style>
  <w:style w:type="character" w:customStyle="1" w:styleId="TableCellHeading10ptChar">
    <w:name w:val="Table Cell Heading 10pt Char"/>
    <w:link w:val="TableCellHeading10pt"/>
    <w:locked/>
    <w:rsid w:val="0075733E"/>
    <w:rPr>
      <w:b/>
      <w:kern w:val="20"/>
      <w:szCs w:val="24"/>
    </w:rPr>
  </w:style>
  <w:style w:type="paragraph" w:customStyle="1" w:styleId="TableCellHeading10pt">
    <w:name w:val="Table Cell Heading 10pt"/>
    <w:basedOn w:val="Normal"/>
    <w:link w:val="TableCellHeading10ptChar"/>
    <w:qFormat/>
    <w:rsid w:val="0075733E"/>
    <w:pPr>
      <w:keepNext/>
      <w:spacing w:before="40" w:after="40" w:line="300" w:lineRule="auto"/>
      <w:jc w:val="center"/>
    </w:pPr>
    <w:rPr>
      <w:b/>
      <w:kern w:val="20"/>
      <w:szCs w:val="24"/>
    </w:rPr>
  </w:style>
  <w:style w:type="character" w:customStyle="1" w:styleId="TableCellText10ptChar">
    <w:name w:val="Table Cell Text 10pt Char"/>
    <w:link w:val="TableCellText10pt"/>
    <w:locked/>
    <w:rsid w:val="0075733E"/>
    <w:rPr>
      <w:kern w:val="24"/>
      <w:szCs w:val="24"/>
    </w:rPr>
  </w:style>
  <w:style w:type="paragraph" w:customStyle="1" w:styleId="TableCellText10pt">
    <w:name w:val="Table Cell Text 10pt"/>
    <w:basedOn w:val="Normal"/>
    <w:link w:val="TableCellText10ptChar"/>
    <w:qFormat/>
    <w:rsid w:val="0075733E"/>
    <w:pPr>
      <w:keepNext/>
      <w:spacing w:before="40" w:after="40" w:line="240" w:lineRule="auto"/>
      <w:jc w:val="center"/>
    </w:pPr>
    <w:rPr>
      <w:kern w:val="24"/>
      <w:szCs w:val="24"/>
    </w:rPr>
  </w:style>
  <w:style w:type="paragraph" w:customStyle="1" w:styleId="TableFootnoteLetter">
    <w:name w:val="Table Footnote Letter"/>
    <w:basedOn w:val="Normal"/>
    <w:qFormat/>
    <w:rsid w:val="0075733E"/>
    <w:pPr>
      <w:keepNext/>
      <w:keepLines/>
      <w:numPr>
        <w:numId w:val="1"/>
      </w:numPr>
      <w:tabs>
        <w:tab w:val="left" w:pos="360"/>
      </w:tabs>
      <w:spacing w:before="40" w:after="0" w:line="240" w:lineRule="auto"/>
    </w:pPr>
    <w:rPr>
      <w:rFonts w:ascii="Times New Roman" w:eastAsia="Times New Roman" w:hAnsi="Times New Roman" w:cs="Times New Roman"/>
      <w:sz w:val="20"/>
      <w:szCs w:val="24"/>
    </w:rPr>
  </w:style>
  <w:style w:type="paragraph" w:styleId="CommentSubject">
    <w:name w:val="annotation subject"/>
    <w:basedOn w:val="CommentText"/>
    <w:next w:val="CommentText"/>
    <w:link w:val="CommentSubjectChar"/>
    <w:uiPriority w:val="99"/>
    <w:semiHidden/>
    <w:unhideWhenUsed/>
    <w:rsid w:val="00207F01"/>
    <w:rPr>
      <w:b/>
      <w:bCs/>
    </w:rPr>
  </w:style>
  <w:style w:type="character" w:customStyle="1" w:styleId="CommentSubjectChar">
    <w:name w:val="Comment Subject Char"/>
    <w:basedOn w:val="CommentTextChar"/>
    <w:link w:val="CommentSubject"/>
    <w:uiPriority w:val="99"/>
    <w:semiHidden/>
    <w:rsid w:val="00207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4558">
      <w:bodyDiv w:val="1"/>
      <w:marLeft w:val="0"/>
      <w:marRight w:val="0"/>
      <w:marTop w:val="0"/>
      <w:marBottom w:val="0"/>
      <w:divBdr>
        <w:top w:val="none" w:sz="0" w:space="0" w:color="auto"/>
        <w:left w:val="none" w:sz="0" w:space="0" w:color="auto"/>
        <w:bottom w:val="none" w:sz="0" w:space="0" w:color="auto"/>
        <w:right w:val="none" w:sz="0" w:space="0" w:color="auto"/>
      </w:divBdr>
    </w:div>
    <w:div w:id="74866543">
      <w:bodyDiv w:val="1"/>
      <w:marLeft w:val="0"/>
      <w:marRight w:val="0"/>
      <w:marTop w:val="0"/>
      <w:marBottom w:val="0"/>
      <w:divBdr>
        <w:top w:val="none" w:sz="0" w:space="0" w:color="auto"/>
        <w:left w:val="none" w:sz="0" w:space="0" w:color="auto"/>
        <w:bottom w:val="none" w:sz="0" w:space="0" w:color="auto"/>
        <w:right w:val="none" w:sz="0" w:space="0" w:color="auto"/>
      </w:divBdr>
    </w:div>
    <w:div w:id="140006159">
      <w:bodyDiv w:val="1"/>
      <w:marLeft w:val="0"/>
      <w:marRight w:val="0"/>
      <w:marTop w:val="0"/>
      <w:marBottom w:val="0"/>
      <w:divBdr>
        <w:top w:val="none" w:sz="0" w:space="0" w:color="auto"/>
        <w:left w:val="none" w:sz="0" w:space="0" w:color="auto"/>
        <w:bottom w:val="none" w:sz="0" w:space="0" w:color="auto"/>
        <w:right w:val="none" w:sz="0" w:space="0" w:color="auto"/>
      </w:divBdr>
    </w:div>
    <w:div w:id="167984859">
      <w:bodyDiv w:val="1"/>
      <w:marLeft w:val="0"/>
      <w:marRight w:val="0"/>
      <w:marTop w:val="0"/>
      <w:marBottom w:val="0"/>
      <w:divBdr>
        <w:top w:val="none" w:sz="0" w:space="0" w:color="auto"/>
        <w:left w:val="none" w:sz="0" w:space="0" w:color="auto"/>
        <w:bottom w:val="none" w:sz="0" w:space="0" w:color="auto"/>
        <w:right w:val="none" w:sz="0" w:space="0" w:color="auto"/>
      </w:divBdr>
    </w:div>
    <w:div w:id="183833963">
      <w:bodyDiv w:val="1"/>
      <w:marLeft w:val="0"/>
      <w:marRight w:val="0"/>
      <w:marTop w:val="0"/>
      <w:marBottom w:val="0"/>
      <w:divBdr>
        <w:top w:val="none" w:sz="0" w:space="0" w:color="auto"/>
        <w:left w:val="none" w:sz="0" w:space="0" w:color="auto"/>
        <w:bottom w:val="none" w:sz="0" w:space="0" w:color="auto"/>
        <w:right w:val="none" w:sz="0" w:space="0" w:color="auto"/>
      </w:divBdr>
    </w:div>
    <w:div w:id="206530045">
      <w:bodyDiv w:val="1"/>
      <w:marLeft w:val="0"/>
      <w:marRight w:val="0"/>
      <w:marTop w:val="0"/>
      <w:marBottom w:val="0"/>
      <w:divBdr>
        <w:top w:val="none" w:sz="0" w:space="0" w:color="auto"/>
        <w:left w:val="none" w:sz="0" w:space="0" w:color="auto"/>
        <w:bottom w:val="none" w:sz="0" w:space="0" w:color="auto"/>
        <w:right w:val="none" w:sz="0" w:space="0" w:color="auto"/>
      </w:divBdr>
    </w:div>
    <w:div w:id="224074578">
      <w:bodyDiv w:val="1"/>
      <w:marLeft w:val="0"/>
      <w:marRight w:val="0"/>
      <w:marTop w:val="0"/>
      <w:marBottom w:val="0"/>
      <w:divBdr>
        <w:top w:val="none" w:sz="0" w:space="0" w:color="auto"/>
        <w:left w:val="none" w:sz="0" w:space="0" w:color="auto"/>
        <w:bottom w:val="none" w:sz="0" w:space="0" w:color="auto"/>
        <w:right w:val="none" w:sz="0" w:space="0" w:color="auto"/>
      </w:divBdr>
    </w:div>
    <w:div w:id="268439854">
      <w:bodyDiv w:val="1"/>
      <w:marLeft w:val="0"/>
      <w:marRight w:val="0"/>
      <w:marTop w:val="0"/>
      <w:marBottom w:val="0"/>
      <w:divBdr>
        <w:top w:val="none" w:sz="0" w:space="0" w:color="auto"/>
        <w:left w:val="none" w:sz="0" w:space="0" w:color="auto"/>
        <w:bottom w:val="none" w:sz="0" w:space="0" w:color="auto"/>
        <w:right w:val="none" w:sz="0" w:space="0" w:color="auto"/>
      </w:divBdr>
    </w:div>
    <w:div w:id="418715614">
      <w:bodyDiv w:val="1"/>
      <w:marLeft w:val="0"/>
      <w:marRight w:val="0"/>
      <w:marTop w:val="0"/>
      <w:marBottom w:val="0"/>
      <w:divBdr>
        <w:top w:val="none" w:sz="0" w:space="0" w:color="auto"/>
        <w:left w:val="none" w:sz="0" w:space="0" w:color="auto"/>
        <w:bottom w:val="none" w:sz="0" w:space="0" w:color="auto"/>
        <w:right w:val="none" w:sz="0" w:space="0" w:color="auto"/>
      </w:divBdr>
    </w:div>
    <w:div w:id="595283271">
      <w:bodyDiv w:val="1"/>
      <w:marLeft w:val="0"/>
      <w:marRight w:val="0"/>
      <w:marTop w:val="0"/>
      <w:marBottom w:val="0"/>
      <w:divBdr>
        <w:top w:val="none" w:sz="0" w:space="0" w:color="auto"/>
        <w:left w:val="none" w:sz="0" w:space="0" w:color="auto"/>
        <w:bottom w:val="none" w:sz="0" w:space="0" w:color="auto"/>
        <w:right w:val="none" w:sz="0" w:space="0" w:color="auto"/>
      </w:divBdr>
    </w:div>
    <w:div w:id="761607363">
      <w:bodyDiv w:val="1"/>
      <w:marLeft w:val="0"/>
      <w:marRight w:val="0"/>
      <w:marTop w:val="0"/>
      <w:marBottom w:val="0"/>
      <w:divBdr>
        <w:top w:val="none" w:sz="0" w:space="0" w:color="auto"/>
        <w:left w:val="none" w:sz="0" w:space="0" w:color="auto"/>
        <w:bottom w:val="none" w:sz="0" w:space="0" w:color="auto"/>
        <w:right w:val="none" w:sz="0" w:space="0" w:color="auto"/>
      </w:divBdr>
    </w:div>
    <w:div w:id="790320098">
      <w:bodyDiv w:val="1"/>
      <w:marLeft w:val="0"/>
      <w:marRight w:val="0"/>
      <w:marTop w:val="0"/>
      <w:marBottom w:val="0"/>
      <w:divBdr>
        <w:top w:val="none" w:sz="0" w:space="0" w:color="auto"/>
        <w:left w:val="none" w:sz="0" w:space="0" w:color="auto"/>
        <w:bottom w:val="none" w:sz="0" w:space="0" w:color="auto"/>
        <w:right w:val="none" w:sz="0" w:space="0" w:color="auto"/>
      </w:divBdr>
    </w:div>
    <w:div w:id="846137735">
      <w:bodyDiv w:val="1"/>
      <w:marLeft w:val="0"/>
      <w:marRight w:val="0"/>
      <w:marTop w:val="0"/>
      <w:marBottom w:val="0"/>
      <w:divBdr>
        <w:top w:val="none" w:sz="0" w:space="0" w:color="auto"/>
        <w:left w:val="none" w:sz="0" w:space="0" w:color="auto"/>
        <w:bottom w:val="none" w:sz="0" w:space="0" w:color="auto"/>
        <w:right w:val="none" w:sz="0" w:space="0" w:color="auto"/>
      </w:divBdr>
    </w:div>
    <w:div w:id="1236166715">
      <w:bodyDiv w:val="1"/>
      <w:marLeft w:val="0"/>
      <w:marRight w:val="0"/>
      <w:marTop w:val="0"/>
      <w:marBottom w:val="0"/>
      <w:divBdr>
        <w:top w:val="none" w:sz="0" w:space="0" w:color="auto"/>
        <w:left w:val="none" w:sz="0" w:space="0" w:color="auto"/>
        <w:bottom w:val="none" w:sz="0" w:space="0" w:color="auto"/>
        <w:right w:val="none" w:sz="0" w:space="0" w:color="auto"/>
      </w:divBdr>
    </w:div>
    <w:div w:id="1473209824">
      <w:bodyDiv w:val="1"/>
      <w:marLeft w:val="0"/>
      <w:marRight w:val="0"/>
      <w:marTop w:val="0"/>
      <w:marBottom w:val="0"/>
      <w:divBdr>
        <w:top w:val="none" w:sz="0" w:space="0" w:color="auto"/>
        <w:left w:val="none" w:sz="0" w:space="0" w:color="auto"/>
        <w:bottom w:val="none" w:sz="0" w:space="0" w:color="auto"/>
        <w:right w:val="none" w:sz="0" w:space="0" w:color="auto"/>
      </w:divBdr>
    </w:div>
    <w:div w:id="1595673204">
      <w:bodyDiv w:val="1"/>
      <w:marLeft w:val="0"/>
      <w:marRight w:val="0"/>
      <w:marTop w:val="0"/>
      <w:marBottom w:val="0"/>
      <w:divBdr>
        <w:top w:val="none" w:sz="0" w:space="0" w:color="auto"/>
        <w:left w:val="none" w:sz="0" w:space="0" w:color="auto"/>
        <w:bottom w:val="none" w:sz="0" w:space="0" w:color="auto"/>
        <w:right w:val="none" w:sz="0" w:space="0" w:color="auto"/>
      </w:divBdr>
    </w:div>
    <w:div w:id="1628776450">
      <w:bodyDiv w:val="1"/>
      <w:marLeft w:val="0"/>
      <w:marRight w:val="0"/>
      <w:marTop w:val="0"/>
      <w:marBottom w:val="0"/>
      <w:divBdr>
        <w:top w:val="none" w:sz="0" w:space="0" w:color="auto"/>
        <w:left w:val="none" w:sz="0" w:space="0" w:color="auto"/>
        <w:bottom w:val="none" w:sz="0" w:space="0" w:color="auto"/>
        <w:right w:val="none" w:sz="0" w:space="0" w:color="auto"/>
      </w:divBdr>
    </w:div>
    <w:div w:id="1652099020">
      <w:bodyDiv w:val="1"/>
      <w:marLeft w:val="0"/>
      <w:marRight w:val="0"/>
      <w:marTop w:val="0"/>
      <w:marBottom w:val="0"/>
      <w:divBdr>
        <w:top w:val="none" w:sz="0" w:space="0" w:color="auto"/>
        <w:left w:val="none" w:sz="0" w:space="0" w:color="auto"/>
        <w:bottom w:val="none" w:sz="0" w:space="0" w:color="auto"/>
        <w:right w:val="none" w:sz="0" w:space="0" w:color="auto"/>
      </w:divBdr>
    </w:div>
    <w:div w:id="1773822431">
      <w:bodyDiv w:val="1"/>
      <w:marLeft w:val="0"/>
      <w:marRight w:val="0"/>
      <w:marTop w:val="0"/>
      <w:marBottom w:val="0"/>
      <w:divBdr>
        <w:top w:val="none" w:sz="0" w:space="0" w:color="auto"/>
        <w:left w:val="none" w:sz="0" w:space="0" w:color="auto"/>
        <w:bottom w:val="none" w:sz="0" w:space="0" w:color="auto"/>
        <w:right w:val="none" w:sz="0" w:space="0" w:color="auto"/>
      </w:divBdr>
    </w:div>
    <w:div w:id="1787430030">
      <w:bodyDiv w:val="1"/>
      <w:marLeft w:val="0"/>
      <w:marRight w:val="0"/>
      <w:marTop w:val="0"/>
      <w:marBottom w:val="0"/>
      <w:divBdr>
        <w:top w:val="none" w:sz="0" w:space="0" w:color="auto"/>
        <w:left w:val="none" w:sz="0" w:space="0" w:color="auto"/>
        <w:bottom w:val="none" w:sz="0" w:space="0" w:color="auto"/>
        <w:right w:val="none" w:sz="0" w:space="0" w:color="auto"/>
      </w:divBdr>
    </w:div>
    <w:div w:id="18921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78A6682640541877AA8A484AA62B5" ma:contentTypeVersion="13" ma:contentTypeDescription="Create a new document." ma:contentTypeScope="" ma:versionID="9859ff21a57a3808a5c196139b1b2ed7">
  <xsd:schema xmlns:xsd="http://www.w3.org/2001/XMLSchema" xmlns:xs="http://www.w3.org/2001/XMLSchema" xmlns:p="http://schemas.microsoft.com/office/2006/metadata/properties" xmlns:ns3="2baf5c6e-6491-401f-b3b3-5a3dad8ef638" xmlns:ns4="3789996d-b9dd-4b97-85aa-c2965cc84e79" targetNamespace="http://schemas.microsoft.com/office/2006/metadata/properties" ma:root="true" ma:fieldsID="9ba3e6ab489fce85d1b953d386ecd079" ns3:_="" ns4:_="">
    <xsd:import namespace="2baf5c6e-6491-401f-b3b3-5a3dad8ef638"/>
    <xsd:import namespace="3789996d-b9dd-4b97-85aa-c2965cc84e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f5c6e-6491-401f-b3b3-5a3dad8ef6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9996d-b9dd-4b97-85aa-c2965cc84e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7AF89-3828-402D-A24B-4590923566F2}">
  <ds:schemaRefs>
    <ds:schemaRef ds:uri="http://schemas.microsoft.com/sharepoint/v3/contenttype/forms"/>
  </ds:schemaRefs>
</ds:datastoreItem>
</file>

<file path=customXml/itemProps2.xml><?xml version="1.0" encoding="utf-8"?>
<ds:datastoreItem xmlns:ds="http://schemas.openxmlformats.org/officeDocument/2006/customXml" ds:itemID="{1EA71B8D-5749-4D77-8629-1DF7F4BC4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f5c6e-6491-401f-b3b3-5a3dad8ef638"/>
    <ds:schemaRef ds:uri="3789996d-b9dd-4b97-85aa-c2965cc84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2C0C7-AC22-460B-9653-F192BA6331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MacroGenics, Inc.</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 Deryk</dc:creator>
  <cp:keywords/>
  <dc:description/>
  <cp:lastModifiedBy>Loo, Deryk</cp:lastModifiedBy>
  <cp:revision>4</cp:revision>
  <cp:lastPrinted>2020-01-29T21:36:00Z</cp:lastPrinted>
  <dcterms:created xsi:type="dcterms:W3CDTF">2020-07-02T18:24:00Z</dcterms:created>
  <dcterms:modified xsi:type="dcterms:W3CDTF">2020-07-02T18:26:00Z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0x01010051478A6682640541877AA8A484AA62B5</vt:lpwstr>
  </property>
</Properties>
</file>