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C4E72" w14:textId="15069200" w:rsidR="001E3E79" w:rsidRPr="00F507F2" w:rsidRDefault="001E3E79" w:rsidP="00F507F2">
      <w:pPr>
        <w:snapToGrid w:val="0"/>
        <w:spacing w:line="480" w:lineRule="auto"/>
        <w:rPr>
          <w:rFonts w:ascii="Times New Roman" w:hAnsi="Times New Roman" w:cs="Times New Roman"/>
          <w:bCs/>
          <w:sz w:val="20"/>
          <w:szCs w:val="20"/>
        </w:rPr>
      </w:pPr>
      <w:r w:rsidRPr="00F507F2">
        <w:rPr>
          <w:rStyle w:val="a3"/>
          <w:rFonts w:ascii="Times New Roman" w:hAnsi="Times New Roman" w:cs="Times New Roman"/>
          <w:color w:val="000000"/>
          <w:sz w:val="20"/>
          <w:szCs w:val="20"/>
        </w:rPr>
        <w:t>Supplemental Materials</w:t>
      </w:r>
      <w:r w:rsidRPr="00F507F2">
        <w:rPr>
          <w:rStyle w:val="a3"/>
          <w:rFonts w:ascii="Times New Roman" w:hAnsi="Times New Roman" w:cs="Times New Roman"/>
          <w:bCs w:val="0"/>
          <w:color w:val="000000"/>
        </w:rPr>
        <w:t xml:space="preserve"> </w:t>
      </w:r>
      <w:r w:rsidR="00F507F2" w:rsidRPr="00F507F2">
        <w:rPr>
          <w:rStyle w:val="a3"/>
          <w:rFonts w:ascii="Times New Roman" w:hAnsi="Times New Roman" w:cs="Times New Roman"/>
          <w:bCs w:val="0"/>
          <w:color w:val="000000"/>
        </w:rPr>
        <w:t>and Methods</w:t>
      </w:r>
    </w:p>
    <w:p w14:paraId="42FA6240" w14:textId="77777777" w:rsidR="001E3E79" w:rsidRPr="00F507F2" w:rsidRDefault="001E3E79" w:rsidP="00F507F2">
      <w:pPr>
        <w:snapToGrid w:val="0"/>
        <w:spacing w:line="480" w:lineRule="auto"/>
        <w:rPr>
          <w:rFonts w:ascii="Times New Roman" w:hAnsi="Times New Roman" w:cs="Times New Roman"/>
          <w:b/>
          <w:sz w:val="20"/>
          <w:szCs w:val="20"/>
        </w:rPr>
      </w:pPr>
      <w:r w:rsidRPr="00F507F2">
        <w:rPr>
          <w:rFonts w:ascii="Times New Roman" w:hAnsi="Times New Roman" w:cs="Times New Roman"/>
          <w:b/>
          <w:sz w:val="20"/>
          <w:szCs w:val="20"/>
        </w:rPr>
        <w:t>Table 1. Oligonucleotide sequences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9"/>
        <w:gridCol w:w="4211"/>
      </w:tblGrid>
      <w:tr w:rsidR="001E3E79" w:rsidRPr="00F507F2" w14:paraId="24A87020" w14:textId="77777777" w:rsidTr="00067669">
        <w:tc>
          <w:tcPr>
            <w:tcW w:w="4089" w:type="dxa"/>
            <w:tcBorders>
              <w:top w:val="single" w:sz="4" w:space="0" w:color="auto"/>
              <w:bottom w:val="single" w:sz="4" w:space="0" w:color="auto"/>
            </w:tcBorders>
          </w:tcPr>
          <w:p w14:paraId="1A980E63" w14:textId="77777777" w:rsidR="001E3E79" w:rsidRPr="00F507F2" w:rsidRDefault="001E3E79" w:rsidP="00F507F2">
            <w:pPr>
              <w:snapToGrid w:val="0"/>
              <w:spacing w:line="480" w:lineRule="auto"/>
              <w:jc w:val="center"/>
              <w:rPr>
                <w:rFonts w:ascii="Times New Roman" w:hAnsi="Times New Roman" w:cs="Times New Roman"/>
                <w:b/>
                <w:bCs/>
                <w:sz w:val="20"/>
                <w:szCs w:val="20"/>
              </w:rPr>
            </w:pPr>
            <w:r w:rsidRPr="00F507F2">
              <w:rPr>
                <w:rFonts w:ascii="Times New Roman" w:hAnsi="Times New Roman" w:cs="Times New Roman"/>
                <w:b/>
                <w:bCs/>
                <w:sz w:val="20"/>
                <w:szCs w:val="20"/>
              </w:rPr>
              <w:t>qPCR Primers</w:t>
            </w:r>
          </w:p>
        </w:tc>
        <w:tc>
          <w:tcPr>
            <w:tcW w:w="4211" w:type="dxa"/>
            <w:tcBorders>
              <w:top w:val="single" w:sz="4" w:space="0" w:color="auto"/>
              <w:bottom w:val="single" w:sz="4" w:space="0" w:color="auto"/>
            </w:tcBorders>
          </w:tcPr>
          <w:p w14:paraId="566CBD56" w14:textId="77777777" w:rsidR="001E3E79" w:rsidRPr="00F507F2" w:rsidRDefault="001E3E79" w:rsidP="00F507F2">
            <w:pPr>
              <w:snapToGrid w:val="0"/>
              <w:spacing w:line="480" w:lineRule="auto"/>
              <w:jc w:val="center"/>
              <w:rPr>
                <w:rFonts w:ascii="Times New Roman" w:hAnsi="Times New Roman" w:cs="Times New Roman"/>
                <w:b/>
                <w:bCs/>
                <w:sz w:val="20"/>
                <w:szCs w:val="20"/>
              </w:rPr>
            </w:pPr>
            <w:r w:rsidRPr="00F507F2">
              <w:rPr>
                <w:rFonts w:ascii="Times New Roman" w:hAnsi="Times New Roman" w:cs="Times New Roman"/>
                <w:b/>
                <w:bCs/>
                <w:sz w:val="20"/>
                <w:szCs w:val="20"/>
              </w:rPr>
              <w:t>Sequence</w:t>
            </w:r>
            <w:r w:rsidRPr="00F507F2">
              <w:rPr>
                <w:rFonts w:ascii="Times New Roman" w:hAnsi="Times New Roman" w:cs="Times New Roman"/>
                <w:b/>
                <w:bCs/>
                <w:sz w:val="20"/>
                <w:szCs w:val="20"/>
              </w:rPr>
              <w:t>（</w:t>
            </w:r>
            <w:r w:rsidRPr="00F507F2">
              <w:rPr>
                <w:rFonts w:ascii="Times New Roman" w:hAnsi="Times New Roman" w:cs="Times New Roman"/>
                <w:b/>
                <w:bCs/>
                <w:sz w:val="20"/>
                <w:szCs w:val="20"/>
              </w:rPr>
              <w:t xml:space="preserve"> 5’— 3’</w:t>
            </w:r>
            <w:r w:rsidRPr="00F507F2">
              <w:rPr>
                <w:rFonts w:ascii="Times New Roman" w:hAnsi="Times New Roman" w:cs="Times New Roman"/>
                <w:b/>
                <w:bCs/>
                <w:sz w:val="20"/>
                <w:szCs w:val="20"/>
              </w:rPr>
              <w:t>）</w:t>
            </w:r>
          </w:p>
        </w:tc>
      </w:tr>
      <w:tr w:rsidR="001E3E79" w:rsidRPr="00F507F2" w14:paraId="76789D41" w14:textId="77777777" w:rsidTr="00067669">
        <w:tc>
          <w:tcPr>
            <w:tcW w:w="4089" w:type="dxa"/>
            <w:tcBorders>
              <w:top w:val="single" w:sz="4" w:space="0" w:color="auto"/>
            </w:tcBorders>
          </w:tcPr>
          <w:p w14:paraId="6CE233F8" w14:textId="77777777" w:rsidR="001E3E79" w:rsidRPr="00F507F2" w:rsidRDefault="001E3E79" w:rsidP="00F507F2">
            <w:pPr>
              <w:snapToGrid w:val="0"/>
              <w:spacing w:line="480" w:lineRule="auto"/>
              <w:jc w:val="center"/>
              <w:rPr>
                <w:rFonts w:ascii="Times New Roman" w:hAnsi="Times New Roman" w:cs="Times New Roman"/>
                <w:sz w:val="20"/>
                <w:szCs w:val="20"/>
              </w:rPr>
            </w:pPr>
            <w:r w:rsidRPr="00F507F2">
              <w:rPr>
                <w:rFonts w:ascii="Times New Roman" w:hAnsi="Times New Roman" w:cs="Times New Roman"/>
                <w:sz w:val="20"/>
                <w:szCs w:val="20"/>
              </w:rPr>
              <w:t>PTEN-F</w:t>
            </w:r>
          </w:p>
        </w:tc>
        <w:tc>
          <w:tcPr>
            <w:tcW w:w="4211" w:type="dxa"/>
            <w:tcBorders>
              <w:top w:val="single" w:sz="4" w:space="0" w:color="auto"/>
            </w:tcBorders>
          </w:tcPr>
          <w:p w14:paraId="3CF0A1B6" w14:textId="77777777" w:rsidR="001E3E79" w:rsidRPr="00F507F2" w:rsidRDefault="001E3E79" w:rsidP="00F507F2">
            <w:pPr>
              <w:snapToGrid w:val="0"/>
              <w:spacing w:line="480" w:lineRule="auto"/>
              <w:jc w:val="center"/>
              <w:rPr>
                <w:rFonts w:ascii="Times New Roman" w:hAnsi="Times New Roman" w:cs="Times New Roman"/>
                <w:sz w:val="20"/>
                <w:szCs w:val="20"/>
              </w:rPr>
            </w:pPr>
            <w:r w:rsidRPr="00F507F2">
              <w:rPr>
                <w:rFonts w:ascii="Times New Roman" w:hAnsi="Times New Roman" w:cs="Times New Roman"/>
                <w:sz w:val="20"/>
                <w:szCs w:val="20"/>
              </w:rPr>
              <w:t>TTTGAAGACCATAACCCACCAC</w:t>
            </w:r>
          </w:p>
        </w:tc>
      </w:tr>
      <w:tr w:rsidR="001E3E79" w:rsidRPr="00F507F2" w14:paraId="484DB4F0" w14:textId="77777777" w:rsidTr="00067669">
        <w:tc>
          <w:tcPr>
            <w:tcW w:w="4089" w:type="dxa"/>
            <w:tcBorders>
              <w:bottom w:val="nil"/>
            </w:tcBorders>
          </w:tcPr>
          <w:p w14:paraId="0C35B429" w14:textId="77777777" w:rsidR="001E3E79" w:rsidRPr="00F507F2" w:rsidRDefault="001E3E79" w:rsidP="00F507F2">
            <w:pPr>
              <w:snapToGrid w:val="0"/>
              <w:spacing w:line="480" w:lineRule="auto"/>
              <w:jc w:val="center"/>
              <w:rPr>
                <w:rFonts w:ascii="Times New Roman" w:hAnsi="Times New Roman" w:cs="Times New Roman"/>
                <w:sz w:val="20"/>
                <w:szCs w:val="20"/>
              </w:rPr>
            </w:pPr>
            <w:r w:rsidRPr="00F507F2">
              <w:rPr>
                <w:rFonts w:ascii="Times New Roman" w:hAnsi="Times New Roman" w:cs="Times New Roman"/>
                <w:sz w:val="20"/>
                <w:szCs w:val="20"/>
              </w:rPr>
              <w:t>PTEN-R</w:t>
            </w:r>
          </w:p>
        </w:tc>
        <w:tc>
          <w:tcPr>
            <w:tcW w:w="4211" w:type="dxa"/>
            <w:tcBorders>
              <w:bottom w:val="nil"/>
            </w:tcBorders>
          </w:tcPr>
          <w:p w14:paraId="034D51F4" w14:textId="77777777" w:rsidR="001E3E79" w:rsidRPr="00F507F2" w:rsidRDefault="001E3E79" w:rsidP="00F507F2">
            <w:pPr>
              <w:snapToGrid w:val="0"/>
              <w:spacing w:line="480" w:lineRule="auto"/>
              <w:jc w:val="center"/>
              <w:rPr>
                <w:rFonts w:ascii="Times New Roman" w:hAnsi="Times New Roman" w:cs="Times New Roman"/>
                <w:sz w:val="20"/>
                <w:szCs w:val="20"/>
              </w:rPr>
            </w:pPr>
            <w:r w:rsidRPr="00F507F2">
              <w:rPr>
                <w:rFonts w:ascii="Times New Roman" w:hAnsi="Times New Roman" w:cs="Times New Roman"/>
                <w:sz w:val="20"/>
                <w:szCs w:val="20"/>
              </w:rPr>
              <w:t>ATTACACCAGTTCGTCCCTTTC</w:t>
            </w:r>
          </w:p>
        </w:tc>
      </w:tr>
      <w:tr w:rsidR="001E3E79" w:rsidRPr="00F507F2" w14:paraId="017193D4" w14:textId="77777777" w:rsidTr="00067669">
        <w:tc>
          <w:tcPr>
            <w:tcW w:w="4089" w:type="dxa"/>
            <w:tcBorders>
              <w:top w:val="nil"/>
              <w:bottom w:val="nil"/>
            </w:tcBorders>
          </w:tcPr>
          <w:p w14:paraId="682336FA" w14:textId="77777777" w:rsidR="001E3E79" w:rsidRPr="00F507F2" w:rsidRDefault="001E3E79" w:rsidP="00F507F2">
            <w:pPr>
              <w:snapToGrid w:val="0"/>
              <w:spacing w:line="480" w:lineRule="auto"/>
              <w:jc w:val="center"/>
              <w:rPr>
                <w:rFonts w:ascii="Times New Roman" w:hAnsi="Times New Roman" w:cs="Times New Roman"/>
                <w:sz w:val="20"/>
                <w:szCs w:val="20"/>
              </w:rPr>
            </w:pPr>
            <w:r w:rsidRPr="00F507F2">
              <w:rPr>
                <w:rFonts w:ascii="Times New Roman" w:hAnsi="Times New Roman" w:cs="Times New Roman"/>
                <w:sz w:val="20"/>
                <w:szCs w:val="20"/>
              </w:rPr>
              <w:t>GAPDH-F</w:t>
            </w:r>
          </w:p>
        </w:tc>
        <w:tc>
          <w:tcPr>
            <w:tcW w:w="4211" w:type="dxa"/>
            <w:tcBorders>
              <w:top w:val="nil"/>
              <w:bottom w:val="nil"/>
            </w:tcBorders>
          </w:tcPr>
          <w:p w14:paraId="2A00F2DB" w14:textId="77777777" w:rsidR="001E3E79" w:rsidRPr="00F507F2" w:rsidRDefault="001E3E79" w:rsidP="00F507F2">
            <w:pPr>
              <w:snapToGrid w:val="0"/>
              <w:spacing w:line="480" w:lineRule="auto"/>
              <w:jc w:val="center"/>
              <w:rPr>
                <w:rFonts w:ascii="Times New Roman" w:hAnsi="Times New Roman" w:cs="Times New Roman"/>
                <w:sz w:val="20"/>
                <w:szCs w:val="20"/>
              </w:rPr>
            </w:pPr>
            <w:r w:rsidRPr="00F507F2">
              <w:rPr>
                <w:rFonts w:ascii="Times New Roman" w:hAnsi="Times New Roman" w:cs="Times New Roman"/>
                <w:sz w:val="20"/>
                <w:szCs w:val="20"/>
              </w:rPr>
              <w:t>GGAGCGAGATCCCTCCAAAAT</w:t>
            </w:r>
          </w:p>
        </w:tc>
      </w:tr>
      <w:tr w:rsidR="001E3E79" w:rsidRPr="00F507F2" w14:paraId="3FEC4DE0" w14:textId="77777777" w:rsidTr="00067669">
        <w:tc>
          <w:tcPr>
            <w:tcW w:w="4089" w:type="dxa"/>
            <w:tcBorders>
              <w:top w:val="nil"/>
              <w:bottom w:val="single" w:sz="4" w:space="0" w:color="auto"/>
            </w:tcBorders>
          </w:tcPr>
          <w:p w14:paraId="7D40DE70" w14:textId="77777777" w:rsidR="001E3E79" w:rsidRPr="00F507F2" w:rsidRDefault="001E3E79" w:rsidP="00F507F2">
            <w:pPr>
              <w:snapToGrid w:val="0"/>
              <w:spacing w:line="480" w:lineRule="auto"/>
              <w:jc w:val="center"/>
              <w:rPr>
                <w:rFonts w:ascii="Times New Roman" w:hAnsi="Times New Roman" w:cs="Times New Roman"/>
                <w:sz w:val="20"/>
                <w:szCs w:val="20"/>
              </w:rPr>
            </w:pPr>
            <w:r w:rsidRPr="00F507F2">
              <w:rPr>
                <w:rFonts w:ascii="Times New Roman" w:hAnsi="Times New Roman" w:cs="Times New Roman"/>
                <w:sz w:val="20"/>
                <w:szCs w:val="20"/>
              </w:rPr>
              <w:t>GAPDH-R</w:t>
            </w:r>
          </w:p>
        </w:tc>
        <w:tc>
          <w:tcPr>
            <w:tcW w:w="4211" w:type="dxa"/>
            <w:tcBorders>
              <w:top w:val="nil"/>
              <w:bottom w:val="single" w:sz="4" w:space="0" w:color="auto"/>
            </w:tcBorders>
          </w:tcPr>
          <w:p w14:paraId="3CA27842" w14:textId="77777777" w:rsidR="001E3E79" w:rsidRPr="00F507F2" w:rsidRDefault="001E3E79" w:rsidP="00F507F2">
            <w:pPr>
              <w:snapToGrid w:val="0"/>
              <w:spacing w:line="480" w:lineRule="auto"/>
              <w:jc w:val="center"/>
              <w:rPr>
                <w:rFonts w:ascii="Times New Roman" w:hAnsi="Times New Roman" w:cs="Times New Roman"/>
                <w:sz w:val="20"/>
                <w:szCs w:val="20"/>
              </w:rPr>
            </w:pPr>
            <w:r w:rsidRPr="00F507F2">
              <w:rPr>
                <w:rFonts w:ascii="Times New Roman" w:hAnsi="Times New Roman" w:cs="Times New Roman"/>
                <w:sz w:val="20"/>
                <w:szCs w:val="20"/>
              </w:rPr>
              <w:t>GGCTGTTGTCATACTTCTCATGG</w:t>
            </w:r>
          </w:p>
        </w:tc>
      </w:tr>
      <w:tr w:rsidR="001E3E79" w:rsidRPr="00F507F2" w14:paraId="627FFB30" w14:textId="77777777" w:rsidTr="00067669">
        <w:tc>
          <w:tcPr>
            <w:tcW w:w="4089" w:type="dxa"/>
            <w:tcBorders>
              <w:top w:val="single" w:sz="4" w:space="0" w:color="auto"/>
              <w:bottom w:val="single" w:sz="4" w:space="0" w:color="auto"/>
            </w:tcBorders>
          </w:tcPr>
          <w:p w14:paraId="6774524E" w14:textId="77777777" w:rsidR="001E3E79" w:rsidRPr="00F507F2" w:rsidRDefault="001E3E79" w:rsidP="00F507F2">
            <w:pPr>
              <w:snapToGrid w:val="0"/>
              <w:spacing w:line="480" w:lineRule="auto"/>
              <w:jc w:val="center"/>
              <w:rPr>
                <w:rFonts w:ascii="Times New Roman" w:hAnsi="Times New Roman" w:cs="Times New Roman"/>
                <w:b/>
                <w:bCs/>
                <w:sz w:val="20"/>
                <w:szCs w:val="20"/>
              </w:rPr>
            </w:pPr>
            <w:r w:rsidRPr="00F507F2">
              <w:rPr>
                <w:rFonts w:ascii="Times New Roman" w:hAnsi="Times New Roman" w:cs="Times New Roman"/>
                <w:b/>
                <w:bCs/>
                <w:sz w:val="20"/>
                <w:szCs w:val="20"/>
              </w:rPr>
              <w:t>sgRNAs</w:t>
            </w:r>
          </w:p>
        </w:tc>
        <w:tc>
          <w:tcPr>
            <w:tcW w:w="4211" w:type="dxa"/>
            <w:tcBorders>
              <w:top w:val="single" w:sz="4" w:space="0" w:color="auto"/>
              <w:bottom w:val="single" w:sz="4" w:space="0" w:color="auto"/>
            </w:tcBorders>
          </w:tcPr>
          <w:p w14:paraId="7486628F" w14:textId="77777777" w:rsidR="001E3E79" w:rsidRPr="00F507F2" w:rsidRDefault="001E3E79" w:rsidP="00F507F2">
            <w:pPr>
              <w:snapToGrid w:val="0"/>
              <w:spacing w:line="480" w:lineRule="auto"/>
              <w:jc w:val="center"/>
              <w:rPr>
                <w:rFonts w:ascii="Times New Roman" w:hAnsi="Times New Roman" w:cs="Times New Roman"/>
                <w:b/>
                <w:bCs/>
                <w:sz w:val="20"/>
                <w:szCs w:val="20"/>
              </w:rPr>
            </w:pPr>
            <w:r w:rsidRPr="00F507F2">
              <w:rPr>
                <w:rFonts w:ascii="Times New Roman" w:hAnsi="Times New Roman" w:cs="Times New Roman"/>
                <w:b/>
                <w:bCs/>
                <w:sz w:val="20"/>
                <w:szCs w:val="20"/>
              </w:rPr>
              <w:t>Sequence</w:t>
            </w:r>
            <w:r w:rsidRPr="00F507F2">
              <w:rPr>
                <w:rFonts w:ascii="Times New Roman" w:hAnsi="Times New Roman" w:cs="Times New Roman"/>
                <w:b/>
                <w:bCs/>
                <w:sz w:val="20"/>
                <w:szCs w:val="20"/>
              </w:rPr>
              <w:t>（</w:t>
            </w:r>
            <w:r w:rsidRPr="00F507F2">
              <w:rPr>
                <w:rFonts w:ascii="Times New Roman" w:hAnsi="Times New Roman" w:cs="Times New Roman"/>
                <w:b/>
                <w:bCs/>
                <w:sz w:val="20"/>
                <w:szCs w:val="20"/>
              </w:rPr>
              <w:t xml:space="preserve"> 5’— 3’</w:t>
            </w:r>
            <w:r w:rsidRPr="00F507F2">
              <w:rPr>
                <w:rFonts w:ascii="Times New Roman" w:hAnsi="Times New Roman" w:cs="Times New Roman"/>
                <w:b/>
                <w:bCs/>
                <w:sz w:val="20"/>
                <w:szCs w:val="20"/>
              </w:rPr>
              <w:t>）</w:t>
            </w:r>
          </w:p>
        </w:tc>
      </w:tr>
      <w:tr w:rsidR="001E3E79" w:rsidRPr="00F507F2" w14:paraId="772B7D10" w14:textId="77777777" w:rsidTr="00067669">
        <w:tc>
          <w:tcPr>
            <w:tcW w:w="4089" w:type="dxa"/>
          </w:tcPr>
          <w:p w14:paraId="62D4485C" w14:textId="77777777" w:rsidR="001E3E79" w:rsidRPr="00F507F2" w:rsidRDefault="00067669" w:rsidP="00F507F2">
            <w:pPr>
              <w:snapToGrid w:val="0"/>
              <w:spacing w:line="480" w:lineRule="auto"/>
              <w:jc w:val="center"/>
              <w:rPr>
                <w:rFonts w:ascii="Times New Roman" w:hAnsi="Times New Roman" w:cs="Times New Roman"/>
                <w:sz w:val="20"/>
                <w:szCs w:val="20"/>
              </w:rPr>
            </w:pPr>
            <w:r w:rsidRPr="00F507F2">
              <w:rPr>
                <w:rFonts w:ascii="Times New Roman" w:hAnsi="Times New Roman" w:cs="Times New Roman"/>
                <w:bCs/>
                <w:sz w:val="20"/>
                <w:szCs w:val="20"/>
              </w:rPr>
              <w:t>PTEN sgRNA1</w:t>
            </w:r>
          </w:p>
        </w:tc>
        <w:tc>
          <w:tcPr>
            <w:tcW w:w="4211" w:type="dxa"/>
          </w:tcPr>
          <w:p w14:paraId="04E8EF28" w14:textId="77777777" w:rsidR="001E3E79" w:rsidRPr="00F507F2" w:rsidRDefault="001E3E79" w:rsidP="00F507F2">
            <w:pPr>
              <w:snapToGrid w:val="0"/>
              <w:spacing w:line="480" w:lineRule="auto"/>
              <w:jc w:val="center"/>
              <w:rPr>
                <w:rFonts w:ascii="Times New Roman" w:hAnsi="Times New Roman" w:cs="Times New Roman"/>
                <w:sz w:val="20"/>
                <w:szCs w:val="20"/>
              </w:rPr>
            </w:pPr>
            <w:r w:rsidRPr="00F507F2">
              <w:rPr>
                <w:rFonts w:ascii="Times New Roman" w:hAnsi="Times New Roman" w:cs="Times New Roman"/>
                <w:bCs/>
                <w:sz w:val="20"/>
                <w:szCs w:val="20"/>
              </w:rPr>
              <w:t>GAACTTGTCTTCCCGTCGTGT</w:t>
            </w:r>
          </w:p>
        </w:tc>
      </w:tr>
      <w:tr w:rsidR="001E3E79" w:rsidRPr="00F507F2" w14:paraId="04FD2F26" w14:textId="77777777" w:rsidTr="00067669">
        <w:tc>
          <w:tcPr>
            <w:tcW w:w="4089" w:type="dxa"/>
          </w:tcPr>
          <w:p w14:paraId="5A69BD1B" w14:textId="77777777" w:rsidR="001E3E79" w:rsidRPr="00F507F2" w:rsidRDefault="00067669" w:rsidP="00F507F2">
            <w:pPr>
              <w:snapToGrid w:val="0"/>
              <w:spacing w:line="480" w:lineRule="auto"/>
              <w:jc w:val="center"/>
              <w:rPr>
                <w:rFonts w:ascii="Times New Roman" w:hAnsi="Times New Roman" w:cs="Times New Roman"/>
                <w:sz w:val="20"/>
                <w:szCs w:val="20"/>
              </w:rPr>
            </w:pPr>
            <w:r w:rsidRPr="00F507F2">
              <w:rPr>
                <w:rFonts w:ascii="Times New Roman" w:hAnsi="Times New Roman" w:cs="Times New Roman"/>
                <w:bCs/>
                <w:sz w:val="20"/>
                <w:szCs w:val="20"/>
              </w:rPr>
              <w:t>PTEN sgRNA2</w:t>
            </w:r>
          </w:p>
        </w:tc>
        <w:tc>
          <w:tcPr>
            <w:tcW w:w="4211" w:type="dxa"/>
          </w:tcPr>
          <w:p w14:paraId="25889D09" w14:textId="77777777" w:rsidR="001E3E79" w:rsidRPr="00F507F2" w:rsidRDefault="001E3E79" w:rsidP="00F507F2">
            <w:pPr>
              <w:snapToGrid w:val="0"/>
              <w:spacing w:line="480" w:lineRule="auto"/>
              <w:jc w:val="center"/>
              <w:rPr>
                <w:rFonts w:ascii="Times New Roman" w:hAnsi="Times New Roman" w:cs="Times New Roman"/>
                <w:sz w:val="20"/>
                <w:szCs w:val="20"/>
              </w:rPr>
            </w:pPr>
            <w:r w:rsidRPr="00F507F2">
              <w:rPr>
                <w:rFonts w:ascii="Times New Roman" w:hAnsi="Times New Roman" w:cs="Times New Roman"/>
                <w:bCs/>
                <w:sz w:val="20"/>
                <w:szCs w:val="20"/>
              </w:rPr>
              <w:t>GGGCCTCCCACCTTGAACTA</w:t>
            </w:r>
          </w:p>
        </w:tc>
      </w:tr>
      <w:tr w:rsidR="001E3E79" w:rsidRPr="00F507F2" w14:paraId="66971511" w14:textId="77777777" w:rsidTr="00067669">
        <w:tc>
          <w:tcPr>
            <w:tcW w:w="4089" w:type="dxa"/>
            <w:tcBorders>
              <w:top w:val="single" w:sz="4" w:space="0" w:color="auto"/>
              <w:bottom w:val="single" w:sz="4" w:space="0" w:color="auto"/>
            </w:tcBorders>
          </w:tcPr>
          <w:p w14:paraId="00068639" w14:textId="77777777" w:rsidR="001E3E79" w:rsidRPr="00F507F2" w:rsidRDefault="001E3E79" w:rsidP="00F507F2">
            <w:pPr>
              <w:snapToGrid w:val="0"/>
              <w:spacing w:line="480" w:lineRule="auto"/>
              <w:jc w:val="center"/>
              <w:rPr>
                <w:rFonts w:ascii="Times New Roman" w:hAnsi="Times New Roman" w:cs="Times New Roman"/>
                <w:b/>
                <w:bCs/>
                <w:sz w:val="20"/>
                <w:szCs w:val="20"/>
              </w:rPr>
            </w:pPr>
            <w:proofErr w:type="spellStart"/>
            <w:r w:rsidRPr="00F507F2">
              <w:rPr>
                <w:rFonts w:ascii="Times New Roman" w:hAnsi="Times New Roman" w:cs="Times New Roman"/>
                <w:b/>
                <w:bCs/>
                <w:sz w:val="20"/>
                <w:szCs w:val="20"/>
              </w:rPr>
              <w:t>shRNAs</w:t>
            </w:r>
            <w:proofErr w:type="spellEnd"/>
          </w:p>
        </w:tc>
        <w:tc>
          <w:tcPr>
            <w:tcW w:w="4211" w:type="dxa"/>
            <w:tcBorders>
              <w:top w:val="single" w:sz="4" w:space="0" w:color="auto"/>
              <w:bottom w:val="single" w:sz="4" w:space="0" w:color="auto"/>
            </w:tcBorders>
          </w:tcPr>
          <w:p w14:paraId="1557DBC7" w14:textId="77777777" w:rsidR="001E3E79" w:rsidRPr="00F507F2" w:rsidRDefault="001E3E79" w:rsidP="00F507F2">
            <w:pPr>
              <w:snapToGrid w:val="0"/>
              <w:spacing w:line="480" w:lineRule="auto"/>
              <w:jc w:val="center"/>
              <w:rPr>
                <w:rFonts w:ascii="Times New Roman" w:hAnsi="Times New Roman" w:cs="Times New Roman"/>
                <w:b/>
                <w:bCs/>
                <w:sz w:val="20"/>
                <w:szCs w:val="20"/>
              </w:rPr>
            </w:pPr>
            <w:r w:rsidRPr="00F507F2">
              <w:rPr>
                <w:rFonts w:ascii="Times New Roman" w:hAnsi="Times New Roman" w:cs="Times New Roman"/>
                <w:b/>
                <w:bCs/>
                <w:sz w:val="20"/>
                <w:szCs w:val="20"/>
              </w:rPr>
              <w:t>Sequence</w:t>
            </w:r>
            <w:r w:rsidRPr="00F507F2">
              <w:rPr>
                <w:rFonts w:ascii="Times New Roman" w:hAnsi="Times New Roman" w:cs="Times New Roman"/>
                <w:b/>
                <w:bCs/>
                <w:sz w:val="20"/>
                <w:szCs w:val="20"/>
              </w:rPr>
              <w:t>（</w:t>
            </w:r>
            <w:r w:rsidRPr="00F507F2">
              <w:rPr>
                <w:rFonts w:ascii="Times New Roman" w:hAnsi="Times New Roman" w:cs="Times New Roman"/>
                <w:b/>
                <w:bCs/>
                <w:sz w:val="20"/>
                <w:szCs w:val="20"/>
              </w:rPr>
              <w:t xml:space="preserve"> 5’— 3’</w:t>
            </w:r>
            <w:r w:rsidRPr="00F507F2">
              <w:rPr>
                <w:rFonts w:ascii="Times New Roman" w:hAnsi="Times New Roman" w:cs="Times New Roman"/>
                <w:b/>
                <w:bCs/>
                <w:sz w:val="20"/>
                <w:szCs w:val="20"/>
              </w:rPr>
              <w:t>）</w:t>
            </w:r>
          </w:p>
        </w:tc>
      </w:tr>
      <w:tr w:rsidR="001E3E79" w:rsidRPr="00F507F2" w14:paraId="488AF6DD" w14:textId="77777777" w:rsidTr="00067669">
        <w:tc>
          <w:tcPr>
            <w:tcW w:w="4089" w:type="dxa"/>
            <w:tcBorders>
              <w:top w:val="single" w:sz="4" w:space="0" w:color="auto"/>
            </w:tcBorders>
          </w:tcPr>
          <w:p w14:paraId="4D102860" w14:textId="77777777" w:rsidR="001E3E79" w:rsidRPr="00F507F2" w:rsidRDefault="001E3E79" w:rsidP="00F507F2">
            <w:pPr>
              <w:snapToGrid w:val="0"/>
              <w:spacing w:line="480" w:lineRule="auto"/>
              <w:jc w:val="center"/>
              <w:rPr>
                <w:rFonts w:ascii="Times New Roman" w:hAnsi="Times New Roman" w:cs="Times New Roman"/>
                <w:sz w:val="20"/>
                <w:szCs w:val="20"/>
              </w:rPr>
            </w:pPr>
            <w:r w:rsidRPr="00F507F2">
              <w:rPr>
                <w:rFonts w:ascii="Times New Roman" w:hAnsi="Times New Roman" w:cs="Times New Roman"/>
                <w:bCs/>
                <w:sz w:val="20"/>
                <w:szCs w:val="20"/>
              </w:rPr>
              <w:t>MCL-</w:t>
            </w:r>
            <w:proofErr w:type="gramStart"/>
            <w:r w:rsidRPr="00F507F2">
              <w:rPr>
                <w:rFonts w:ascii="Times New Roman" w:hAnsi="Times New Roman" w:cs="Times New Roman"/>
                <w:bCs/>
                <w:sz w:val="20"/>
                <w:szCs w:val="20"/>
              </w:rPr>
              <w:t>1  shRNA</w:t>
            </w:r>
            <w:proofErr w:type="gramEnd"/>
            <w:r w:rsidRPr="00F507F2">
              <w:rPr>
                <w:rFonts w:ascii="Times New Roman" w:hAnsi="Times New Roman" w:cs="Times New Roman"/>
                <w:bCs/>
                <w:sz w:val="20"/>
                <w:szCs w:val="20"/>
              </w:rPr>
              <w:t>1-F</w:t>
            </w:r>
          </w:p>
        </w:tc>
        <w:tc>
          <w:tcPr>
            <w:tcW w:w="4211" w:type="dxa"/>
            <w:tcBorders>
              <w:top w:val="single" w:sz="4" w:space="0" w:color="auto"/>
            </w:tcBorders>
          </w:tcPr>
          <w:p w14:paraId="7FE9D485" w14:textId="77777777" w:rsidR="001E3E79" w:rsidRPr="00F507F2" w:rsidRDefault="001E3E79" w:rsidP="00F507F2">
            <w:pPr>
              <w:snapToGrid w:val="0"/>
              <w:spacing w:line="480" w:lineRule="auto"/>
              <w:jc w:val="center"/>
              <w:rPr>
                <w:rFonts w:ascii="Times New Roman" w:hAnsi="Times New Roman" w:cs="Times New Roman"/>
                <w:sz w:val="20"/>
                <w:szCs w:val="20"/>
              </w:rPr>
            </w:pPr>
            <w:r w:rsidRPr="00F507F2">
              <w:rPr>
                <w:rFonts w:ascii="Times New Roman" w:hAnsi="Times New Roman" w:cs="Times New Roman"/>
                <w:bCs/>
                <w:sz w:val="20"/>
                <w:szCs w:val="20"/>
              </w:rPr>
              <w:t>CCGGGCTTCGGAAACTGGACATCAACTC</w:t>
            </w:r>
            <w:r w:rsidRPr="00F507F2">
              <w:rPr>
                <w:rFonts w:ascii="Times New Roman" w:hAnsi="Times New Roman" w:cs="Times New Roman"/>
                <w:bCs/>
                <w:sz w:val="20"/>
                <w:szCs w:val="20"/>
              </w:rPr>
              <w:br/>
              <w:t>GAGTTGATGTCCAGTTTCCGAAGCTTTTTG</w:t>
            </w:r>
          </w:p>
        </w:tc>
      </w:tr>
      <w:tr w:rsidR="001E3E79" w:rsidRPr="00F507F2" w14:paraId="1B8B75DA" w14:textId="77777777" w:rsidTr="00067669">
        <w:tc>
          <w:tcPr>
            <w:tcW w:w="4089" w:type="dxa"/>
          </w:tcPr>
          <w:p w14:paraId="162D6291" w14:textId="77777777" w:rsidR="001E3E79" w:rsidRPr="00F507F2" w:rsidRDefault="001E3E79" w:rsidP="00F507F2">
            <w:pPr>
              <w:snapToGrid w:val="0"/>
              <w:spacing w:line="480" w:lineRule="auto"/>
              <w:jc w:val="center"/>
              <w:rPr>
                <w:rFonts w:ascii="Times New Roman" w:hAnsi="Times New Roman" w:cs="Times New Roman"/>
                <w:sz w:val="20"/>
                <w:szCs w:val="20"/>
              </w:rPr>
            </w:pPr>
            <w:r w:rsidRPr="00F507F2">
              <w:rPr>
                <w:rFonts w:ascii="Times New Roman" w:hAnsi="Times New Roman" w:cs="Times New Roman"/>
                <w:bCs/>
                <w:sz w:val="20"/>
                <w:szCs w:val="20"/>
              </w:rPr>
              <w:t>MCL-</w:t>
            </w:r>
            <w:proofErr w:type="gramStart"/>
            <w:r w:rsidRPr="00F507F2">
              <w:rPr>
                <w:rFonts w:ascii="Times New Roman" w:hAnsi="Times New Roman" w:cs="Times New Roman"/>
                <w:bCs/>
                <w:sz w:val="20"/>
                <w:szCs w:val="20"/>
              </w:rPr>
              <w:t>1  shRNA</w:t>
            </w:r>
            <w:proofErr w:type="gramEnd"/>
            <w:r w:rsidRPr="00F507F2">
              <w:rPr>
                <w:rFonts w:ascii="Times New Roman" w:hAnsi="Times New Roman" w:cs="Times New Roman"/>
                <w:bCs/>
                <w:sz w:val="20"/>
                <w:szCs w:val="20"/>
              </w:rPr>
              <w:t>1-R</w:t>
            </w:r>
          </w:p>
        </w:tc>
        <w:tc>
          <w:tcPr>
            <w:tcW w:w="4211" w:type="dxa"/>
          </w:tcPr>
          <w:p w14:paraId="662B05D4" w14:textId="77777777" w:rsidR="001E3E79" w:rsidRPr="00F507F2" w:rsidRDefault="001E3E79" w:rsidP="00F507F2">
            <w:pPr>
              <w:snapToGrid w:val="0"/>
              <w:spacing w:line="480" w:lineRule="auto"/>
              <w:jc w:val="center"/>
              <w:rPr>
                <w:rFonts w:ascii="Times New Roman" w:hAnsi="Times New Roman" w:cs="Times New Roman"/>
                <w:sz w:val="20"/>
                <w:szCs w:val="20"/>
              </w:rPr>
            </w:pPr>
            <w:r w:rsidRPr="00F507F2">
              <w:rPr>
                <w:rFonts w:ascii="Times New Roman" w:hAnsi="Times New Roman" w:cs="Times New Roman"/>
                <w:bCs/>
                <w:sz w:val="20"/>
                <w:szCs w:val="20"/>
              </w:rPr>
              <w:t>AATTCAAAAAGCTTCGGAAACTGGACATC</w:t>
            </w:r>
            <w:r w:rsidRPr="00F507F2">
              <w:rPr>
                <w:rFonts w:ascii="Times New Roman" w:hAnsi="Times New Roman" w:cs="Times New Roman"/>
                <w:bCs/>
                <w:sz w:val="20"/>
                <w:szCs w:val="20"/>
              </w:rPr>
              <w:br/>
              <w:t>AACTCGAGTTGATGTCCAGTTTCCGAAGC</w:t>
            </w:r>
          </w:p>
        </w:tc>
      </w:tr>
      <w:tr w:rsidR="001E3E79" w:rsidRPr="00F507F2" w14:paraId="4CA39319" w14:textId="77777777" w:rsidTr="00067669">
        <w:tc>
          <w:tcPr>
            <w:tcW w:w="4089" w:type="dxa"/>
          </w:tcPr>
          <w:p w14:paraId="5034EBE2" w14:textId="77777777" w:rsidR="001E3E79" w:rsidRPr="00F507F2" w:rsidRDefault="001E3E79" w:rsidP="00F507F2">
            <w:pPr>
              <w:snapToGrid w:val="0"/>
              <w:spacing w:line="480" w:lineRule="auto"/>
              <w:jc w:val="center"/>
              <w:rPr>
                <w:rFonts w:ascii="Times New Roman" w:hAnsi="Times New Roman" w:cs="Times New Roman"/>
                <w:sz w:val="20"/>
                <w:szCs w:val="20"/>
              </w:rPr>
            </w:pPr>
            <w:r w:rsidRPr="00F507F2">
              <w:rPr>
                <w:rFonts w:ascii="Times New Roman" w:hAnsi="Times New Roman" w:cs="Times New Roman"/>
                <w:bCs/>
                <w:sz w:val="20"/>
                <w:szCs w:val="20"/>
              </w:rPr>
              <w:t>MCL-</w:t>
            </w:r>
            <w:proofErr w:type="gramStart"/>
            <w:r w:rsidRPr="00F507F2">
              <w:rPr>
                <w:rFonts w:ascii="Times New Roman" w:hAnsi="Times New Roman" w:cs="Times New Roman"/>
                <w:bCs/>
                <w:sz w:val="20"/>
                <w:szCs w:val="20"/>
              </w:rPr>
              <w:t>1  shRNA</w:t>
            </w:r>
            <w:proofErr w:type="gramEnd"/>
            <w:r w:rsidRPr="00F507F2">
              <w:rPr>
                <w:rFonts w:ascii="Times New Roman" w:hAnsi="Times New Roman" w:cs="Times New Roman"/>
                <w:bCs/>
                <w:sz w:val="20"/>
                <w:szCs w:val="20"/>
              </w:rPr>
              <w:t>2-F</w:t>
            </w:r>
          </w:p>
        </w:tc>
        <w:tc>
          <w:tcPr>
            <w:tcW w:w="4211" w:type="dxa"/>
          </w:tcPr>
          <w:p w14:paraId="194A2614" w14:textId="77777777" w:rsidR="001E3E79" w:rsidRPr="00F507F2" w:rsidRDefault="001E3E79" w:rsidP="00F507F2">
            <w:pPr>
              <w:snapToGrid w:val="0"/>
              <w:spacing w:line="480" w:lineRule="auto"/>
              <w:jc w:val="center"/>
              <w:rPr>
                <w:rFonts w:ascii="Times New Roman" w:hAnsi="Times New Roman" w:cs="Times New Roman"/>
                <w:sz w:val="20"/>
                <w:szCs w:val="20"/>
              </w:rPr>
            </w:pPr>
            <w:r w:rsidRPr="00F507F2">
              <w:rPr>
                <w:rFonts w:ascii="Times New Roman" w:hAnsi="Times New Roman" w:cs="Times New Roman"/>
                <w:bCs/>
                <w:sz w:val="20"/>
                <w:szCs w:val="20"/>
              </w:rPr>
              <w:t>CCGGGCTGGAGATTATCTCTCGGTACTCG</w:t>
            </w:r>
            <w:r w:rsidRPr="00F507F2">
              <w:rPr>
                <w:rFonts w:ascii="Times New Roman" w:hAnsi="Times New Roman" w:cs="Times New Roman"/>
                <w:bCs/>
                <w:sz w:val="20"/>
                <w:szCs w:val="20"/>
              </w:rPr>
              <w:br/>
              <w:t>AGTACCGAGAGATAATCTCCAGCTTTTTG</w:t>
            </w:r>
          </w:p>
        </w:tc>
      </w:tr>
      <w:tr w:rsidR="001E3E79" w:rsidRPr="00F507F2" w14:paraId="3E95F0FD" w14:textId="77777777" w:rsidTr="00067669">
        <w:tc>
          <w:tcPr>
            <w:tcW w:w="4089" w:type="dxa"/>
          </w:tcPr>
          <w:p w14:paraId="3A4F0B03" w14:textId="77777777" w:rsidR="001E3E79" w:rsidRPr="00F507F2" w:rsidRDefault="001E3E79" w:rsidP="00F507F2">
            <w:pPr>
              <w:snapToGrid w:val="0"/>
              <w:spacing w:line="480" w:lineRule="auto"/>
              <w:jc w:val="center"/>
              <w:rPr>
                <w:rFonts w:ascii="Times New Roman" w:hAnsi="Times New Roman" w:cs="Times New Roman"/>
                <w:sz w:val="20"/>
                <w:szCs w:val="20"/>
              </w:rPr>
            </w:pPr>
            <w:r w:rsidRPr="00F507F2">
              <w:rPr>
                <w:rFonts w:ascii="Times New Roman" w:hAnsi="Times New Roman" w:cs="Times New Roman"/>
                <w:bCs/>
                <w:sz w:val="20"/>
                <w:szCs w:val="20"/>
              </w:rPr>
              <w:t>MCL-</w:t>
            </w:r>
            <w:proofErr w:type="gramStart"/>
            <w:r w:rsidRPr="00F507F2">
              <w:rPr>
                <w:rFonts w:ascii="Times New Roman" w:hAnsi="Times New Roman" w:cs="Times New Roman"/>
                <w:bCs/>
                <w:sz w:val="20"/>
                <w:szCs w:val="20"/>
              </w:rPr>
              <w:t>1  shRNA</w:t>
            </w:r>
            <w:proofErr w:type="gramEnd"/>
            <w:r w:rsidRPr="00F507F2">
              <w:rPr>
                <w:rFonts w:ascii="Times New Roman" w:hAnsi="Times New Roman" w:cs="Times New Roman"/>
                <w:bCs/>
                <w:sz w:val="20"/>
                <w:szCs w:val="20"/>
              </w:rPr>
              <w:t>2-R</w:t>
            </w:r>
          </w:p>
        </w:tc>
        <w:tc>
          <w:tcPr>
            <w:tcW w:w="4211" w:type="dxa"/>
          </w:tcPr>
          <w:p w14:paraId="05663F45" w14:textId="77777777" w:rsidR="001E3E79" w:rsidRPr="00F507F2" w:rsidRDefault="001E3E79" w:rsidP="00F507F2">
            <w:pPr>
              <w:snapToGrid w:val="0"/>
              <w:spacing w:line="480" w:lineRule="auto"/>
              <w:jc w:val="center"/>
              <w:rPr>
                <w:rFonts w:ascii="Times New Roman" w:hAnsi="Times New Roman" w:cs="Times New Roman"/>
                <w:sz w:val="20"/>
                <w:szCs w:val="20"/>
              </w:rPr>
            </w:pPr>
            <w:r w:rsidRPr="00F507F2">
              <w:rPr>
                <w:rFonts w:ascii="Times New Roman" w:hAnsi="Times New Roman" w:cs="Times New Roman"/>
                <w:bCs/>
                <w:sz w:val="20"/>
                <w:szCs w:val="20"/>
              </w:rPr>
              <w:t>AATTCAAAAAGCTGGAGATTATCTCTCGGT</w:t>
            </w:r>
            <w:r w:rsidRPr="00F507F2">
              <w:rPr>
                <w:rFonts w:ascii="Times New Roman" w:hAnsi="Times New Roman" w:cs="Times New Roman"/>
                <w:bCs/>
                <w:sz w:val="20"/>
                <w:szCs w:val="20"/>
              </w:rPr>
              <w:br/>
              <w:t>ACTCGAGTACCGAGAGATAATCTCCAGC</w:t>
            </w:r>
          </w:p>
        </w:tc>
      </w:tr>
    </w:tbl>
    <w:p w14:paraId="194AF939" w14:textId="77777777" w:rsidR="001E3E79" w:rsidRPr="00F507F2" w:rsidRDefault="001E3E79" w:rsidP="00F507F2">
      <w:pPr>
        <w:snapToGrid w:val="0"/>
        <w:spacing w:line="480" w:lineRule="auto"/>
        <w:rPr>
          <w:rFonts w:ascii="Times New Roman" w:hAnsi="Times New Roman" w:cs="Times New Roman"/>
        </w:rPr>
      </w:pPr>
    </w:p>
    <w:p w14:paraId="1B4A1388" w14:textId="77777777" w:rsidR="00F507F2" w:rsidRPr="00F507F2" w:rsidRDefault="00F507F2" w:rsidP="00F507F2">
      <w:pPr>
        <w:tabs>
          <w:tab w:val="left" w:pos="1320"/>
        </w:tabs>
        <w:snapToGrid w:val="0"/>
        <w:spacing w:line="480" w:lineRule="auto"/>
        <w:rPr>
          <w:rFonts w:ascii="Times New Roman" w:hAnsi="Times New Roman" w:cs="Times New Roman"/>
          <w:sz w:val="20"/>
          <w:szCs w:val="20"/>
        </w:rPr>
      </w:pPr>
      <w:r w:rsidRPr="00F507F2">
        <w:rPr>
          <w:rFonts w:ascii="Times New Roman" w:hAnsi="Times New Roman" w:cs="Times New Roman"/>
          <w:b/>
          <w:sz w:val="20"/>
          <w:szCs w:val="20"/>
        </w:rPr>
        <w:t xml:space="preserve">Recipe of RIPA buffer: </w:t>
      </w:r>
      <w:r w:rsidRPr="00F507F2">
        <w:rPr>
          <w:rFonts w:ascii="Times New Roman" w:hAnsi="Times New Roman" w:cs="Times New Roman"/>
          <w:sz w:val="20"/>
          <w:szCs w:val="20"/>
        </w:rPr>
        <w:t>50 mM Tris-HCl buffer pH 7.4, 1% NP-40, 150 mM NaCl, and 0.1% SDS. The supplemental protease inhibitors in RIPA buffer were 20 mM sodium fluoride, 0.5% sodium deoxycholate, 1 mM sodium orthovanadate, 2 mM sodium pyrophosphate decahydrate, 25 mM disodium-</w:t>
      </w:r>
      <w:r w:rsidRPr="00F507F2">
        <w:rPr>
          <w:rFonts w:ascii="Times New Roman" w:hAnsi="Times New Roman" w:cs="Times New Roman"/>
          <w:sz w:val="20"/>
          <w:szCs w:val="20"/>
        </w:rPr>
        <w:sym w:font="Symbol" w:char="F062"/>
      </w:r>
      <w:r w:rsidRPr="00F507F2">
        <w:rPr>
          <w:rFonts w:ascii="Times New Roman" w:hAnsi="Times New Roman" w:cs="Times New Roman"/>
          <w:sz w:val="20"/>
          <w:szCs w:val="20"/>
        </w:rPr>
        <w:t xml:space="preserve">-glycerophosphate, 1 mM PMSF, </w:t>
      </w:r>
      <w:bookmarkStart w:id="0" w:name="OLE_LINK19"/>
      <w:r w:rsidRPr="00F507F2">
        <w:rPr>
          <w:rFonts w:ascii="Times New Roman" w:hAnsi="Times New Roman" w:cs="Times New Roman"/>
          <w:sz w:val="20"/>
          <w:szCs w:val="20"/>
        </w:rPr>
        <w:t>1 mM benzamidine-HCl</w:t>
      </w:r>
      <w:bookmarkEnd w:id="0"/>
      <w:r w:rsidRPr="00F507F2">
        <w:rPr>
          <w:rFonts w:ascii="Times New Roman" w:hAnsi="Times New Roman" w:cs="Times New Roman"/>
          <w:sz w:val="20"/>
          <w:szCs w:val="20"/>
        </w:rPr>
        <w:t xml:space="preserve">, 0.5 </w:t>
      </w:r>
      <w:r w:rsidRPr="00F507F2">
        <w:rPr>
          <w:rFonts w:ascii="Times New Roman" w:hAnsi="Times New Roman" w:cs="Times New Roman"/>
          <w:sz w:val="20"/>
          <w:szCs w:val="20"/>
        </w:rPr>
        <w:sym w:font="Symbol" w:char="F06D"/>
      </w:r>
      <w:r w:rsidRPr="00F507F2">
        <w:rPr>
          <w:rFonts w:ascii="Times New Roman" w:hAnsi="Times New Roman" w:cs="Times New Roman"/>
          <w:sz w:val="20"/>
          <w:szCs w:val="20"/>
        </w:rPr>
        <w:t xml:space="preserve">g/ml leupeptin, 2 </w:t>
      </w:r>
      <w:r w:rsidRPr="00F507F2">
        <w:rPr>
          <w:rFonts w:ascii="Times New Roman" w:hAnsi="Times New Roman" w:cs="Times New Roman"/>
          <w:sz w:val="20"/>
          <w:szCs w:val="20"/>
        </w:rPr>
        <w:sym w:font="Symbol" w:char="F06D"/>
      </w:r>
      <w:r w:rsidRPr="00F507F2">
        <w:rPr>
          <w:rFonts w:ascii="Times New Roman" w:hAnsi="Times New Roman" w:cs="Times New Roman"/>
          <w:sz w:val="20"/>
          <w:szCs w:val="20"/>
        </w:rPr>
        <w:t xml:space="preserve">g/ml aprotinin, 0.7 </w:t>
      </w:r>
      <w:r w:rsidRPr="00F507F2">
        <w:rPr>
          <w:rFonts w:ascii="Times New Roman" w:hAnsi="Times New Roman" w:cs="Times New Roman"/>
          <w:sz w:val="20"/>
          <w:szCs w:val="20"/>
        </w:rPr>
        <w:sym w:font="Symbol" w:char="F06D"/>
      </w:r>
      <w:r w:rsidRPr="00F507F2">
        <w:rPr>
          <w:rFonts w:ascii="Times New Roman" w:hAnsi="Times New Roman" w:cs="Times New Roman"/>
          <w:sz w:val="20"/>
          <w:szCs w:val="20"/>
        </w:rPr>
        <w:t xml:space="preserve">g/ml </w:t>
      </w:r>
      <w:proofErr w:type="spellStart"/>
      <w:r w:rsidRPr="00F507F2">
        <w:rPr>
          <w:rFonts w:ascii="Times New Roman" w:hAnsi="Times New Roman" w:cs="Times New Roman"/>
          <w:sz w:val="20"/>
          <w:szCs w:val="20"/>
        </w:rPr>
        <w:t>pepstatin</w:t>
      </w:r>
      <w:proofErr w:type="spellEnd"/>
      <w:r w:rsidRPr="00F507F2">
        <w:rPr>
          <w:rFonts w:ascii="Times New Roman" w:hAnsi="Times New Roman" w:cs="Times New Roman"/>
          <w:sz w:val="20"/>
          <w:szCs w:val="20"/>
        </w:rPr>
        <w:t xml:space="preserve">, </w:t>
      </w:r>
      <w:bookmarkStart w:id="1" w:name="OLE_LINK20"/>
      <w:r w:rsidRPr="00F507F2">
        <w:rPr>
          <w:rFonts w:ascii="Times New Roman" w:hAnsi="Times New Roman" w:cs="Times New Roman"/>
          <w:sz w:val="20"/>
          <w:szCs w:val="20"/>
        </w:rPr>
        <w:t xml:space="preserve">10 µM E-64, 10 </w:t>
      </w:r>
      <w:r w:rsidRPr="00F507F2">
        <w:rPr>
          <w:rFonts w:ascii="Times New Roman" w:hAnsi="Times New Roman" w:cs="Times New Roman"/>
          <w:sz w:val="20"/>
          <w:szCs w:val="20"/>
        </w:rPr>
        <w:sym w:font="Symbol" w:char="F06D"/>
      </w:r>
      <w:r w:rsidRPr="00F507F2">
        <w:rPr>
          <w:rFonts w:ascii="Times New Roman" w:hAnsi="Times New Roman" w:cs="Times New Roman"/>
          <w:sz w:val="20"/>
          <w:szCs w:val="20"/>
        </w:rPr>
        <w:t xml:space="preserve">M </w:t>
      </w:r>
      <w:proofErr w:type="spellStart"/>
      <w:r w:rsidRPr="00F507F2">
        <w:rPr>
          <w:rFonts w:ascii="Times New Roman" w:hAnsi="Times New Roman" w:cs="Times New Roman"/>
          <w:sz w:val="20"/>
          <w:szCs w:val="20"/>
        </w:rPr>
        <w:t>bestatin</w:t>
      </w:r>
      <w:bookmarkEnd w:id="1"/>
      <w:proofErr w:type="spellEnd"/>
      <w:r w:rsidRPr="00F507F2">
        <w:rPr>
          <w:rFonts w:ascii="Times New Roman" w:hAnsi="Times New Roman" w:cs="Times New Roman"/>
          <w:sz w:val="20"/>
          <w:szCs w:val="20"/>
        </w:rPr>
        <w:t>, and 1 mM AEBSF.</w:t>
      </w:r>
    </w:p>
    <w:p w14:paraId="03DC0FBE" w14:textId="77777777" w:rsidR="00F507F2" w:rsidRPr="00F507F2" w:rsidRDefault="00F507F2" w:rsidP="00F507F2">
      <w:pPr>
        <w:snapToGrid w:val="0"/>
        <w:spacing w:line="480" w:lineRule="auto"/>
        <w:rPr>
          <w:rFonts w:ascii="Times New Roman" w:hAnsi="Times New Roman" w:cs="Times New Roman"/>
          <w:sz w:val="20"/>
          <w:szCs w:val="20"/>
        </w:rPr>
      </w:pPr>
    </w:p>
    <w:p w14:paraId="2C549C81" w14:textId="77777777" w:rsidR="00F507F2" w:rsidRPr="00F507F2" w:rsidRDefault="00F507F2" w:rsidP="00F507F2">
      <w:pPr>
        <w:snapToGrid w:val="0"/>
        <w:spacing w:after="160" w:line="480" w:lineRule="auto"/>
        <w:rPr>
          <w:rFonts w:ascii="Times New Roman" w:hAnsi="Times New Roman" w:cs="Times New Roman"/>
          <w:sz w:val="20"/>
          <w:szCs w:val="20"/>
        </w:rPr>
      </w:pPr>
      <w:r w:rsidRPr="00F507F2">
        <w:rPr>
          <w:rFonts w:ascii="Times New Roman" w:hAnsi="Times New Roman" w:cs="Times New Roman"/>
          <w:b/>
          <w:sz w:val="20"/>
          <w:szCs w:val="20"/>
        </w:rPr>
        <w:t xml:space="preserve">Immunohistochemistry (IHC) staining of the tissue array. </w:t>
      </w:r>
      <w:r w:rsidRPr="00F507F2">
        <w:rPr>
          <w:rFonts w:ascii="Times New Roman" w:hAnsi="Times New Roman" w:cs="Times New Roman"/>
          <w:sz w:val="20"/>
          <w:szCs w:val="20"/>
        </w:rPr>
        <w:t xml:space="preserve">A tissue microarray containing 139 patient-derived glioma samples in a slide and their clinical information were provided by OUTDO Biotech (Shanghai, China). First, the slides were deparaffinized by xylene and ethanol washes using a Leica </w:t>
      </w:r>
      <w:proofErr w:type="spellStart"/>
      <w:r w:rsidRPr="00F507F2">
        <w:rPr>
          <w:rFonts w:ascii="Times New Roman" w:hAnsi="Times New Roman" w:cs="Times New Roman"/>
          <w:sz w:val="20"/>
          <w:szCs w:val="20"/>
        </w:rPr>
        <w:lastRenderedPageBreak/>
        <w:t>Autostainer</w:t>
      </w:r>
      <w:proofErr w:type="spellEnd"/>
      <w:r w:rsidRPr="00F507F2">
        <w:rPr>
          <w:rFonts w:ascii="Times New Roman" w:hAnsi="Times New Roman" w:cs="Times New Roman"/>
          <w:sz w:val="20"/>
          <w:szCs w:val="20"/>
        </w:rPr>
        <w:t xml:space="preserve"> XL ST5010 and rehydrated with deionized water. Antigens in the samples were retrieved by high-pressure repair in a citric acid buffer. The slides were blocked with peroxidase-blocking reagent for 15 min at room temperature and incubated overnight at 4 °C with the primary antibodies anti-MCL1 (CST, 39224) and anti-PTEN (CST, 9559). Then, the slides were incubated at room temperature for 30 min with the appropriate secondary antibody (Envision+/HRP, Rabbit, DAKO) and subjected to DAB staining. Next, the slides were bathed for 40 seconds in hematoxylin solution and for 2 seconds in 0.25% acid alcohol (1 ml hydrochloric acid in 400 ml of 70% ethanol); the slides were dehydrated in a Leica </w:t>
      </w:r>
      <w:proofErr w:type="spellStart"/>
      <w:r w:rsidRPr="00F507F2">
        <w:rPr>
          <w:rFonts w:ascii="Times New Roman" w:hAnsi="Times New Roman" w:cs="Times New Roman"/>
          <w:sz w:val="20"/>
          <w:szCs w:val="20"/>
        </w:rPr>
        <w:t>Autostainer</w:t>
      </w:r>
      <w:proofErr w:type="spellEnd"/>
      <w:r w:rsidRPr="00F507F2">
        <w:rPr>
          <w:rFonts w:ascii="Times New Roman" w:hAnsi="Times New Roman" w:cs="Times New Roman"/>
          <w:sz w:val="20"/>
          <w:szCs w:val="20"/>
        </w:rPr>
        <w:t xml:space="preserve"> XL ST5010. Finally, the slides were air-dried and mounted with neutral balsam for visualization.</w:t>
      </w:r>
    </w:p>
    <w:p w14:paraId="4504C858" w14:textId="77777777" w:rsidR="00F507F2" w:rsidRPr="00F507F2" w:rsidRDefault="00F507F2" w:rsidP="00F507F2">
      <w:pPr>
        <w:snapToGrid w:val="0"/>
        <w:spacing w:after="160" w:line="480" w:lineRule="auto"/>
        <w:rPr>
          <w:rFonts w:ascii="Times New Roman" w:hAnsi="Times New Roman" w:cs="Times New Roman"/>
          <w:sz w:val="20"/>
          <w:szCs w:val="20"/>
        </w:rPr>
      </w:pPr>
      <w:r w:rsidRPr="00F507F2">
        <w:rPr>
          <w:rFonts w:ascii="Times New Roman" w:hAnsi="Times New Roman" w:cs="Times New Roman"/>
          <w:sz w:val="20"/>
          <w:szCs w:val="20"/>
        </w:rPr>
        <w:tab/>
        <w:t>For evaluation of tissue staining, an intensity score from 0 to 2 was given to each sample with negative to high PTEN staining: 0, negative; 1, middle; 2, high. Because the staining of MCL1 was generally low across samples, an intensity score of 0 or 1 was given to each sample with MCL1 staining; the percentage of MCL1 staining area was also assessed. The product of the intensity score and positive area percentage was calculated, and based on the results, all the samples were categorized as negative (0), weak (&lt;0.5), or positive (&gt;0.5) for MCL1 staining.</w:t>
      </w:r>
    </w:p>
    <w:p w14:paraId="6386BCBF" w14:textId="77777777" w:rsidR="00F507F2" w:rsidRPr="00F507F2" w:rsidRDefault="00F507F2" w:rsidP="00F507F2">
      <w:pPr>
        <w:snapToGrid w:val="0"/>
        <w:spacing w:after="160" w:line="480" w:lineRule="auto"/>
        <w:rPr>
          <w:rFonts w:ascii="Times New Roman" w:hAnsi="Times New Roman" w:cs="Times New Roman"/>
          <w:sz w:val="20"/>
          <w:szCs w:val="20"/>
        </w:rPr>
      </w:pPr>
    </w:p>
    <w:p w14:paraId="6C47B4FB" w14:textId="2C91992A" w:rsidR="00D300F4" w:rsidRDefault="00F507F2" w:rsidP="00F507F2">
      <w:pPr>
        <w:widowControl/>
        <w:tabs>
          <w:tab w:val="left" w:pos="1320"/>
        </w:tabs>
        <w:snapToGrid w:val="0"/>
        <w:spacing w:line="480" w:lineRule="auto"/>
        <w:rPr>
          <w:rFonts w:ascii="Times New Roman" w:hAnsi="Times New Roman" w:cs="Times New Roman"/>
          <w:sz w:val="20"/>
          <w:szCs w:val="20"/>
        </w:rPr>
      </w:pPr>
      <w:r w:rsidRPr="00F507F2">
        <w:rPr>
          <w:rFonts w:ascii="Times New Roman" w:hAnsi="Times New Roman" w:cs="Times New Roman"/>
          <w:b/>
          <w:sz w:val="20"/>
          <w:szCs w:val="20"/>
        </w:rPr>
        <w:t xml:space="preserve">Apoptosis antibody array. </w:t>
      </w:r>
      <w:r w:rsidRPr="00F507F2">
        <w:rPr>
          <w:rFonts w:ascii="Times New Roman" w:hAnsi="Times New Roman" w:cs="Times New Roman"/>
          <w:sz w:val="20"/>
          <w:szCs w:val="20"/>
        </w:rPr>
        <w:t>For the apoptosis antibody array, an Apoptosis Array Kit (CST, #ARY009) containing antibodies specific for 37 apoptosis-related proteins was used. Briefly, 1×10</w:t>
      </w:r>
      <w:r w:rsidRPr="00F507F2">
        <w:rPr>
          <w:rFonts w:ascii="Times New Roman" w:hAnsi="Times New Roman" w:cs="Times New Roman"/>
          <w:sz w:val="20"/>
          <w:szCs w:val="20"/>
          <w:vertAlign w:val="superscript"/>
        </w:rPr>
        <w:t>7</w:t>
      </w:r>
      <w:r w:rsidRPr="00F507F2">
        <w:rPr>
          <w:rFonts w:ascii="Times New Roman" w:hAnsi="Times New Roman" w:cs="Times New Roman"/>
          <w:sz w:val="20"/>
          <w:szCs w:val="20"/>
        </w:rPr>
        <w:t xml:space="preserve"> cells were harvested and lysed to obtain 400 </w:t>
      </w:r>
      <w:proofErr w:type="spellStart"/>
      <w:r w:rsidRPr="00F507F2">
        <w:rPr>
          <w:rFonts w:ascii="Times New Roman" w:hAnsi="Times New Roman" w:cs="Times New Roman"/>
          <w:sz w:val="20"/>
          <w:szCs w:val="20"/>
        </w:rPr>
        <w:t>μg</w:t>
      </w:r>
      <w:proofErr w:type="spellEnd"/>
      <w:r w:rsidRPr="00F507F2">
        <w:rPr>
          <w:rFonts w:ascii="Times New Roman" w:hAnsi="Times New Roman" w:cs="Times New Roman"/>
          <w:sz w:val="20"/>
          <w:szCs w:val="20"/>
        </w:rPr>
        <w:t xml:space="preserve"> cell lysates. A total of 250 </w:t>
      </w:r>
      <w:proofErr w:type="spellStart"/>
      <w:r w:rsidRPr="00F507F2">
        <w:rPr>
          <w:rFonts w:ascii="Times New Roman" w:hAnsi="Times New Roman" w:cs="Times New Roman"/>
          <w:sz w:val="20"/>
          <w:szCs w:val="20"/>
        </w:rPr>
        <w:t>μL</w:t>
      </w:r>
      <w:proofErr w:type="spellEnd"/>
      <w:r w:rsidRPr="00F507F2">
        <w:rPr>
          <w:rFonts w:ascii="Times New Roman" w:hAnsi="Times New Roman" w:cs="Times New Roman"/>
          <w:sz w:val="20"/>
          <w:szCs w:val="20"/>
        </w:rPr>
        <w:t xml:space="preserve"> lysates/array was incubated overnight at 4 °C. Then, the arrays were washed with PBS and treated with streptavidin-HRP for 30 min and </w:t>
      </w:r>
      <w:proofErr w:type="spellStart"/>
      <w:r w:rsidRPr="00F507F2">
        <w:rPr>
          <w:rFonts w:ascii="Times New Roman" w:hAnsi="Times New Roman" w:cs="Times New Roman"/>
          <w:sz w:val="20"/>
          <w:szCs w:val="20"/>
        </w:rPr>
        <w:t>Chemi</w:t>
      </w:r>
      <w:proofErr w:type="spellEnd"/>
      <w:r w:rsidRPr="00F507F2">
        <w:rPr>
          <w:rFonts w:ascii="Times New Roman" w:hAnsi="Times New Roman" w:cs="Times New Roman"/>
          <w:sz w:val="20"/>
          <w:szCs w:val="20"/>
        </w:rPr>
        <w:t xml:space="preserve"> Reagent Mix for </w:t>
      </w:r>
      <w:bookmarkStart w:id="2" w:name="_GoBack"/>
      <w:bookmarkEnd w:id="2"/>
      <w:r w:rsidRPr="00F507F2">
        <w:rPr>
          <w:rFonts w:ascii="Times New Roman" w:hAnsi="Times New Roman" w:cs="Times New Roman"/>
          <w:sz w:val="20"/>
          <w:szCs w:val="20"/>
        </w:rPr>
        <w:t>1 min. Next, the membranes were exposed on X-ray film for 10 min. The array images were analyzed using a transmission mode scanner and image analysis software.</w:t>
      </w:r>
    </w:p>
    <w:p w14:paraId="3CBE8D49" w14:textId="77777777" w:rsidR="00EF4B12" w:rsidRDefault="00EF4B12" w:rsidP="00F507F2">
      <w:pPr>
        <w:widowControl/>
        <w:tabs>
          <w:tab w:val="left" w:pos="1320"/>
        </w:tabs>
        <w:snapToGrid w:val="0"/>
        <w:spacing w:line="480" w:lineRule="auto"/>
        <w:rPr>
          <w:rFonts w:ascii="Times New Roman" w:hAnsi="Times New Roman" w:cs="Times New Roman"/>
          <w:sz w:val="20"/>
          <w:szCs w:val="20"/>
        </w:rPr>
      </w:pPr>
    </w:p>
    <w:p w14:paraId="5622EF19" w14:textId="4FB996FB" w:rsidR="00287601" w:rsidRPr="003F1CC8" w:rsidRDefault="000C387C" w:rsidP="00F507F2">
      <w:pPr>
        <w:widowControl/>
        <w:tabs>
          <w:tab w:val="left" w:pos="1320"/>
        </w:tabs>
        <w:snapToGrid w:val="0"/>
        <w:spacing w:line="480" w:lineRule="auto"/>
        <w:rPr>
          <w:rFonts w:ascii="Times New Roman" w:hAnsi="Times New Roman" w:cs="Times New Roman"/>
          <w:sz w:val="20"/>
          <w:szCs w:val="20"/>
        </w:rPr>
      </w:pPr>
      <w:r w:rsidRPr="003F1CC8">
        <w:rPr>
          <w:rFonts w:ascii="Times New Roman" w:hAnsi="Times New Roman" w:cs="Times New Roman" w:hint="eastAsia"/>
          <w:b/>
          <w:sz w:val="20"/>
          <w:szCs w:val="20"/>
        </w:rPr>
        <w:t xml:space="preserve">Analysis </w:t>
      </w:r>
      <w:r w:rsidR="00B64694" w:rsidRPr="003F1CC8">
        <w:rPr>
          <w:rFonts w:ascii="Times New Roman" w:hAnsi="Times New Roman" w:cs="Times New Roman" w:hint="eastAsia"/>
          <w:b/>
          <w:sz w:val="20"/>
          <w:szCs w:val="20"/>
        </w:rPr>
        <w:t>of</w:t>
      </w:r>
      <w:r w:rsidR="00B64694" w:rsidRPr="003F1CC8">
        <w:rPr>
          <w:rFonts w:ascii="Times New Roman" w:hAnsi="Times New Roman" w:cs="Times New Roman"/>
          <w:b/>
          <w:sz w:val="20"/>
          <w:szCs w:val="20"/>
        </w:rPr>
        <w:t xml:space="preserve"> </w:t>
      </w:r>
      <w:r w:rsidR="00B64694" w:rsidRPr="003F1CC8">
        <w:rPr>
          <w:rFonts w:ascii="Times New Roman" w:hAnsi="Times New Roman" w:cs="Times New Roman" w:hint="eastAsia"/>
          <w:b/>
          <w:sz w:val="20"/>
          <w:szCs w:val="20"/>
        </w:rPr>
        <w:t>GDSC</w:t>
      </w:r>
      <w:r w:rsidRPr="003F1CC8">
        <w:rPr>
          <w:rFonts w:ascii="Times New Roman" w:hAnsi="Times New Roman" w:cs="Times New Roman"/>
          <w:b/>
          <w:sz w:val="20"/>
          <w:szCs w:val="20"/>
        </w:rPr>
        <w:t xml:space="preserve"> </w:t>
      </w:r>
      <w:r w:rsidR="00705AD7" w:rsidRPr="003F1CC8">
        <w:rPr>
          <w:rFonts w:ascii="Times New Roman" w:hAnsi="Times New Roman" w:cs="Times New Roman"/>
          <w:b/>
          <w:sz w:val="20"/>
          <w:szCs w:val="20"/>
        </w:rPr>
        <w:t xml:space="preserve">drug sensitivity </w:t>
      </w:r>
      <w:r w:rsidR="00B64694" w:rsidRPr="003F1CC8">
        <w:rPr>
          <w:rFonts w:ascii="Times New Roman" w:hAnsi="Times New Roman" w:cs="Times New Roman" w:hint="eastAsia"/>
          <w:b/>
          <w:sz w:val="20"/>
          <w:szCs w:val="20"/>
        </w:rPr>
        <w:t>data</w:t>
      </w:r>
      <w:r w:rsidR="00B64694" w:rsidRPr="003F1CC8">
        <w:rPr>
          <w:rFonts w:ascii="Times New Roman" w:hAnsi="Times New Roman" w:cs="Times New Roman"/>
          <w:b/>
          <w:sz w:val="20"/>
          <w:szCs w:val="20"/>
        </w:rPr>
        <w:t xml:space="preserve"> </w:t>
      </w:r>
      <w:r w:rsidR="00B64694" w:rsidRPr="003F1CC8">
        <w:rPr>
          <w:rFonts w:ascii="Times New Roman" w:hAnsi="Times New Roman" w:cs="Times New Roman" w:hint="eastAsia"/>
          <w:b/>
          <w:sz w:val="20"/>
          <w:szCs w:val="20"/>
        </w:rPr>
        <w:t>in</w:t>
      </w:r>
      <w:r w:rsidR="00B64694" w:rsidRPr="003F1CC8">
        <w:rPr>
          <w:rFonts w:ascii="Times New Roman" w:hAnsi="Times New Roman" w:cs="Times New Roman"/>
          <w:b/>
          <w:sz w:val="20"/>
          <w:szCs w:val="20"/>
        </w:rPr>
        <w:t xml:space="preserve"> pan-cancer and GBM cell lines</w:t>
      </w:r>
      <w:r w:rsidR="00286319" w:rsidRPr="003F1CC8">
        <w:rPr>
          <w:rFonts w:ascii="Times New Roman" w:hAnsi="Times New Roman" w:cs="Times New Roman"/>
          <w:b/>
          <w:sz w:val="20"/>
          <w:szCs w:val="20"/>
        </w:rPr>
        <w:t xml:space="preserve">. </w:t>
      </w:r>
      <w:r w:rsidRPr="003F1CC8">
        <w:rPr>
          <w:rFonts w:ascii="Times New Roman" w:hAnsi="Times New Roman" w:cs="Times New Roman"/>
          <w:sz w:val="20"/>
          <w:szCs w:val="20"/>
        </w:rPr>
        <w:t xml:space="preserve">The Genomics of Drug Sensitivity in Cancer (GDSC) database (www.cancerRxgene.org) is the largest public </w:t>
      </w:r>
      <w:r w:rsidR="00705AD7" w:rsidRPr="003F1CC8">
        <w:rPr>
          <w:rFonts w:ascii="Times New Roman" w:hAnsi="Times New Roman" w:cs="Times New Roman"/>
          <w:sz w:val="20"/>
          <w:szCs w:val="20"/>
        </w:rPr>
        <w:t>database</w:t>
      </w:r>
      <w:r w:rsidRPr="003F1CC8">
        <w:rPr>
          <w:rFonts w:ascii="Times New Roman" w:hAnsi="Times New Roman" w:cs="Times New Roman"/>
          <w:sz w:val="20"/>
          <w:szCs w:val="20"/>
        </w:rPr>
        <w:t xml:space="preserve"> for information on drug sensitivity in cancer cells and mol</w:t>
      </w:r>
      <w:r w:rsidR="00B64694" w:rsidRPr="003F1CC8">
        <w:rPr>
          <w:rFonts w:ascii="Times New Roman" w:hAnsi="Times New Roman" w:cs="Times New Roman"/>
          <w:sz w:val="20"/>
          <w:szCs w:val="20"/>
        </w:rPr>
        <w:t xml:space="preserve">ecular markers of drug response. It contains drug sensitivity from 1000 human cancer cell lines and screened them with more than 100 of compounds. </w:t>
      </w:r>
      <w:r w:rsidR="00286319" w:rsidRPr="003F1CC8">
        <w:rPr>
          <w:rFonts w:ascii="Times New Roman" w:hAnsi="Times New Roman" w:cs="Times New Roman" w:hint="eastAsia"/>
          <w:sz w:val="20"/>
          <w:szCs w:val="20"/>
        </w:rPr>
        <w:t>We</w:t>
      </w:r>
      <w:r w:rsidR="00286319" w:rsidRPr="003F1CC8">
        <w:rPr>
          <w:rFonts w:ascii="Times New Roman" w:hAnsi="Times New Roman" w:cs="Times New Roman"/>
          <w:sz w:val="20"/>
          <w:szCs w:val="20"/>
        </w:rPr>
        <w:t xml:space="preserve"> chose PTEN as a biomarker and analyzed the drug sensitivity data in GDSC2 dataset. The log10 p-values </w:t>
      </w:r>
      <w:r w:rsidR="00286319" w:rsidRPr="003F1CC8">
        <w:rPr>
          <w:rFonts w:ascii="Times New Roman" w:hAnsi="Times New Roman" w:cs="Times New Roman"/>
          <w:i/>
          <w:sz w:val="20"/>
          <w:szCs w:val="20"/>
        </w:rPr>
        <w:t>vs.</w:t>
      </w:r>
      <w:r w:rsidR="00286319" w:rsidRPr="003F1CC8">
        <w:rPr>
          <w:rFonts w:ascii="Times New Roman" w:hAnsi="Times New Roman" w:cs="Times New Roman"/>
          <w:sz w:val="20"/>
          <w:szCs w:val="20"/>
        </w:rPr>
        <w:t xml:space="preserve"> IC50 effect </w:t>
      </w:r>
      <w:r w:rsidR="004C729B" w:rsidRPr="003F1CC8">
        <w:rPr>
          <w:rFonts w:ascii="Times New Roman" w:hAnsi="Times New Roman" w:cs="Times New Roman"/>
          <w:sz w:val="20"/>
          <w:szCs w:val="20"/>
        </w:rPr>
        <w:t>sizes</w:t>
      </w:r>
      <w:r w:rsidR="00286319" w:rsidRPr="003F1CC8">
        <w:rPr>
          <w:rFonts w:ascii="Times New Roman" w:hAnsi="Times New Roman" w:cs="Times New Roman"/>
          <w:sz w:val="20"/>
          <w:szCs w:val="20"/>
        </w:rPr>
        <w:t xml:space="preserve"> </w:t>
      </w:r>
      <w:r w:rsidR="00873A8B" w:rsidRPr="003F1CC8">
        <w:rPr>
          <w:rFonts w:ascii="Times New Roman" w:hAnsi="Times New Roman" w:cs="Times New Roman"/>
          <w:sz w:val="20"/>
          <w:szCs w:val="20"/>
        </w:rPr>
        <w:t>from</w:t>
      </w:r>
      <w:r w:rsidR="003E6DA9" w:rsidRPr="003F1CC8">
        <w:rPr>
          <w:rFonts w:ascii="Times New Roman" w:hAnsi="Times New Roman" w:cs="Times New Roman"/>
          <w:sz w:val="20"/>
          <w:szCs w:val="20"/>
        </w:rPr>
        <w:t xml:space="preserve"> either a collection of pan-cancer </w:t>
      </w:r>
      <w:r w:rsidR="006B2BFD" w:rsidRPr="003F1CC8">
        <w:rPr>
          <w:rFonts w:ascii="Times New Roman" w:hAnsi="Times New Roman" w:cs="Times New Roman"/>
          <w:sz w:val="20"/>
          <w:szCs w:val="20"/>
        </w:rPr>
        <w:t xml:space="preserve">cell lines </w:t>
      </w:r>
      <w:r w:rsidR="003E6DA9" w:rsidRPr="003F1CC8">
        <w:rPr>
          <w:rFonts w:ascii="Times New Roman" w:hAnsi="Times New Roman" w:cs="Times New Roman"/>
          <w:sz w:val="20"/>
          <w:szCs w:val="20"/>
        </w:rPr>
        <w:t>or GBM cell lines were plotted in</w:t>
      </w:r>
      <w:r w:rsidR="00286319" w:rsidRPr="003F1CC8">
        <w:rPr>
          <w:rFonts w:ascii="Times New Roman" w:hAnsi="Times New Roman" w:cs="Times New Roman"/>
          <w:sz w:val="20"/>
          <w:szCs w:val="20"/>
        </w:rPr>
        <w:t xml:space="preserve"> </w:t>
      </w:r>
      <w:r w:rsidR="00286319" w:rsidRPr="003F1CC8">
        <w:rPr>
          <w:rFonts w:ascii="Times New Roman" w:hAnsi="Times New Roman" w:cs="Times New Roman"/>
          <w:sz w:val="20"/>
          <w:szCs w:val="20"/>
        </w:rPr>
        <w:lastRenderedPageBreak/>
        <w:t>volcano plot</w:t>
      </w:r>
      <w:r w:rsidR="003E6DA9" w:rsidRPr="003F1CC8">
        <w:rPr>
          <w:rFonts w:ascii="Times New Roman" w:hAnsi="Times New Roman" w:cs="Times New Roman"/>
          <w:sz w:val="20"/>
          <w:szCs w:val="20"/>
        </w:rPr>
        <w:t>s</w:t>
      </w:r>
      <w:r w:rsidR="00873A8B" w:rsidRPr="003F1CC8">
        <w:rPr>
          <w:rFonts w:ascii="Times New Roman" w:hAnsi="Times New Roman" w:cs="Times New Roman"/>
          <w:sz w:val="20"/>
          <w:szCs w:val="20"/>
        </w:rPr>
        <w:t>.</w:t>
      </w:r>
      <w:r w:rsidR="00873A8B" w:rsidRPr="003F1CC8">
        <w:t xml:space="preserve"> </w:t>
      </w:r>
      <w:r w:rsidR="00873A8B" w:rsidRPr="003F1CC8">
        <w:rPr>
          <w:rFonts w:ascii="Times New Roman" w:hAnsi="Times New Roman" w:cs="Times New Roman"/>
          <w:sz w:val="20"/>
          <w:szCs w:val="20"/>
        </w:rPr>
        <w:t xml:space="preserve">The p-value was calculated from the ANOVA of a drug-gene interaction on an inverted log10 scale. The effect size is proportional to the difference in mean IC50 between wild-type and mutant cell lines. Numbers less than 0 indicate drug sensitivity, numbers greater than 0 indicate drug resistance. </w:t>
      </w:r>
      <w:r w:rsidR="004C729B" w:rsidRPr="003F1CC8">
        <w:rPr>
          <w:rFonts w:ascii="Times New Roman" w:hAnsi="Times New Roman" w:cs="Times New Roman"/>
          <w:sz w:val="20"/>
          <w:szCs w:val="20"/>
        </w:rPr>
        <w:t>FDR&lt;20% were regarded as statistically significant sensitizing or resistance effects for PTEN.</w:t>
      </w:r>
    </w:p>
    <w:p w14:paraId="1210BB20" w14:textId="381EBEBD" w:rsidR="00332B86" w:rsidRDefault="00EF4B12" w:rsidP="00601791">
      <w:pPr>
        <w:widowControl/>
        <w:spacing w:line="360" w:lineRule="auto"/>
        <w:rPr>
          <w:rFonts w:ascii="Times New Roman" w:hAnsi="Times New Roman" w:cs="Times New Roman"/>
          <w:sz w:val="20"/>
          <w:szCs w:val="20"/>
        </w:rPr>
      </w:pPr>
      <w:r w:rsidRPr="003F1CC8">
        <w:rPr>
          <w:rFonts w:ascii="Times New Roman" w:hAnsi="Times New Roman" w:cs="Times New Roman"/>
          <w:b/>
          <w:sz w:val="20"/>
          <w:szCs w:val="20"/>
        </w:rPr>
        <w:t xml:space="preserve">Analysis of combination interactions between UMI77 and temozolomide. </w:t>
      </w:r>
      <w:r w:rsidRPr="003F1CC8">
        <w:rPr>
          <w:rFonts w:ascii="Times New Roman" w:hAnsi="Times New Roman" w:cs="Times New Roman"/>
          <w:sz w:val="20"/>
          <w:szCs w:val="20"/>
        </w:rPr>
        <w:t xml:space="preserve">To analyze the combination effect of UMI77 and temozolomide, we used an online </w:t>
      </w:r>
      <w:r w:rsidR="00847EF8" w:rsidRPr="003F1CC8">
        <w:rPr>
          <w:rFonts w:ascii="Times New Roman" w:hAnsi="Times New Roman" w:cs="Times New Roman"/>
          <w:sz w:val="20"/>
          <w:szCs w:val="20"/>
        </w:rPr>
        <w:t>tool</w:t>
      </w:r>
      <w:r w:rsidRPr="003F1CC8">
        <w:rPr>
          <w:rFonts w:ascii="Times New Roman" w:hAnsi="Times New Roman" w:cs="Times New Roman"/>
          <w:sz w:val="20"/>
          <w:szCs w:val="20"/>
        </w:rPr>
        <w:t xml:space="preserve"> Horizon’s proprietary </w:t>
      </w:r>
      <w:proofErr w:type="spellStart"/>
      <w:r w:rsidRPr="003F1CC8">
        <w:rPr>
          <w:rFonts w:ascii="Times New Roman" w:hAnsi="Times New Roman" w:cs="Times New Roman"/>
          <w:sz w:val="20"/>
          <w:szCs w:val="20"/>
        </w:rPr>
        <w:t>Chalice</w:t>
      </w:r>
      <w:r w:rsidRPr="003F1CC8">
        <w:rPr>
          <w:rFonts w:ascii="Times New Roman" w:hAnsi="Times New Roman" w:cs="Times New Roman"/>
          <w:sz w:val="20"/>
          <w:szCs w:val="20"/>
          <w:vertAlign w:val="superscript"/>
        </w:rPr>
        <w:t>TM</w:t>
      </w:r>
      <w:proofErr w:type="spellEnd"/>
      <w:r w:rsidRPr="003F1CC8">
        <w:rPr>
          <w:rFonts w:ascii="Times New Roman" w:hAnsi="Times New Roman" w:cs="Times New Roman"/>
          <w:sz w:val="20"/>
          <w:szCs w:val="20"/>
        </w:rPr>
        <w:t xml:space="preserve"> software</w:t>
      </w:r>
      <w:r w:rsidR="00057020" w:rsidRPr="003F1CC8">
        <w:rPr>
          <w:rFonts w:ascii="Times New Roman" w:hAnsi="Times New Roman" w:cs="Times New Roman"/>
          <w:sz w:val="20"/>
          <w:szCs w:val="20"/>
        </w:rPr>
        <w:t xml:space="preserve"> (Currently it is a comme</w:t>
      </w:r>
      <w:r w:rsidR="00057020" w:rsidRPr="003F1CC8">
        <w:rPr>
          <w:rFonts w:ascii="Times New Roman" w:hAnsi="Times New Roman" w:cs="Times New Roman" w:hint="eastAsia"/>
          <w:sz w:val="20"/>
          <w:szCs w:val="20"/>
        </w:rPr>
        <w:t>rci</w:t>
      </w:r>
      <w:r w:rsidR="00057020" w:rsidRPr="003F1CC8">
        <w:rPr>
          <w:rFonts w:ascii="Times New Roman" w:hAnsi="Times New Roman" w:cs="Times New Roman"/>
          <w:sz w:val="20"/>
          <w:szCs w:val="20"/>
        </w:rPr>
        <w:t>alized software of Horizon</w:t>
      </w:r>
      <w:r w:rsidR="00363799" w:rsidRPr="003F1CC8">
        <w:rPr>
          <w:rFonts w:ascii="Times New Roman" w:hAnsi="Times New Roman" w:cs="Times New Roman"/>
          <w:sz w:val="20"/>
          <w:szCs w:val="20"/>
        </w:rPr>
        <w:t>) which</w:t>
      </w:r>
      <w:r w:rsidRPr="003F1CC8">
        <w:rPr>
          <w:rFonts w:ascii="Times New Roman" w:hAnsi="Times New Roman" w:cs="Times New Roman"/>
          <w:sz w:val="20"/>
          <w:szCs w:val="20"/>
        </w:rPr>
        <w:t xml:space="preserve"> allows researchers to quantitatively assess the strength of combination interactions and to extract </w:t>
      </w:r>
      <w:r w:rsidR="00153434" w:rsidRPr="003F1CC8">
        <w:rPr>
          <w:rFonts w:ascii="Times New Roman" w:hAnsi="Times New Roman" w:cs="Times New Roman"/>
          <w:sz w:val="20"/>
          <w:szCs w:val="20"/>
        </w:rPr>
        <w:t>potential</w:t>
      </w:r>
      <w:r w:rsidRPr="003F1CC8">
        <w:rPr>
          <w:rFonts w:ascii="Times New Roman" w:hAnsi="Times New Roman" w:cs="Times New Roman"/>
          <w:sz w:val="20"/>
          <w:szCs w:val="20"/>
        </w:rPr>
        <w:t xml:space="preserve"> data trends</w:t>
      </w:r>
      <w:r w:rsidR="00153434" w:rsidRPr="003F1CC8">
        <w:rPr>
          <w:rFonts w:ascii="Times New Roman" w:hAnsi="Times New Roman" w:cs="Times New Roman"/>
          <w:sz w:val="20"/>
          <w:szCs w:val="20"/>
        </w:rPr>
        <w:t xml:space="preserve"> and insights</w:t>
      </w:r>
      <w:r w:rsidRPr="003F1CC8">
        <w:rPr>
          <w:rFonts w:ascii="Times New Roman" w:hAnsi="Times New Roman" w:cs="Times New Roman"/>
          <w:sz w:val="20"/>
          <w:szCs w:val="20"/>
        </w:rPr>
        <w:t xml:space="preserve"> from high-throughput combination activity profiling experiments.</w:t>
      </w:r>
      <w:r w:rsidR="00363799" w:rsidRPr="003F1CC8">
        <w:rPr>
          <w:rFonts w:ascii="Times New Roman" w:hAnsi="Times New Roman" w:cs="Times New Roman"/>
          <w:sz w:val="20"/>
          <w:szCs w:val="20"/>
        </w:rPr>
        <w:t xml:space="preserve"> </w:t>
      </w:r>
      <w:r w:rsidR="00DB4AC1" w:rsidRPr="003F1CC8">
        <w:rPr>
          <w:rFonts w:ascii="Times New Roman" w:hAnsi="Times New Roman" w:cs="Times New Roman"/>
          <w:sz w:val="20"/>
          <w:szCs w:val="20"/>
        </w:rPr>
        <w:t>To accomplish the</w:t>
      </w:r>
      <w:r w:rsidR="00D86515" w:rsidRPr="003F1CC8">
        <w:rPr>
          <w:rFonts w:ascii="Times New Roman" w:hAnsi="Times New Roman" w:cs="Times New Roman"/>
          <w:sz w:val="20"/>
          <w:szCs w:val="20"/>
        </w:rPr>
        <w:t xml:space="preserve"> analysis of </w:t>
      </w:r>
      <w:r w:rsidR="00E218EA" w:rsidRPr="003F1CC8">
        <w:rPr>
          <w:rFonts w:ascii="Times New Roman" w:hAnsi="Times New Roman" w:cs="Times New Roman"/>
          <w:sz w:val="20"/>
          <w:szCs w:val="20"/>
        </w:rPr>
        <w:t xml:space="preserve">UMI-77-temozolomide combination treatment </w:t>
      </w:r>
      <w:r w:rsidR="00D86515" w:rsidRPr="003F1CC8">
        <w:rPr>
          <w:rFonts w:ascii="Times New Roman" w:hAnsi="Times New Roman" w:cs="Times New Roman"/>
          <w:sz w:val="20"/>
          <w:szCs w:val="20"/>
        </w:rPr>
        <w:t>data, the following four steps were performed: s</w:t>
      </w:r>
      <w:r w:rsidR="00E218EA" w:rsidRPr="003F1CC8">
        <w:rPr>
          <w:rFonts w:ascii="Times New Roman" w:hAnsi="Times New Roman" w:cs="Times New Roman"/>
          <w:sz w:val="20"/>
          <w:szCs w:val="20"/>
        </w:rPr>
        <w:t>elect the</w:t>
      </w:r>
      <w:r w:rsidR="00D86515" w:rsidRPr="003F1CC8">
        <w:rPr>
          <w:rFonts w:ascii="Times New Roman" w:hAnsi="Times New Roman" w:cs="Times New Roman"/>
          <w:sz w:val="20"/>
          <w:szCs w:val="20"/>
        </w:rPr>
        <w:t xml:space="preserve"> data source</w:t>
      </w:r>
      <w:r w:rsidR="00E218EA" w:rsidRPr="003F1CC8">
        <w:rPr>
          <w:rFonts w:ascii="Times New Roman" w:hAnsi="Times New Roman" w:cs="Times New Roman"/>
          <w:sz w:val="20"/>
          <w:szCs w:val="20"/>
        </w:rPr>
        <w:t xml:space="preserve"> and </w:t>
      </w:r>
      <w:r w:rsidR="00D86515" w:rsidRPr="003F1CC8">
        <w:rPr>
          <w:rFonts w:ascii="Times New Roman" w:hAnsi="Times New Roman" w:cs="Times New Roman"/>
          <w:sz w:val="20"/>
          <w:szCs w:val="20"/>
        </w:rPr>
        <w:t>analytical options, specify data characteristics and execute the query.</w:t>
      </w:r>
      <w:r w:rsidR="00153434" w:rsidRPr="003F1CC8">
        <w:rPr>
          <w:rFonts w:ascii="Times New Roman" w:hAnsi="Times New Roman" w:cs="Times New Roman"/>
          <w:sz w:val="20"/>
          <w:szCs w:val="20"/>
        </w:rPr>
        <w:t xml:space="preserve"> </w:t>
      </w:r>
      <w:r w:rsidR="00DB4AC1" w:rsidRPr="003F1CC8">
        <w:rPr>
          <w:rFonts w:ascii="Times New Roman" w:hAnsi="Times New Roman" w:cs="Times New Roman"/>
          <w:sz w:val="20"/>
          <w:szCs w:val="20"/>
        </w:rPr>
        <w:t>M</w:t>
      </w:r>
      <w:r w:rsidR="00D86515" w:rsidRPr="003F1CC8">
        <w:rPr>
          <w:rFonts w:ascii="Times New Roman" w:hAnsi="Times New Roman" w:cs="Times New Roman"/>
          <w:sz w:val="20"/>
          <w:szCs w:val="20"/>
        </w:rPr>
        <w:t>ore details</w:t>
      </w:r>
      <w:r w:rsidR="00DB4AC1" w:rsidRPr="003F1CC8">
        <w:rPr>
          <w:rFonts w:ascii="Times New Roman" w:hAnsi="Times New Roman" w:cs="Times New Roman"/>
          <w:sz w:val="20"/>
          <w:szCs w:val="20"/>
        </w:rPr>
        <w:t xml:space="preserve"> about using the software</w:t>
      </w:r>
      <w:r w:rsidR="00D86515" w:rsidRPr="003F1CC8">
        <w:rPr>
          <w:rFonts w:ascii="Times New Roman" w:hAnsi="Times New Roman" w:cs="Times New Roman"/>
          <w:sz w:val="20"/>
          <w:szCs w:val="20"/>
        </w:rPr>
        <w:t xml:space="preserve"> refer to </w:t>
      </w:r>
      <w:r w:rsidR="00DB4AC1" w:rsidRPr="003F1CC8">
        <w:rPr>
          <w:rFonts w:ascii="Times New Roman" w:hAnsi="Times New Roman" w:cs="Times New Roman"/>
          <w:sz w:val="20"/>
          <w:szCs w:val="20"/>
        </w:rPr>
        <w:t>its online</w:t>
      </w:r>
      <w:r w:rsidR="00D86515" w:rsidRPr="003F1CC8">
        <w:rPr>
          <w:rFonts w:ascii="Times New Roman" w:hAnsi="Times New Roman" w:cs="Times New Roman"/>
          <w:sz w:val="20"/>
          <w:szCs w:val="20"/>
        </w:rPr>
        <w:t xml:space="preserve"> manual (</w:t>
      </w:r>
      <w:proofErr w:type="gramStart"/>
      <w:r w:rsidR="00D86515" w:rsidRPr="003F1CC8">
        <w:rPr>
          <w:rFonts w:ascii="Times New Roman" w:hAnsi="Times New Roman" w:cs="Times New Roman"/>
          <w:sz w:val="20"/>
          <w:szCs w:val="20"/>
        </w:rPr>
        <w:t>https://horizondiscovery.com/-/media/Files/Horizon/resources/Technical-manuals/hd-technical-manual-chalice-analyzer-viewer.pdf )</w:t>
      </w:r>
      <w:proofErr w:type="gramEnd"/>
      <w:r w:rsidR="00D86515" w:rsidRPr="003F1CC8">
        <w:rPr>
          <w:rFonts w:ascii="Times New Roman" w:hAnsi="Times New Roman" w:cs="Times New Roman"/>
          <w:sz w:val="20"/>
          <w:szCs w:val="20"/>
        </w:rPr>
        <w:t>.</w:t>
      </w:r>
      <w:r w:rsidR="00601791" w:rsidRPr="003F1CC8">
        <w:rPr>
          <w:rFonts w:ascii="Times New Roman" w:hAnsi="Times New Roman" w:cs="Times New Roman"/>
          <w:sz w:val="20"/>
          <w:szCs w:val="20"/>
        </w:rPr>
        <w:t xml:space="preserve"> </w:t>
      </w:r>
      <w:r w:rsidR="00223A0A" w:rsidRPr="003F1CC8">
        <w:rPr>
          <w:rFonts w:ascii="Times New Roman" w:hAnsi="Times New Roman" w:cs="Times New Roman"/>
          <w:sz w:val="20"/>
          <w:szCs w:val="20"/>
        </w:rPr>
        <w:t xml:space="preserve">Dose matrices is the phenotypic measurements for single agents or fixed ratio combinations as a series of concentrations (doses) or for pairwise combinations. After execute the query the growth inhibition and Loewe excess dose matrices for the </w:t>
      </w:r>
      <w:r w:rsidR="00223A0A" w:rsidRPr="003F1CC8">
        <w:rPr>
          <w:rFonts w:ascii="Times New Roman" w:hAnsi="Times New Roman" w:cs="Times New Roman" w:hint="eastAsia"/>
          <w:sz w:val="20"/>
          <w:szCs w:val="20"/>
        </w:rPr>
        <w:t>co</w:t>
      </w:r>
      <w:r w:rsidR="00223A0A" w:rsidRPr="003F1CC8">
        <w:rPr>
          <w:rFonts w:ascii="Times New Roman" w:hAnsi="Times New Roman" w:cs="Times New Roman"/>
          <w:sz w:val="20"/>
          <w:szCs w:val="20"/>
        </w:rPr>
        <w:t xml:space="preserve">mbined effect of UMI-77 and temozolomide were generated. </w:t>
      </w:r>
      <w:r w:rsidR="00601791" w:rsidRPr="003F1CC8">
        <w:rPr>
          <w:rFonts w:ascii="Times New Roman" w:hAnsi="Times New Roman" w:cs="Times New Roman"/>
          <w:sz w:val="20"/>
          <w:szCs w:val="20"/>
        </w:rPr>
        <w:t xml:space="preserve">Horizon </w:t>
      </w:r>
      <w:r w:rsidR="00223A0A" w:rsidRPr="003F1CC8">
        <w:rPr>
          <w:rFonts w:ascii="Times New Roman" w:hAnsi="Times New Roman" w:cs="Times New Roman"/>
          <w:sz w:val="20"/>
          <w:szCs w:val="20"/>
        </w:rPr>
        <w:t>also provides</w:t>
      </w:r>
      <w:r w:rsidR="00601791" w:rsidRPr="003F1CC8">
        <w:rPr>
          <w:rFonts w:ascii="Times New Roman" w:hAnsi="Times New Roman" w:cs="Times New Roman"/>
          <w:sz w:val="20"/>
          <w:szCs w:val="20"/>
        </w:rPr>
        <w:t xml:space="preserve"> a scalar measure to quantify the synergistic interaction of </w:t>
      </w:r>
      <w:r w:rsidR="00E218EA" w:rsidRPr="003F1CC8">
        <w:rPr>
          <w:rFonts w:ascii="Times New Roman" w:hAnsi="Times New Roman" w:cs="Times New Roman"/>
          <w:sz w:val="20"/>
          <w:szCs w:val="20"/>
        </w:rPr>
        <w:t>UMI-77 and temozolomide</w:t>
      </w:r>
      <w:r w:rsidR="00601791" w:rsidRPr="003F1CC8">
        <w:rPr>
          <w:rFonts w:ascii="Times New Roman" w:hAnsi="Times New Roman" w:cs="Times New Roman"/>
          <w:sz w:val="20"/>
          <w:szCs w:val="20"/>
        </w:rPr>
        <w:t xml:space="preserve"> in a combination termed the Synergy Score. It</w:t>
      </w:r>
      <w:r w:rsidR="00B52314" w:rsidRPr="003F1CC8">
        <w:rPr>
          <w:rFonts w:ascii="Times New Roman" w:hAnsi="Times New Roman" w:cs="Times New Roman"/>
          <w:sz w:val="20"/>
          <w:szCs w:val="20"/>
        </w:rPr>
        <w:t xml:space="preserve"> was calculated from an equation derived from Loewe model for additivity by which the experimentally-observed activity volume at each point in the matrix in excess of a model surface numerically derived fr</w:t>
      </w:r>
      <w:r w:rsidR="003B797C" w:rsidRPr="003F1CC8">
        <w:rPr>
          <w:rFonts w:ascii="Times New Roman" w:hAnsi="Times New Roman" w:cs="Times New Roman"/>
          <w:sz w:val="20"/>
          <w:szCs w:val="20"/>
        </w:rPr>
        <w:t xml:space="preserve">om the activity of </w:t>
      </w:r>
      <w:r w:rsidR="00E218EA" w:rsidRPr="003F1CC8">
        <w:rPr>
          <w:rFonts w:ascii="Times New Roman" w:hAnsi="Times New Roman" w:cs="Times New Roman"/>
          <w:sz w:val="20"/>
          <w:szCs w:val="20"/>
        </w:rPr>
        <w:t>each</w:t>
      </w:r>
      <w:r w:rsidR="00B52314" w:rsidRPr="003F1CC8">
        <w:rPr>
          <w:rFonts w:ascii="Times New Roman" w:hAnsi="Times New Roman" w:cs="Times New Roman"/>
          <w:sz w:val="20"/>
          <w:szCs w:val="20"/>
        </w:rPr>
        <w:t xml:space="preserve"> agents</w:t>
      </w:r>
      <w:r w:rsidR="00601791" w:rsidRPr="003F1CC8">
        <w:rPr>
          <w:rFonts w:ascii="Times New Roman" w:hAnsi="Times New Roman" w:cs="Times New Roman"/>
          <w:sz w:val="20"/>
          <w:szCs w:val="20"/>
        </w:rPr>
        <w:t xml:space="preserve"> were </w:t>
      </w:r>
      <w:r w:rsidR="00E218EA" w:rsidRPr="003F1CC8">
        <w:rPr>
          <w:rFonts w:ascii="Times New Roman" w:hAnsi="Times New Roman" w:cs="Times New Roman"/>
          <w:sz w:val="20"/>
          <w:szCs w:val="20"/>
        </w:rPr>
        <w:t>integrated</w:t>
      </w:r>
      <w:r w:rsidR="00601791" w:rsidRPr="003F1CC8">
        <w:rPr>
          <w:rFonts w:ascii="Times New Roman" w:hAnsi="Times New Roman" w:cs="Times New Roman"/>
          <w:sz w:val="20"/>
          <w:szCs w:val="20"/>
        </w:rPr>
        <w:t>.</w:t>
      </w:r>
      <w:r w:rsidR="003B797C">
        <w:rPr>
          <w:rFonts w:ascii="Times New Roman" w:hAnsi="Times New Roman" w:cs="Times New Roman"/>
          <w:sz w:val="20"/>
          <w:szCs w:val="20"/>
        </w:rPr>
        <w:t xml:space="preserve"> </w:t>
      </w:r>
    </w:p>
    <w:p w14:paraId="695F32CE" w14:textId="77777777" w:rsidR="00D86515" w:rsidRDefault="00D86515" w:rsidP="00EF4B12">
      <w:pPr>
        <w:widowControl/>
        <w:spacing w:line="360" w:lineRule="auto"/>
        <w:rPr>
          <w:rFonts w:ascii="Times New Roman" w:hAnsi="Times New Roman" w:cs="Times New Roman"/>
          <w:sz w:val="20"/>
          <w:szCs w:val="20"/>
        </w:rPr>
      </w:pPr>
    </w:p>
    <w:p w14:paraId="753F09F3" w14:textId="0E6DA6B7" w:rsidR="00EF4B12" w:rsidRPr="00363799" w:rsidRDefault="00EF4B12" w:rsidP="00F507F2">
      <w:pPr>
        <w:widowControl/>
        <w:tabs>
          <w:tab w:val="left" w:pos="1320"/>
        </w:tabs>
        <w:snapToGrid w:val="0"/>
        <w:spacing w:line="480" w:lineRule="auto"/>
        <w:rPr>
          <w:rFonts w:ascii="Times New Roman" w:hAnsi="Times New Roman" w:cs="Times New Roman"/>
          <w:b/>
          <w:sz w:val="20"/>
          <w:szCs w:val="20"/>
        </w:rPr>
      </w:pPr>
    </w:p>
    <w:p w14:paraId="1F843FE2" w14:textId="2DF50C53" w:rsidR="006C46FF" w:rsidRPr="00C41BE2" w:rsidRDefault="006C46FF" w:rsidP="00F507F2">
      <w:pPr>
        <w:widowControl/>
        <w:snapToGrid w:val="0"/>
        <w:spacing w:line="480" w:lineRule="auto"/>
        <w:jc w:val="left"/>
        <w:rPr>
          <w:rFonts w:ascii="Times New Roman" w:hAnsi="Times New Roman" w:cs="Times New Roman"/>
          <w:b/>
          <w:noProof/>
          <w:sz w:val="20"/>
          <w:szCs w:val="20"/>
        </w:rPr>
      </w:pPr>
    </w:p>
    <w:sectPr w:rsidR="006C46FF" w:rsidRPr="00C41BE2" w:rsidSect="007848E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F6650" w14:textId="77777777" w:rsidR="004D3609" w:rsidRDefault="004D3609" w:rsidP="00067669">
      <w:r>
        <w:separator/>
      </w:r>
    </w:p>
  </w:endnote>
  <w:endnote w:type="continuationSeparator" w:id="0">
    <w:p w14:paraId="2E74D095" w14:textId="77777777" w:rsidR="004D3609" w:rsidRDefault="004D3609" w:rsidP="0006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758B3" w14:textId="77777777" w:rsidR="004D3609" w:rsidRDefault="004D3609" w:rsidP="00067669">
      <w:r>
        <w:separator/>
      </w:r>
    </w:p>
  </w:footnote>
  <w:footnote w:type="continuationSeparator" w:id="0">
    <w:p w14:paraId="1B84E76C" w14:textId="77777777" w:rsidR="004D3609" w:rsidRDefault="004D3609" w:rsidP="00067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E79"/>
    <w:rsid w:val="0000143F"/>
    <w:rsid w:val="00012349"/>
    <w:rsid w:val="0001634E"/>
    <w:rsid w:val="00057020"/>
    <w:rsid w:val="00067669"/>
    <w:rsid w:val="000751D2"/>
    <w:rsid w:val="000C387C"/>
    <w:rsid w:val="000E5C7E"/>
    <w:rsid w:val="00153434"/>
    <w:rsid w:val="00174F54"/>
    <w:rsid w:val="001E3E79"/>
    <w:rsid w:val="00223A0A"/>
    <w:rsid w:val="00264B0F"/>
    <w:rsid w:val="00286319"/>
    <w:rsid w:val="00287601"/>
    <w:rsid w:val="002A7A07"/>
    <w:rsid w:val="002F054B"/>
    <w:rsid w:val="00321C06"/>
    <w:rsid w:val="00332B86"/>
    <w:rsid w:val="00362E33"/>
    <w:rsid w:val="00363799"/>
    <w:rsid w:val="003A35C4"/>
    <w:rsid w:val="003B797C"/>
    <w:rsid w:val="003E6DA9"/>
    <w:rsid w:val="003F1CC8"/>
    <w:rsid w:val="004C729B"/>
    <w:rsid w:val="004D3609"/>
    <w:rsid w:val="00525202"/>
    <w:rsid w:val="005534B2"/>
    <w:rsid w:val="00562887"/>
    <w:rsid w:val="005D3F3C"/>
    <w:rsid w:val="00601791"/>
    <w:rsid w:val="006A7495"/>
    <w:rsid w:val="006B2BFD"/>
    <w:rsid w:val="006C46FF"/>
    <w:rsid w:val="00705AD7"/>
    <w:rsid w:val="00736AB2"/>
    <w:rsid w:val="007447D4"/>
    <w:rsid w:val="00752CA1"/>
    <w:rsid w:val="007848E8"/>
    <w:rsid w:val="007869FA"/>
    <w:rsid w:val="00795B82"/>
    <w:rsid w:val="007B3686"/>
    <w:rsid w:val="007C24B2"/>
    <w:rsid w:val="00847EF8"/>
    <w:rsid w:val="008500EA"/>
    <w:rsid w:val="00873A8B"/>
    <w:rsid w:val="008B54DE"/>
    <w:rsid w:val="00931735"/>
    <w:rsid w:val="009A4C11"/>
    <w:rsid w:val="009C527D"/>
    <w:rsid w:val="009D236F"/>
    <w:rsid w:val="009D43C7"/>
    <w:rsid w:val="00A0764F"/>
    <w:rsid w:val="00AF6F6A"/>
    <w:rsid w:val="00B3365D"/>
    <w:rsid w:val="00B52314"/>
    <w:rsid w:val="00B54512"/>
    <w:rsid w:val="00B64694"/>
    <w:rsid w:val="00B66FA1"/>
    <w:rsid w:val="00B86B6A"/>
    <w:rsid w:val="00C164F3"/>
    <w:rsid w:val="00C41BE2"/>
    <w:rsid w:val="00C60991"/>
    <w:rsid w:val="00D300F4"/>
    <w:rsid w:val="00D44025"/>
    <w:rsid w:val="00D86515"/>
    <w:rsid w:val="00DB4AC1"/>
    <w:rsid w:val="00E218EA"/>
    <w:rsid w:val="00EA5E4F"/>
    <w:rsid w:val="00EE1F7E"/>
    <w:rsid w:val="00EF4B12"/>
    <w:rsid w:val="00F507F2"/>
    <w:rsid w:val="00F54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D5548"/>
  <w15:chartTrackingRefBased/>
  <w15:docId w15:val="{C77B69B3-036A-AC4E-B89B-AADA8AE0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E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3E79"/>
    <w:rPr>
      <w:b/>
      <w:bCs/>
    </w:rPr>
  </w:style>
  <w:style w:type="table" w:styleId="a4">
    <w:name w:val="Table Grid"/>
    <w:basedOn w:val="a1"/>
    <w:rsid w:val="001E3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7669"/>
    <w:pPr>
      <w:tabs>
        <w:tab w:val="center" w:pos="4320"/>
        <w:tab w:val="right" w:pos="8640"/>
      </w:tabs>
    </w:pPr>
  </w:style>
  <w:style w:type="character" w:customStyle="1" w:styleId="a6">
    <w:name w:val="页眉 字符"/>
    <w:basedOn w:val="a0"/>
    <w:link w:val="a5"/>
    <w:uiPriority w:val="99"/>
    <w:rsid w:val="00067669"/>
  </w:style>
  <w:style w:type="paragraph" w:styleId="a7">
    <w:name w:val="footer"/>
    <w:basedOn w:val="a"/>
    <w:link w:val="a8"/>
    <w:uiPriority w:val="99"/>
    <w:unhideWhenUsed/>
    <w:rsid w:val="00067669"/>
    <w:pPr>
      <w:tabs>
        <w:tab w:val="center" w:pos="4320"/>
        <w:tab w:val="right" w:pos="8640"/>
      </w:tabs>
    </w:pPr>
  </w:style>
  <w:style w:type="character" w:customStyle="1" w:styleId="a8">
    <w:name w:val="页脚 字符"/>
    <w:basedOn w:val="a0"/>
    <w:link w:val="a7"/>
    <w:uiPriority w:val="99"/>
    <w:rsid w:val="00067669"/>
  </w:style>
  <w:style w:type="character" w:styleId="a9">
    <w:name w:val="Hyperlink"/>
    <w:basedOn w:val="a0"/>
    <w:uiPriority w:val="99"/>
    <w:unhideWhenUsed/>
    <w:rsid w:val="00D86515"/>
    <w:rPr>
      <w:color w:val="0563C1" w:themeColor="hyperlink"/>
      <w:u w:val="single"/>
    </w:rPr>
  </w:style>
  <w:style w:type="character" w:styleId="aa">
    <w:name w:val="Unresolved Mention"/>
    <w:basedOn w:val="a0"/>
    <w:uiPriority w:val="99"/>
    <w:semiHidden/>
    <w:unhideWhenUsed/>
    <w:rsid w:val="00D86515"/>
    <w:rPr>
      <w:color w:val="605E5C"/>
      <w:shd w:val="clear" w:color="auto" w:fill="E1DFDD"/>
    </w:rPr>
  </w:style>
  <w:style w:type="character" w:styleId="ab">
    <w:name w:val="FollowedHyperlink"/>
    <w:basedOn w:val="a0"/>
    <w:uiPriority w:val="99"/>
    <w:semiHidden/>
    <w:unhideWhenUsed/>
    <w:rsid w:val="00D865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 Fan</cp:lastModifiedBy>
  <cp:revision>13</cp:revision>
  <dcterms:created xsi:type="dcterms:W3CDTF">2020-02-02T05:09:00Z</dcterms:created>
  <dcterms:modified xsi:type="dcterms:W3CDTF">2020-04-25T15:26:00Z</dcterms:modified>
</cp:coreProperties>
</file>