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3429B" w14:textId="77777777" w:rsidR="008C0F12" w:rsidRPr="00B31EE2" w:rsidRDefault="008C0F12" w:rsidP="00100165">
      <w:pPr>
        <w:spacing w:line="480" w:lineRule="auto"/>
        <w:jc w:val="center"/>
        <w:outlineLvl w:val="0"/>
        <w:rPr>
          <w:b/>
          <w:bCs/>
          <w:sz w:val="28"/>
          <w:szCs w:val="28"/>
        </w:rPr>
      </w:pPr>
      <w:r w:rsidRPr="00B31EE2">
        <w:rPr>
          <w:b/>
          <w:bCs/>
          <w:sz w:val="28"/>
          <w:szCs w:val="28"/>
        </w:rPr>
        <w:t>SUPPLEMENTARY MATERIAL</w:t>
      </w:r>
    </w:p>
    <w:p w14:paraId="5D6F2E71" w14:textId="77777777" w:rsidR="008C0F12" w:rsidRPr="00B31EE2" w:rsidRDefault="008C0F12" w:rsidP="008C0F12">
      <w:pPr>
        <w:spacing w:line="480" w:lineRule="auto"/>
      </w:pPr>
    </w:p>
    <w:p w14:paraId="0D5581BE" w14:textId="77777777" w:rsidR="008C0F12" w:rsidRPr="00B31EE2" w:rsidRDefault="008C0F12" w:rsidP="008C0F12">
      <w:pPr>
        <w:spacing w:line="480" w:lineRule="auto"/>
        <w:contextualSpacing/>
        <w:outlineLvl w:val="0"/>
        <w:rPr>
          <w:b/>
        </w:rPr>
      </w:pPr>
      <w:r w:rsidRPr="00B31EE2">
        <w:rPr>
          <w:b/>
        </w:rPr>
        <w:t>MATERIALS AND METHODS</w:t>
      </w:r>
    </w:p>
    <w:p w14:paraId="245EFD96" w14:textId="77777777" w:rsidR="008C0F12" w:rsidRPr="00B31EE2" w:rsidRDefault="008C0F12" w:rsidP="00520155">
      <w:pPr>
        <w:spacing w:line="480" w:lineRule="auto"/>
        <w:contextualSpacing/>
        <w:outlineLvl w:val="1"/>
        <w:rPr>
          <w:b/>
        </w:rPr>
      </w:pPr>
      <w:r w:rsidRPr="00B31EE2">
        <w:rPr>
          <w:b/>
        </w:rPr>
        <w:t xml:space="preserve">Tumor Cell Lines and PBMCs </w:t>
      </w:r>
    </w:p>
    <w:p w14:paraId="6B3339BB" w14:textId="4C6186F1" w:rsidR="008C0F12" w:rsidRPr="00B31EE2" w:rsidRDefault="008C0F12" w:rsidP="00C16037">
      <w:pPr>
        <w:spacing w:line="480" w:lineRule="auto"/>
      </w:pPr>
      <w:r w:rsidRPr="00B31EE2">
        <w:t xml:space="preserve">NCI-H1975 (H1975) cells </w:t>
      </w:r>
      <w:r w:rsidR="00520155" w:rsidRPr="00B31EE2">
        <w:t xml:space="preserve">and SNU5 cells </w:t>
      </w:r>
      <w:r w:rsidRPr="00B31EE2">
        <w:t xml:space="preserve">were obtained from </w:t>
      </w:r>
      <w:r w:rsidR="00520155" w:rsidRPr="00B31EE2">
        <w:t xml:space="preserve">the American Type Culture Collection (ATCC) </w:t>
      </w:r>
      <w:r w:rsidRPr="00B31EE2">
        <w:t>and cultured in RPMI (Invitrogen, Cat#72400-047) supplemented with 10% Hi FBS, 1X NEAA, 1X Sodium Pyruvate</w:t>
      </w:r>
      <w:r w:rsidR="00520155" w:rsidRPr="00B31EE2">
        <w:t xml:space="preserve"> or</w:t>
      </w:r>
      <w:r w:rsidRPr="00B31EE2">
        <w:t xml:space="preserve"> in IMDM (Invitrogen, Cat#12440-061) supplemented with 20% Hi FBS, 1X NEAA, 1X Sodium Pyruvate</w:t>
      </w:r>
      <w:r w:rsidR="00520155" w:rsidRPr="00B31EE2">
        <w:t xml:space="preserve">, respectively. </w:t>
      </w:r>
      <w:r w:rsidR="00C16037" w:rsidRPr="00B31EE2">
        <w:t xml:space="preserve">Both cell lines were maintained free of mycoplasma contamination and authenticated on a regular basis by karyotype and short tandem repeat analysis at </w:t>
      </w:r>
      <w:r w:rsidR="004236CA" w:rsidRPr="00B31EE2">
        <w:t>Janssen R&amp;D</w:t>
      </w:r>
      <w:r w:rsidR="00C16037" w:rsidRPr="00B31EE2">
        <w:t xml:space="preserve"> facility.</w:t>
      </w:r>
      <w:r w:rsidR="004236CA" w:rsidRPr="00B31EE2">
        <w:t xml:space="preserve"> </w:t>
      </w:r>
      <w:r w:rsidRPr="00B31EE2">
        <w:t xml:space="preserve">The Peripheral Blood Mononuclear Cells (PBMCs) and isolated immune cells (NK cells and Monocytes) were purchased from </w:t>
      </w:r>
      <w:proofErr w:type="spellStart"/>
      <w:r w:rsidRPr="00B31EE2">
        <w:t>Hemacare</w:t>
      </w:r>
      <w:proofErr w:type="spellEnd"/>
      <w:r w:rsidRPr="00B31EE2">
        <w:t xml:space="preserve">. The PBMCs were isolated from </w:t>
      </w:r>
      <w:proofErr w:type="spellStart"/>
      <w:r w:rsidRPr="00B31EE2">
        <w:t>leukopaks</w:t>
      </w:r>
      <w:proofErr w:type="spellEnd"/>
      <w:r w:rsidRPr="00B31EE2">
        <w:t xml:space="preserve"> collected in </w:t>
      </w:r>
      <w:proofErr w:type="spellStart"/>
      <w:r w:rsidRPr="00B31EE2">
        <w:t>HemaCare’s</w:t>
      </w:r>
      <w:proofErr w:type="spellEnd"/>
      <w:r w:rsidRPr="00B31EE2">
        <w:t xml:space="preserve"> FDA-registered collection centers following cGMP and </w:t>
      </w:r>
      <w:proofErr w:type="spellStart"/>
      <w:r w:rsidRPr="00B31EE2">
        <w:t>cGTP</w:t>
      </w:r>
      <w:proofErr w:type="spellEnd"/>
      <w:r w:rsidRPr="00B31EE2">
        <w:t xml:space="preserve"> collection guidelines from IRB consented healthy human donors. PBMCs were purified by a density gradient centrifugation. NK cells were isolated using CD56 negative selection and Monocytes were isolated using CD14 negative selection from the same donor </w:t>
      </w:r>
      <w:proofErr w:type="spellStart"/>
      <w:r w:rsidRPr="00B31EE2">
        <w:t>leukopak</w:t>
      </w:r>
      <w:proofErr w:type="spellEnd"/>
      <w:r w:rsidRPr="00B31EE2">
        <w:t xml:space="preserve">. The isolated cells were purchased from </w:t>
      </w:r>
      <w:proofErr w:type="spellStart"/>
      <w:r w:rsidRPr="00B31EE2">
        <w:t>Hemacare</w:t>
      </w:r>
      <w:proofErr w:type="spellEnd"/>
      <w:r w:rsidRPr="00B31EE2">
        <w:t xml:space="preserve"> in cryopreserved format and stored in liquid nitrogen until use. </w:t>
      </w:r>
    </w:p>
    <w:p w14:paraId="273ABDC3" w14:textId="77777777" w:rsidR="008C0F12" w:rsidRPr="00B31EE2" w:rsidRDefault="008C0F12" w:rsidP="008C0F12">
      <w:pPr>
        <w:spacing w:line="480" w:lineRule="auto"/>
      </w:pPr>
    </w:p>
    <w:p w14:paraId="138E9B03" w14:textId="77777777" w:rsidR="008C0F12" w:rsidRPr="00B31EE2" w:rsidRDefault="008C0F12" w:rsidP="008C0F12">
      <w:pPr>
        <w:spacing w:line="480" w:lineRule="auto"/>
        <w:outlineLvl w:val="1"/>
        <w:rPr>
          <w:b/>
        </w:rPr>
      </w:pPr>
      <w:r w:rsidRPr="00B31EE2">
        <w:rPr>
          <w:b/>
        </w:rPr>
        <w:t>ADCC Assay</w:t>
      </w:r>
    </w:p>
    <w:p w14:paraId="60DD8C44" w14:textId="45FBA211" w:rsidR="008C0F12" w:rsidRPr="00B31EE2" w:rsidRDefault="008C0F12" w:rsidP="008C0F12">
      <w:pPr>
        <w:spacing w:line="480" w:lineRule="auto"/>
      </w:pPr>
      <w:r w:rsidRPr="00B31EE2">
        <w:t>PBMCs were thawed one day prior to assay in X-VIVO 10 media (Lonza, Cat#04-380Q) supplemented with 10% heat inactivated FBS (GIBCO, Cat#16140) and rested overnight under standard incubation conditions (37</w:t>
      </w:r>
      <w:r w:rsidRPr="00B31EE2">
        <w:rPr>
          <w:vertAlign w:val="superscript"/>
        </w:rPr>
        <w:t>0</w:t>
      </w:r>
      <w:r w:rsidRPr="00B31EE2">
        <w:t>C, 5% CO</w:t>
      </w:r>
      <w:r w:rsidRPr="00B31EE2">
        <w:rPr>
          <w:vertAlign w:val="subscript"/>
        </w:rPr>
        <w:t>2</w:t>
      </w:r>
      <w:r w:rsidRPr="00B31EE2">
        <w:t xml:space="preserve">, 95% humidity). On the day of assay, H1975 target cells were loaded with DELFIA BATDA reagent (PerkinElmer Inc., Cat#C136-100) for 30 </w:t>
      </w:r>
      <w:r w:rsidRPr="00B31EE2">
        <w:lastRenderedPageBreak/>
        <w:t>minutes, washed 3 times, and resuspended in RPMI media. PBMCs and BATDA-loaded target cells were added to 96-well U-bottom plates at an effector to target cell (</w:t>
      </w:r>
      <w:proofErr w:type="gramStart"/>
      <w:r w:rsidRPr="00B31EE2">
        <w:t>E:T</w:t>
      </w:r>
      <w:proofErr w:type="gramEnd"/>
      <w:r w:rsidRPr="00B31EE2">
        <w:t xml:space="preserve">) ratio of 25:1 along with increasing concentrations of test antibodies. RPMI media or RPMI media containing 2% Triton X-100 (EMD Millipore, Cat#648463) was added to control wells for measurement of spontaneous and maximal TDA release respectively. Plates were incubated for 2 hours, after which 20uL of supernatant was removed and combined with 200uL of DELPHIA Europium solution (Perkin Elmer, Cat#C135-100). After incubation at RT for 15 mins, Relative Fluorescence Units (RFU) were measured using an </w:t>
      </w:r>
      <w:proofErr w:type="spellStart"/>
      <w:r w:rsidRPr="00B31EE2">
        <w:t>EnVision</w:t>
      </w:r>
      <w:proofErr w:type="spellEnd"/>
      <w:r w:rsidRPr="00B31EE2">
        <w:t xml:space="preserve"> 2104 Multilabel Plate Reader (PerkinElmer, Cat#2104-0010). Percent lysis was calculated as (Experimental release – Spontaneous release)</w:t>
      </w:r>
      <w:proofErr w:type="gramStart"/>
      <w:r w:rsidRPr="00B31EE2">
        <w:t>/(</w:t>
      </w:r>
      <w:proofErr w:type="gramEnd"/>
      <w:r w:rsidRPr="00B31EE2">
        <w:t xml:space="preserve">Maximal release – Spontaneous release) X 100.  </w:t>
      </w:r>
    </w:p>
    <w:p w14:paraId="2E5B062A" w14:textId="77777777" w:rsidR="008C0F12" w:rsidRPr="00B31EE2" w:rsidRDefault="008C0F12" w:rsidP="008C0F12">
      <w:pPr>
        <w:spacing w:line="480" w:lineRule="auto"/>
      </w:pPr>
    </w:p>
    <w:p w14:paraId="75083D97" w14:textId="77777777" w:rsidR="008C0F12" w:rsidRPr="00B31EE2" w:rsidRDefault="008C0F12" w:rsidP="008C0F12">
      <w:pPr>
        <w:spacing w:line="480" w:lineRule="auto"/>
        <w:outlineLvl w:val="1"/>
      </w:pPr>
      <w:r w:rsidRPr="00B31EE2">
        <w:rPr>
          <w:b/>
        </w:rPr>
        <w:t>C1q binding Assay</w:t>
      </w:r>
    </w:p>
    <w:p w14:paraId="582FBCDF" w14:textId="79CD76C1" w:rsidR="008C0F12" w:rsidRPr="00B31EE2" w:rsidRDefault="008C0F12" w:rsidP="008C0F12">
      <w:pPr>
        <w:spacing w:after="120" w:line="480" w:lineRule="auto"/>
      </w:pPr>
      <w:r w:rsidRPr="00B31EE2">
        <w:t>Purified C1q protein (US Biologics, Cat#C0010A) was conjugated with MSD GOLD SULFO-TAG NHS-Ester (MSD, Cat# R91AO-1) using the Conjugation pack (MSD, Cat#R31AA-2) and purified as per manufacturer’s instructions. MSD multi-array 96 well high bind plates (MSD, Cat#L15XB) were coated with the test antibodies overnight at 4</w:t>
      </w:r>
      <w:r w:rsidRPr="00B31EE2">
        <w:rPr>
          <w:vertAlign w:val="superscript"/>
        </w:rPr>
        <w:t>0</w:t>
      </w:r>
      <w:r w:rsidRPr="00B31EE2">
        <w:t>C. The coated plate was washed thrice with MSD Tris wash buffer</w:t>
      </w:r>
      <w:r w:rsidR="002E0B08">
        <w:t xml:space="preserve">, </w:t>
      </w:r>
      <w:r w:rsidRPr="00B31EE2">
        <w:t>blocked with 150μL/well of blocking solution (prepared from MSD Blocker-A kit) and incubated for 1 hour with shaking at room temperature. The plate was washed thrice with MSD Tris wash buffer</w:t>
      </w:r>
      <w:r w:rsidR="00172F44">
        <w:t xml:space="preserve">, </w:t>
      </w:r>
      <w:r w:rsidRPr="00B31EE2">
        <w:t xml:space="preserve">tagged C1q protein was added and incubated at RT with shaking for 1 hour. The plate was washed, 2X READ buffer was added, and the plate was read on the MSD Sector imager to obtain the </w:t>
      </w:r>
      <w:r w:rsidR="00172F44" w:rsidRPr="00B31EE2">
        <w:t xml:space="preserve">Relative </w:t>
      </w:r>
      <w:r w:rsidR="00172F44">
        <w:t>Luminescence</w:t>
      </w:r>
      <w:r w:rsidR="00172F44" w:rsidRPr="00B31EE2">
        <w:t xml:space="preserve"> Units </w:t>
      </w:r>
      <w:r w:rsidR="00172F44">
        <w:t>(</w:t>
      </w:r>
      <w:r w:rsidRPr="00B31EE2">
        <w:t>RLU</w:t>
      </w:r>
      <w:r w:rsidR="00172F44">
        <w:t>)</w:t>
      </w:r>
      <w:r w:rsidRPr="00B31EE2">
        <w:t xml:space="preserve"> values. </w:t>
      </w:r>
    </w:p>
    <w:p w14:paraId="3A6D89F5" w14:textId="77777777" w:rsidR="008C0F12" w:rsidRPr="00B31EE2" w:rsidRDefault="008C0F12" w:rsidP="008C0F12">
      <w:pPr>
        <w:spacing w:after="120" w:line="480" w:lineRule="auto"/>
      </w:pPr>
    </w:p>
    <w:p w14:paraId="175258C5" w14:textId="77777777" w:rsidR="008C0F12" w:rsidRPr="00B31EE2" w:rsidRDefault="008C0F12" w:rsidP="00E53093">
      <w:pPr>
        <w:keepNext/>
        <w:spacing w:line="480" w:lineRule="auto"/>
        <w:outlineLvl w:val="1"/>
        <w:rPr>
          <w:b/>
        </w:rPr>
      </w:pPr>
      <w:r w:rsidRPr="00B31EE2">
        <w:rPr>
          <w:b/>
        </w:rPr>
        <w:lastRenderedPageBreak/>
        <w:t>CDC Assay</w:t>
      </w:r>
    </w:p>
    <w:p w14:paraId="4D242C19" w14:textId="172E32D0" w:rsidR="008C0F12" w:rsidRPr="00B31EE2" w:rsidRDefault="008C0F12" w:rsidP="008C0F12">
      <w:pPr>
        <w:spacing w:line="480" w:lineRule="auto"/>
        <w:contextualSpacing/>
        <w:rPr>
          <w:b/>
        </w:rPr>
      </w:pPr>
      <w:r w:rsidRPr="00B31EE2">
        <w:t>Target cells were dissociated with cell dissociation buffer and plated at a cell density of 50,000 cell per well in 80ul</w:t>
      </w:r>
      <w:r w:rsidR="00172F44">
        <w:t xml:space="preserve"> media</w:t>
      </w:r>
      <w:r w:rsidRPr="00B31EE2">
        <w:t>. Test antibodies were added to the plate at 10X concentration, followed by 5% Baby rabbit complement (</w:t>
      </w:r>
      <w:proofErr w:type="spellStart"/>
      <w:r w:rsidRPr="00B31EE2">
        <w:t>CedarLane</w:t>
      </w:r>
      <w:proofErr w:type="spellEnd"/>
      <w:r w:rsidRPr="00B31EE2">
        <w:t>, Cat#CL3441-S) at 10X concentration. The plates were spun at 1000rpm for 2 mins and incubated for 2 hours at 37</w:t>
      </w:r>
      <w:r w:rsidRPr="00B31EE2">
        <w:rPr>
          <w:vertAlign w:val="superscript"/>
        </w:rPr>
        <w:t>0</w:t>
      </w:r>
      <w:r w:rsidRPr="00B31EE2">
        <w:t xml:space="preserve">C. 45 mins prior to harvesting the assay, 10ul of 10x Lysis Buffer provided with the </w:t>
      </w:r>
      <w:proofErr w:type="spellStart"/>
      <w:r w:rsidRPr="00B31EE2">
        <w:t>CytoTox</w:t>
      </w:r>
      <w:proofErr w:type="spellEnd"/>
      <w:r w:rsidRPr="00B31EE2">
        <w:t xml:space="preserve"> Non-Radioactive Cytotoxicity Assay kit (Promega, Cat#G1780) was added as max-lysis control. Post incubation, LDH release was measured using the </w:t>
      </w:r>
      <w:proofErr w:type="spellStart"/>
      <w:r w:rsidRPr="00B31EE2">
        <w:t>CytoTox</w:t>
      </w:r>
      <w:proofErr w:type="spellEnd"/>
      <w:r w:rsidRPr="00B31EE2">
        <w:t xml:space="preserve"> Non-Radioactive Cytotoxicity Assay kit (Promega, Cat#G1780) as per the manufacturer’s instructions. Briefly, 50µL of supernatant was mixed with 50 µL of working </w:t>
      </w:r>
      <w:proofErr w:type="spellStart"/>
      <w:r w:rsidRPr="00B31EE2">
        <w:t>Cytotox</w:t>
      </w:r>
      <w:proofErr w:type="spellEnd"/>
      <w:r w:rsidRPr="00B31EE2">
        <w:t xml:space="preserve"> Reagent and incubated for 30 minutes in the dark at RT. After adding 50 µL of stop solution to each well, the absorbance was measured at 490 nm using the </w:t>
      </w:r>
      <w:proofErr w:type="spellStart"/>
      <w:r w:rsidRPr="00B31EE2">
        <w:t>SpectraMax</w:t>
      </w:r>
      <w:proofErr w:type="spellEnd"/>
      <w:r w:rsidRPr="00B31EE2">
        <w:t xml:space="preserve"> Plate reader. % CDC mediated target cell lysis was calculated using the following formula: [(Experimental O.D – Avg O.D from Media alone </w:t>
      </w:r>
      <w:proofErr w:type="spellStart"/>
      <w:r w:rsidRPr="00B31EE2">
        <w:t>cnt</w:t>
      </w:r>
      <w:proofErr w:type="spellEnd"/>
      <w:r w:rsidRPr="00B31EE2">
        <w:t>)/ O.D of Max lysis] x 100.</w:t>
      </w:r>
    </w:p>
    <w:p w14:paraId="7FBC8D33" w14:textId="77777777" w:rsidR="008C0F12" w:rsidRPr="00B31EE2" w:rsidRDefault="008C0F12" w:rsidP="008C0F12">
      <w:pPr>
        <w:spacing w:line="480" w:lineRule="auto"/>
      </w:pPr>
    </w:p>
    <w:p w14:paraId="7F81E0B9" w14:textId="77777777" w:rsidR="008C0F12" w:rsidRPr="00B31EE2" w:rsidRDefault="008C0F12" w:rsidP="008C0F12">
      <w:pPr>
        <w:spacing w:line="480" w:lineRule="auto"/>
        <w:contextualSpacing/>
        <w:outlineLvl w:val="1"/>
        <w:rPr>
          <w:b/>
        </w:rPr>
      </w:pPr>
      <w:r w:rsidRPr="00B31EE2">
        <w:rPr>
          <w:b/>
        </w:rPr>
        <w:t>MSD Multi-plex assay and statistical analysis</w:t>
      </w:r>
    </w:p>
    <w:p w14:paraId="34971B82" w14:textId="15F788DF" w:rsidR="008C0F12" w:rsidRPr="00B31EE2" w:rsidRDefault="008C0F12" w:rsidP="008C0F12">
      <w:pPr>
        <w:spacing w:after="120" w:line="480" w:lineRule="auto"/>
        <w:outlineLvl w:val="1"/>
      </w:pPr>
      <w:r w:rsidRPr="00B31EE2">
        <w:t>For PBMC, NK cells and monocytes experiments, NCI-H1975 cells were plated into 96-well plates and allowed to incubate overnight at 37</w:t>
      </w:r>
      <w:r w:rsidRPr="00B31EE2">
        <w:rPr>
          <w:vertAlign w:val="superscript"/>
        </w:rPr>
        <w:t>◦</w:t>
      </w:r>
      <w:r w:rsidRPr="00B31EE2">
        <w:t>C and 5% CO</w:t>
      </w:r>
      <w:r w:rsidRPr="00B31EE2">
        <w:rPr>
          <w:vertAlign w:val="subscript"/>
        </w:rPr>
        <w:t>2.</w:t>
      </w:r>
      <w:r w:rsidRPr="00B31EE2">
        <w:t xml:space="preserve"> The next day, PBMC, monocytes or NK cells were added at a ratio of 10:1, 5:1 and 5:1 respectively. For macrophage experiments, the monocytes were differentiated as previously described, dissociated using </w:t>
      </w:r>
      <w:proofErr w:type="spellStart"/>
      <w:r w:rsidRPr="00B31EE2">
        <w:t>StemPro</w:t>
      </w:r>
      <w:proofErr w:type="spellEnd"/>
      <w:r w:rsidRPr="00B31EE2">
        <w:t xml:space="preserve"> </w:t>
      </w:r>
      <w:proofErr w:type="spellStart"/>
      <w:r w:rsidRPr="00B31EE2">
        <w:t>Ac</w:t>
      </w:r>
      <w:r w:rsidR="005037A3">
        <w:t>c</w:t>
      </w:r>
      <w:r w:rsidRPr="00B31EE2">
        <w:t>utase</w:t>
      </w:r>
      <w:proofErr w:type="spellEnd"/>
      <w:r w:rsidRPr="00B31EE2">
        <w:t xml:space="preserve"> (Gibco, Cat#A11105-01) and plated into 96-well plates and allowed to incubate overnight at 37</w:t>
      </w:r>
      <w:r w:rsidRPr="00B31EE2">
        <w:rPr>
          <w:vertAlign w:val="superscript"/>
        </w:rPr>
        <w:t>◦</w:t>
      </w:r>
      <w:r w:rsidRPr="00B31EE2">
        <w:t>C and 5% CO</w:t>
      </w:r>
      <w:r w:rsidRPr="00B31EE2">
        <w:rPr>
          <w:vertAlign w:val="subscript"/>
        </w:rPr>
        <w:t xml:space="preserve">2. </w:t>
      </w:r>
      <w:r w:rsidRPr="00B31EE2">
        <w:t>The next day,</w:t>
      </w:r>
      <w:r w:rsidR="005037A3">
        <w:t xml:space="preserve"> </w:t>
      </w:r>
      <w:r w:rsidRPr="00B31EE2">
        <w:t xml:space="preserve">H1975 cells were added at an E:T ratio of 5:1. The cells were treated with </w:t>
      </w:r>
      <w:r w:rsidR="008508CA">
        <w:t>therapeutic antibodies</w:t>
      </w:r>
      <w:r w:rsidRPr="00B31EE2">
        <w:t xml:space="preserve"> at varying concentrations and incubated at 37</w:t>
      </w:r>
      <w:r w:rsidRPr="00B31EE2">
        <w:rPr>
          <w:vertAlign w:val="superscript"/>
        </w:rPr>
        <w:t>◦</w:t>
      </w:r>
      <w:r w:rsidRPr="00B31EE2">
        <w:t>C and 5% CO</w:t>
      </w:r>
      <w:r w:rsidRPr="00B31EE2">
        <w:rPr>
          <w:vertAlign w:val="subscript"/>
        </w:rPr>
        <w:t xml:space="preserve">2 </w:t>
      </w:r>
      <w:r w:rsidRPr="00B31EE2">
        <w:lastRenderedPageBreak/>
        <w:t xml:space="preserve">for 4 or 72 hrs. At the designated time, the plates were spun </w:t>
      </w:r>
      <w:bookmarkStart w:id="0" w:name="_Hlk9776869"/>
      <w:r w:rsidRPr="00B31EE2">
        <w:t xml:space="preserve">at 1200 rpms </w:t>
      </w:r>
      <w:bookmarkEnd w:id="0"/>
      <w:r w:rsidRPr="00B31EE2">
        <w:t xml:space="preserve">for 10 min at room temperature. The supernatant was removed and evaluated using </w:t>
      </w:r>
      <w:proofErr w:type="spellStart"/>
      <w:r w:rsidRPr="00B31EE2">
        <w:t>MesoScale</w:t>
      </w:r>
      <w:proofErr w:type="spellEnd"/>
      <w:r w:rsidRPr="00B31EE2">
        <w:t xml:space="preserve"> Discovery (MSD) U-plex and V-plex formats for the respective cytokine assays as per manufacturer’s instructions. Briefly, for the U-plex plates, on the day before the assay, the plates were coated with the antibody and linkers according to manufacturer’s protocol and incubated on an orbital shaker at 4</w:t>
      </w:r>
      <w:r w:rsidRPr="00B31EE2">
        <w:rPr>
          <w:vertAlign w:val="superscript"/>
        </w:rPr>
        <w:t>◦</w:t>
      </w:r>
      <w:r w:rsidRPr="00B31EE2">
        <w:t xml:space="preserve">C overnight.  On the day of the experiment, the U-plex or V-plex plates were washed 3X with MSD wash buffer and supernatants, standards and calibrators were added to the plates and run according to manufacturer’s protocol. Plates were read on an MSD Sector instrument and analyzed using Spotfire to obtain the Calculated levels (in </w:t>
      </w:r>
      <w:proofErr w:type="spellStart"/>
      <w:r w:rsidRPr="00B31EE2">
        <w:t>pg</w:t>
      </w:r>
      <w:proofErr w:type="spellEnd"/>
      <w:r w:rsidRPr="00B31EE2">
        <w:t xml:space="preserve">/ml) for each cytokine using the standard curve. </w:t>
      </w:r>
    </w:p>
    <w:p w14:paraId="24071F46" w14:textId="52558F5E" w:rsidR="008C0F12" w:rsidRPr="00B31EE2" w:rsidRDefault="008C0F12" w:rsidP="008C0F12">
      <w:pPr>
        <w:spacing w:after="120" w:line="480" w:lineRule="auto"/>
        <w:outlineLvl w:val="1"/>
      </w:pPr>
      <w:r w:rsidRPr="00B31EE2">
        <w:rPr>
          <w:bCs/>
        </w:rPr>
        <w:t xml:space="preserve">From the calculated concentrations, area under the curve (AUC) was calculated by the trapezoidal method for each treatment, cell type, and incubation time in order to compare magnitude of response. </w:t>
      </w:r>
      <w:r w:rsidRPr="00B31EE2">
        <w:t xml:space="preserve">Response data was excluded if the observed value was below the lower limit of detection, and AUC was calculated </w:t>
      </w:r>
      <w:r w:rsidR="00FD0C27">
        <w:t xml:space="preserve">only </w:t>
      </w:r>
      <w:r w:rsidRPr="00B31EE2">
        <w:t xml:space="preserve">where there were at least 6 valid observations out of the 8 dose concentrations. A heatmap was then generated to illustrate data availability (no data, not enough data, or calculable AUC data) across all cytokines and conditions. Heatmaps of log-transformed AUC were then produced by incubation time and limited to cytokines with at least one measurable AUC in the H1975+PBMC cell type. All heatmaps were produced using package heatmap.2 in the statistical software R version 3.5.0 (R Core Team 2018; R: A language and environment for statistical computing; http://www.R-project.org/). Finally, relative change of </w:t>
      </w:r>
      <w:r w:rsidR="00836FAC" w:rsidRPr="00B31EE2">
        <w:t>amivantamab</w:t>
      </w:r>
      <w:r w:rsidRPr="00B31EE2">
        <w:t xml:space="preserve"> and IgG2</w:t>
      </w:r>
      <w:r w:rsidRPr="00B31EE2">
        <w:sym w:font="Symbol" w:char="F073"/>
      </w:r>
      <w:r w:rsidRPr="00B31EE2">
        <w:t xml:space="preserve"> treatment compared to isotype was calculated for each condition and bar graphs were generated using </w:t>
      </w:r>
      <w:proofErr w:type="spellStart"/>
      <w:r w:rsidRPr="00B31EE2">
        <w:t>Graphpad</w:t>
      </w:r>
      <w:proofErr w:type="spellEnd"/>
      <w:r w:rsidRPr="00B31EE2">
        <w:t xml:space="preserve"> Prism. </w:t>
      </w:r>
    </w:p>
    <w:p w14:paraId="40477A20" w14:textId="77777777" w:rsidR="008C0F12" w:rsidRPr="00B31EE2" w:rsidRDefault="008C0F12" w:rsidP="008C0F12">
      <w:pPr>
        <w:spacing w:line="480" w:lineRule="auto"/>
      </w:pPr>
    </w:p>
    <w:p w14:paraId="1124F239" w14:textId="77777777" w:rsidR="008C0F12" w:rsidRPr="00B31EE2" w:rsidRDefault="008C0F12" w:rsidP="00E53093">
      <w:pPr>
        <w:keepNext/>
        <w:spacing w:line="480" w:lineRule="auto"/>
        <w:contextualSpacing/>
        <w:outlineLvl w:val="1"/>
        <w:rPr>
          <w:b/>
        </w:rPr>
      </w:pPr>
      <w:r w:rsidRPr="00B31EE2">
        <w:rPr>
          <w:b/>
        </w:rPr>
        <w:lastRenderedPageBreak/>
        <w:t>Flow cytometry-based determination of immune cell composition</w:t>
      </w:r>
    </w:p>
    <w:p w14:paraId="516D2AF4" w14:textId="60DDCEB9" w:rsidR="008C0F12" w:rsidRPr="00B31EE2" w:rsidRDefault="008C0F12" w:rsidP="008C0F12">
      <w:pPr>
        <w:spacing w:line="480" w:lineRule="auto"/>
        <w:contextualSpacing/>
      </w:pPr>
      <w:r w:rsidRPr="00B31EE2">
        <w:t xml:space="preserve">The PBMCs (purchased from </w:t>
      </w:r>
      <w:proofErr w:type="spellStart"/>
      <w:r w:rsidRPr="00B31EE2">
        <w:t>Hemacare</w:t>
      </w:r>
      <w:proofErr w:type="spellEnd"/>
      <w:r w:rsidRPr="00B31EE2">
        <w:t>) were thawed in X-VIVO-15 media with 10% FBS and counted. After counting, ~300,000 to 400,000 cells/well were plated (in triplicates) and the plate was spun at 4</w:t>
      </w:r>
      <w:r w:rsidR="006C68AB" w:rsidRPr="006C68AB">
        <w:rPr>
          <w:vertAlign w:val="superscript"/>
        </w:rPr>
        <w:t>0</w:t>
      </w:r>
      <w:r w:rsidRPr="00B31EE2">
        <w:t>C at 1500 rpms for 3min and washed with 150ul/well of DPBS. Cells were stained with Near IR- Live/Dead stain (Life Technologies</w:t>
      </w:r>
      <w:r w:rsidR="006C68AB">
        <w:t>,</w:t>
      </w:r>
      <w:r w:rsidRPr="00B31EE2">
        <w:t xml:space="preserve"> Cat#L10119) in PBS and incubated in dark at RT for 30 min. The cells were washed with FACS/Stain buffer (BD</w:t>
      </w:r>
      <w:r w:rsidR="00D96068">
        <w:t xml:space="preserve"> Biosciences, Cat</w:t>
      </w:r>
      <w:r w:rsidRPr="00B31EE2">
        <w:t xml:space="preserve">#554657). The cells were then stained with the antibody cocktail: CD19 (FITC), CD56 (BV711), CD14 (PE-cy7), CD3 (BV605), CD4 (BV785), CD8 (PerCP-cy5.5), CD16 (BUV395), CD32 (PE) and CD64 (APC) and incubated for 30 min at RT in dark. A compensation plate was prepared using compensation beads and the single channel antibodies from the panel above as per calculations and incubated for 30mins in dark at RT. All plates were spun at 1500rpm for 5 min at 4°C and washed twice with FACS Buffer. The plates were run on the </w:t>
      </w:r>
      <w:proofErr w:type="spellStart"/>
      <w:r w:rsidRPr="00B31EE2">
        <w:t>Fortessa</w:t>
      </w:r>
      <w:proofErr w:type="spellEnd"/>
      <w:r w:rsidRPr="00B31EE2">
        <w:t xml:space="preserve"> where the compensation was set using the single channel control</w:t>
      </w:r>
      <w:r w:rsidR="00AC19C6">
        <w:t>s</w:t>
      </w:r>
      <w:r w:rsidRPr="00B31EE2">
        <w:t xml:space="preserve"> from the compensation bead plate. The assay plate was then run at flow rate of 1.5ul/sec with the compensation applied. The data was analyzed in </w:t>
      </w:r>
      <w:proofErr w:type="spellStart"/>
      <w:r w:rsidRPr="00B31EE2">
        <w:t>FLOWJo</w:t>
      </w:r>
      <w:proofErr w:type="spellEnd"/>
      <w:r w:rsidRPr="00B31EE2">
        <w:t xml:space="preserve">, where appropriate gating was done to obtain the percentage of the each of the individual immune cell populations within the PBMCs and </w:t>
      </w:r>
      <w:r w:rsidR="00A4127E">
        <w:t>the</w:t>
      </w:r>
      <w:r w:rsidRPr="00B31EE2">
        <w:t xml:space="preserve"> expression of Fc</w:t>
      </w:r>
      <w:r w:rsidRPr="00B31EE2">
        <w:sym w:font="Symbol" w:char="F067"/>
      </w:r>
      <w:r w:rsidRPr="00B31EE2">
        <w:t xml:space="preserve"> receptors.</w:t>
      </w:r>
    </w:p>
    <w:p w14:paraId="6415BFF6" w14:textId="77777777" w:rsidR="008C0F12" w:rsidRPr="00B31EE2" w:rsidRDefault="008C0F12" w:rsidP="008C0F12">
      <w:pPr>
        <w:spacing w:line="480" w:lineRule="auto"/>
      </w:pPr>
    </w:p>
    <w:p w14:paraId="31721ABB" w14:textId="77777777" w:rsidR="008C0F12" w:rsidRPr="00B31EE2" w:rsidRDefault="008C0F12" w:rsidP="008C0F12">
      <w:pPr>
        <w:spacing w:line="480" w:lineRule="auto"/>
        <w:contextualSpacing/>
        <w:outlineLvl w:val="1"/>
        <w:rPr>
          <w:b/>
        </w:rPr>
      </w:pPr>
      <w:r w:rsidRPr="00B31EE2">
        <w:rPr>
          <w:b/>
        </w:rPr>
        <w:t>Depletion of NK cells and monocytes from PBMCs</w:t>
      </w:r>
    </w:p>
    <w:p w14:paraId="01785406" w14:textId="6202655C" w:rsidR="008C0F12" w:rsidRPr="00B31EE2" w:rsidRDefault="008C0F12" w:rsidP="008C0F12">
      <w:pPr>
        <w:spacing w:line="480" w:lineRule="auto"/>
        <w:contextualSpacing/>
      </w:pPr>
      <w:r w:rsidRPr="00B31EE2">
        <w:t xml:space="preserve">Depletion of NK cells were performed using the </w:t>
      </w:r>
      <w:proofErr w:type="spellStart"/>
      <w:r w:rsidRPr="00B31EE2">
        <w:t>EasySep</w:t>
      </w:r>
      <w:proofErr w:type="spellEnd"/>
      <w:r w:rsidRPr="00B31EE2">
        <w:t xml:space="preserve"> Human CD56 Positive Selection kit II (</w:t>
      </w:r>
      <w:proofErr w:type="spellStart"/>
      <w:r w:rsidRPr="00B31EE2">
        <w:t>STEMCell</w:t>
      </w:r>
      <w:proofErr w:type="spellEnd"/>
      <w:r w:rsidRPr="00B31EE2">
        <w:t xml:space="preserve"> Technologies, Cat#17855) and depletion of Monocytes was performed using the </w:t>
      </w:r>
      <w:proofErr w:type="spellStart"/>
      <w:r w:rsidRPr="00B31EE2">
        <w:t>EasySep</w:t>
      </w:r>
      <w:proofErr w:type="spellEnd"/>
      <w:r w:rsidRPr="00B31EE2">
        <w:t xml:space="preserve"> Human CD14 Positive Selection kit II (</w:t>
      </w:r>
      <w:proofErr w:type="spellStart"/>
      <w:r w:rsidRPr="00B31EE2">
        <w:t>STEMCell</w:t>
      </w:r>
      <w:proofErr w:type="spellEnd"/>
      <w:r w:rsidRPr="00B31EE2">
        <w:t xml:space="preserve"> </w:t>
      </w:r>
      <w:r w:rsidR="00A4127E" w:rsidRPr="00B31EE2">
        <w:t>Technologies</w:t>
      </w:r>
      <w:r w:rsidRPr="00B31EE2">
        <w:t xml:space="preserve">, Cat#17858). 10 million PBMCs were resuspended in the </w:t>
      </w:r>
      <w:proofErr w:type="spellStart"/>
      <w:r w:rsidRPr="00B31EE2">
        <w:t>EasySep</w:t>
      </w:r>
      <w:proofErr w:type="spellEnd"/>
      <w:r w:rsidRPr="00B31EE2">
        <w:t xml:space="preserve"> buffer at the desired conc</w:t>
      </w:r>
      <w:r w:rsidR="00A4127E">
        <w:t xml:space="preserve"> </w:t>
      </w:r>
      <w:r w:rsidRPr="00B31EE2">
        <w:t xml:space="preserve">(100 million cells/mL) and the depletion of the NK cells </w:t>
      </w:r>
      <w:r w:rsidR="00A4127E">
        <w:t>or</w:t>
      </w:r>
      <w:r w:rsidRPr="00B31EE2">
        <w:t xml:space="preserve"> monocytes </w:t>
      </w:r>
      <w:r w:rsidR="00A4127E">
        <w:t>was</w:t>
      </w:r>
      <w:r w:rsidRPr="00B31EE2">
        <w:t xml:space="preserve"> performed as per the </w:t>
      </w:r>
      <w:r w:rsidRPr="00B31EE2">
        <w:lastRenderedPageBreak/>
        <w:t xml:space="preserve">manufacturer’s protocol. Briefly, 50ul of the respective antibody selection cocktail was added and incubated at RT for 10 mins. 50ul of the magnetic particles were added to the PBMCs + antibody cocktail and incubated for 3 mins at RT. The tubes were then placed into the </w:t>
      </w:r>
      <w:proofErr w:type="spellStart"/>
      <w:r w:rsidRPr="00B31EE2">
        <w:t>EasySep</w:t>
      </w:r>
      <w:proofErr w:type="spellEnd"/>
      <w:r w:rsidRPr="00B31EE2">
        <w:t xml:space="preserve"> Magnet (</w:t>
      </w:r>
      <w:proofErr w:type="spellStart"/>
      <w:r w:rsidRPr="00B31EE2">
        <w:t>STEMCell</w:t>
      </w:r>
      <w:proofErr w:type="spellEnd"/>
      <w:r w:rsidRPr="00B31EE2">
        <w:t xml:space="preserve"> Technologies, Cat#18000) and supernatant was carefully transferred to a new tube. The magnetic separation step was repeated twice to obtain NK cell depleted </w:t>
      </w:r>
      <w:r w:rsidR="008430B7">
        <w:t>or</w:t>
      </w:r>
      <w:r w:rsidRPr="00B31EE2">
        <w:t xml:space="preserve"> Monocyte depleted PBMCs. The depletion was verified using flow cytometry and then utilized for the Simple Western assays.</w:t>
      </w:r>
    </w:p>
    <w:p w14:paraId="003C26BA" w14:textId="77777777" w:rsidR="008C0F12" w:rsidRPr="00B31EE2" w:rsidRDefault="008C0F12" w:rsidP="006D6554"/>
    <w:p w14:paraId="1EA6580F" w14:textId="77777777" w:rsidR="008C0F12" w:rsidRPr="00B31EE2" w:rsidRDefault="008C0F12" w:rsidP="008C0F12">
      <w:pPr>
        <w:keepNext/>
        <w:spacing w:line="480" w:lineRule="auto"/>
        <w:contextualSpacing/>
        <w:outlineLvl w:val="1"/>
        <w:rPr>
          <w:b/>
        </w:rPr>
      </w:pPr>
      <w:r w:rsidRPr="00B31EE2">
        <w:rPr>
          <w:b/>
        </w:rPr>
        <w:t>Differentiation of Monocytes into M1, M2a and M2c macrophages</w:t>
      </w:r>
    </w:p>
    <w:p w14:paraId="6E8CF60C" w14:textId="6122C8EF" w:rsidR="008C0F12" w:rsidRPr="00B31EE2" w:rsidRDefault="008C0F12" w:rsidP="008C0F12">
      <w:pPr>
        <w:keepNext/>
        <w:spacing w:line="480" w:lineRule="auto"/>
        <w:contextualSpacing/>
      </w:pPr>
      <w:r w:rsidRPr="00B31EE2">
        <w:t>Monocytes (</w:t>
      </w:r>
      <w:proofErr w:type="spellStart"/>
      <w:r w:rsidRPr="00B31EE2">
        <w:t>Hemacare</w:t>
      </w:r>
      <w:proofErr w:type="spellEnd"/>
      <w:r w:rsidRPr="00B31EE2">
        <w:t xml:space="preserve">) were thawed in the XVIVO-15 media and differentiated with 50ng/mL M-CSF (R&amp;D systems; Cat#216-MC-025/CF) for 6 days to obtain M0 macrophages. To obtain M1 macrophages, on day 5, M0 macrophages were polarized with 50ng/mL M-CSF and 100ng/mL IFN-g (R&amp;D systems; Cat#285-IF-100/CF) for 48 hrs. To obtain M2 macrophages, on day 5, M0 macrophages were polarized with 20ng/mL IL-4 (R&amp;D systems; Cat#204-IL-020/CF) and IL-13 (R&amp;D systems; Cat#213-ILB-025/CF) for M2a or 20ng/mL IL-10 (R&amp;D systems; Cat#217-IL-025/CF) for M2c macrophages for 48 hrs. </w:t>
      </w:r>
      <w:r w:rsidR="0090102A" w:rsidRPr="00B31EE2">
        <w:t xml:space="preserve">After polarization, M1, M2a and M2c macrophages were thoroughly rinsed with fresh media before use in the assays. </w:t>
      </w:r>
    </w:p>
    <w:p w14:paraId="42C8450A" w14:textId="4FCCB0EC" w:rsidR="008C0F12" w:rsidRPr="00B31EE2" w:rsidRDefault="008C0F12" w:rsidP="008C0F12">
      <w:pPr>
        <w:spacing w:line="480" w:lineRule="auto"/>
        <w:contextualSpacing/>
      </w:pPr>
    </w:p>
    <w:p w14:paraId="1AB9AAFD" w14:textId="77777777" w:rsidR="007A78F1" w:rsidRPr="00B31EE2" w:rsidRDefault="008D4D22" w:rsidP="007A78F1">
      <w:pPr>
        <w:spacing w:line="480" w:lineRule="auto"/>
        <w:contextualSpacing/>
        <w:outlineLvl w:val="1"/>
        <w:rPr>
          <w:b/>
        </w:rPr>
      </w:pPr>
      <w:r w:rsidRPr="00B31EE2">
        <w:rPr>
          <w:b/>
        </w:rPr>
        <w:t xml:space="preserve">Western blot analysis of </w:t>
      </w:r>
      <w:r w:rsidRPr="00B31EE2">
        <w:rPr>
          <w:b/>
          <w:i/>
          <w:iCs/>
        </w:rPr>
        <w:t>in vivo</w:t>
      </w:r>
      <w:r w:rsidRPr="00B31EE2">
        <w:rPr>
          <w:b/>
        </w:rPr>
        <w:t xml:space="preserve"> tumors</w:t>
      </w:r>
    </w:p>
    <w:p w14:paraId="0A8CBABC" w14:textId="589FAF25" w:rsidR="008D4D22" w:rsidRPr="00B31EE2" w:rsidRDefault="00991D1F" w:rsidP="007A78F1">
      <w:pPr>
        <w:spacing w:line="480" w:lineRule="auto"/>
        <w:contextualSpacing/>
        <w:outlineLvl w:val="1"/>
      </w:pPr>
      <w:r w:rsidRPr="00B31EE2">
        <w:t xml:space="preserve">SNU5 tumors were harvested, flash frozen in liquid nitrogen, and lysed in ice-cold </w:t>
      </w:r>
      <w:r w:rsidR="00307952" w:rsidRPr="00B31EE2">
        <w:t xml:space="preserve">4X lysis buffer - </w:t>
      </w:r>
      <w:r w:rsidRPr="00B31EE2">
        <w:t xml:space="preserve">RIPA (Thermo Scientific) containing 2× HALT/EDTA protease and phosphatase inhibitor cocktail (Thermo Fisher Scientific), 50 mmol/L </w:t>
      </w:r>
      <w:proofErr w:type="spellStart"/>
      <w:r w:rsidRPr="00B31EE2">
        <w:t>NaF</w:t>
      </w:r>
      <w:proofErr w:type="spellEnd"/>
      <w:r w:rsidRPr="00B31EE2">
        <w:t xml:space="preserve">, 2 mmol/L sodium orthovanadate (activated), and 1 mmol/L PMSF. </w:t>
      </w:r>
      <w:r w:rsidR="00F43D67" w:rsidRPr="00B31EE2">
        <w:rPr>
          <w:rFonts w:eastAsiaTheme="minorEastAsia"/>
        </w:rPr>
        <w:t>The lysates were trans</w:t>
      </w:r>
      <w:r w:rsidR="002E367E" w:rsidRPr="00B31EE2">
        <w:rPr>
          <w:rFonts w:eastAsiaTheme="minorEastAsia"/>
        </w:rPr>
        <w:t>ferred</w:t>
      </w:r>
      <w:r w:rsidR="00F43D67" w:rsidRPr="00B31EE2">
        <w:rPr>
          <w:rFonts w:eastAsiaTheme="minorEastAsia"/>
        </w:rPr>
        <w:t xml:space="preserve"> into a 1.5 ml tube</w:t>
      </w:r>
      <w:r w:rsidR="002E367E" w:rsidRPr="00B31EE2">
        <w:rPr>
          <w:rFonts w:eastAsiaTheme="minorEastAsia"/>
        </w:rPr>
        <w:t xml:space="preserve">, </w:t>
      </w:r>
      <w:r w:rsidR="00F43D67" w:rsidRPr="00B31EE2">
        <w:rPr>
          <w:rFonts w:eastAsiaTheme="minorEastAsia"/>
        </w:rPr>
        <w:t>sonicate</w:t>
      </w:r>
      <w:r w:rsidR="002E367E" w:rsidRPr="00B31EE2">
        <w:rPr>
          <w:rFonts w:eastAsiaTheme="minorEastAsia"/>
        </w:rPr>
        <w:t>d</w:t>
      </w:r>
      <w:r w:rsidR="00F43D67" w:rsidRPr="00B31EE2">
        <w:rPr>
          <w:rFonts w:eastAsiaTheme="minorEastAsia"/>
        </w:rPr>
        <w:t xml:space="preserve"> on ice</w:t>
      </w:r>
      <w:r w:rsidR="000D1113" w:rsidRPr="00B31EE2">
        <w:rPr>
          <w:rFonts w:eastAsiaTheme="minorEastAsia"/>
        </w:rPr>
        <w:t xml:space="preserve"> </w:t>
      </w:r>
      <w:r w:rsidR="00F43D67" w:rsidRPr="00B31EE2">
        <w:rPr>
          <w:rFonts w:eastAsiaTheme="minorEastAsia"/>
        </w:rPr>
        <w:t xml:space="preserve">(water-bath </w:t>
      </w:r>
      <w:proofErr w:type="spellStart"/>
      <w:r w:rsidR="00F43D67" w:rsidRPr="00B31EE2">
        <w:rPr>
          <w:rFonts w:eastAsiaTheme="minorEastAsia"/>
        </w:rPr>
        <w:t>sonicator</w:t>
      </w:r>
      <w:proofErr w:type="spellEnd"/>
      <w:r w:rsidR="00F43D67" w:rsidRPr="00B31EE2">
        <w:rPr>
          <w:rFonts w:eastAsiaTheme="minorEastAsia"/>
        </w:rPr>
        <w:t>) for 20mins</w:t>
      </w:r>
      <w:r w:rsidR="000D1113" w:rsidRPr="00B31EE2">
        <w:rPr>
          <w:rFonts w:eastAsiaTheme="minorEastAsia"/>
        </w:rPr>
        <w:t xml:space="preserve"> and s</w:t>
      </w:r>
      <w:r w:rsidR="00F43D67" w:rsidRPr="00B31EE2">
        <w:rPr>
          <w:rFonts w:eastAsiaTheme="minorEastAsia"/>
        </w:rPr>
        <w:t>p</w:t>
      </w:r>
      <w:r w:rsidR="000D1113" w:rsidRPr="00B31EE2">
        <w:rPr>
          <w:rFonts w:eastAsiaTheme="minorEastAsia"/>
        </w:rPr>
        <w:t>u</w:t>
      </w:r>
      <w:r w:rsidR="00F43D67" w:rsidRPr="00B31EE2">
        <w:rPr>
          <w:rFonts w:eastAsiaTheme="minorEastAsia"/>
        </w:rPr>
        <w:t xml:space="preserve">n at 13000rpm for 30mins at 4C to remove tissue </w:t>
      </w:r>
      <w:r w:rsidR="00F43D67" w:rsidRPr="00B31EE2">
        <w:rPr>
          <w:rFonts w:eastAsiaTheme="minorEastAsia"/>
        </w:rPr>
        <w:lastRenderedPageBreak/>
        <w:t>debris</w:t>
      </w:r>
      <w:r w:rsidR="00112F21" w:rsidRPr="00B31EE2">
        <w:rPr>
          <w:rFonts w:eastAsiaTheme="minorEastAsia"/>
        </w:rPr>
        <w:t xml:space="preserve">. </w:t>
      </w:r>
      <w:r w:rsidR="00112F21" w:rsidRPr="00B31EE2">
        <w:t>P</w:t>
      </w:r>
      <w:r w:rsidRPr="00B31EE2">
        <w:t xml:space="preserve">rotein concentrations </w:t>
      </w:r>
      <w:r w:rsidR="00112F21" w:rsidRPr="00B31EE2">
        <w:t>was</w:t>
      </w:r>
      <w:r w:rsidRPr="00B31EE2">
        <w:t xml:space="preserve"> determined by BCA Protein Assay (Pierce). Protein samples were resolved by SDS-PAGE and transferred to nitrocellulose membranes. Membranes were blocked in Odyssey blocking buffer (LI-COR) for 1 hour at room temperature and incubated with the appropriate primary antibodies overnight at 4°C: anti-EGFR (</w:t>
      </w:r>
      <w:r w:rsidR="00A978F7" w:rsidRPr="00B31EE2">
        <w:t>Cell Signaling Technology</w:t>
      </w:r>
      <w:r w:rsidR="00871ACD">
        <w:t>, Cat</w:t>
      </w:r>
      <w:r w:rsidR="00871ACD" w:rsidRPr="00B31EE2">
        <w:t>#2239</w:t>
      </w:r>
      <w:r w:rsidRPr="00B31EE2">
        <w:t>)</w:t>
      </w:r>
      <w:r w:rsidR="009535FC" w:rsidRPr="00B31EE2">
        <w:t xml:space="preserve"> at 1:1000</w:t>
      </w:r>
      <w:r w:rsidRPr="00B31EE2">
        <w:t>, anti-Met (Cell Signaling Technology</w:t>
      </w:r>
      <w:r w:rsidR="00871ACD">
        <w:t>, Cat</w:t>
      </w:r>
      <w:r w:rsidR="00871ACD" w:rsidRPr="00B31EE2">
        <w:t>#3138</w:t>
      </w:r>
      <w:r w:rsidRPr="00B31EE2">
        <w:t>)</w:t>
      </w:r>
      <w:r w:rsidR="009535FC" w:rsidRPr="00B31EE2">
        <w:t xml:space="preserve"> at 1:1000</w:t>
      </w:r>
      <w:r w:rsidRPr="00B31EE2">
        <w:t xml:space="preserve">, </w:t>
      </w:r>
      <w:r w:rsidR="00AA57E6" w:rsidRPr="00B31EE2">
        <w:t>anti-pEGFR (Cell Signaling Technology</w:t>
      </w:r>
      <w:r w:rsidR="00871ACD">
        <w:t>, Cat</w:t>
      </w:r>
      <w:r w:rsidR="00871ACD" w:rsidRPr="00B31EE2">
        <w:t>#3777</w:t>
      </w:r>
      <w:r w:rsidR="00AA57E6" w:rsidRPr="00B31EE2">
        <w:t>)</w:t>
      </w:r>
      <w:r w:rsidR="009535FC" w:rsidRPr="00B31EE2">
        <w:t xml:space="preserve"> at 1:1000</w:t>
      </w:r>
      <w:r w:rsidR="00AA57E6" w:rsidRPr="00B31EE2">
        <w:t>, anti-</w:t>
      </w:r>
      <w:r w:rsidR="00960E42" w:rsidRPr="00B31EE2">
        <w:t>p</w:t>
      </w:r>
      <w:r w:rsidR="00AA57E6" w:rsidRPr="00B31EE2">
        <w:t>Met (Cell Signaling Technology</w:t>
      </w:r>
      <w:r w:rsidR="00871ACD">
        <w:t>, Cat</w:t>
      </w:r>
      <w:r w:rsidR="00871ACD" w:rsidRPr="00B31EE2">
        <w:t>#3077</w:t>
      </w:r>
      <w:r w:rsidR="00AA57E6" w:rsidRPr="00B31EE2">
        <w:t>)</w:t>
      </w:r>
      <w:r w:rsidR="009535FC" w:rsidRPr="00B31EE2">
        <w:t xml:space="preserve"> at 1:1000</w:t>
      </w:r>
      <w:r w:rsidR="00AA57E6" w:rsidRPr="00B31EE2">
        <w:t>,</w:t>
      </w:r>
      <w:r w:rsidRPr="00B31EE2">
        <w:t xml:space="preserve"> and anti-GAPDH (</w:t>
      </w:r>
      <w:proofErr w:type="spellStart"/>
      <w:r w:rsidR="007A78F1" w:rsidRPr="00B31EE2">
        <w:t>Kangchen</w:t>
      </w:r>
      <w:proofErr w:type="spellEnd"/>
      <w:r w:rsidR="007A78F1" w:rsidRPr="00B31EE2">
        <w:t xml:space="preserve"> Biotech</w:t>
      </w:r>
      <w:r w:rsidR="00871ACD">
        <w:t>, Cat</w:t>
      </w:r>
      <w:r w:rsidR="00871ACD" w:rsidRPr="00B31EE2">
        <w:t>#KC-5G4</w:t>
      </w:r>
      <w:r w:rsidRPr="00B31EE2">
        <w:t>)</w:t>
      </w:r>
      <w:r w:rsidR="00D378A3" w:rsidRPr="00B31EE2">
        <w:t xml:space="preserve"> at 1:10,000</w:t>
      </w:r>
      <w:r w:rsidRPr="00B31EE2">
        <w:t xml:space="preserve">. Bands were detected with anti-mouse IRDye680 (LI-COR) or anti-rabbit IRDye800 (LI-COR) and imaged using an Odyssey Infrared Imaging System (LI-COR). Average total protein quantitated from Western blots, relative to loading control (GAPDH), was graphed and statistical analysis performed using GraphPad Prism. </w:t>
      </w:r>
    </w:p>
    <w:p w14:paraId="656B523F" w14:textId="77777777" w:rsidR="007A78F1" w:rsidRPr="00B31EE2" w:rsidRDefault="007A78F1" w:rsidP="007A78F1">
      <w:pPr>
        <w:spacing w:line="480" w:lineRule="auto"/>
        <w:contextualSpacing/>
        <w:outlineLvl w:val="1"/>
        <w:rPr>
          <w:b/>
        </w:rPr>
      </w:pPr>
    </w:p>
    <w:p w14:paraId="180D6B73" w14:textId="77777777" w:rsidR="008C0F12" w:rsidRPr="00B31EE2" w:rsidRDefault="008C0F12" w:rsidP="008C0F12">
      <w:pPr>
        <w:spacing w:line="480" w:lineRule="auto"/>
        <w:contextualSpacing/>
        <w:outlineLvl w:val="1"/>
        <w:rPr>
          <w:b/>
        </w:rPr>
      </w:pPr>
      <w:r w:rsidRPr="00B31EE2">
        <w:rPr>
          <w:b/>
        </w:rPr>
        <w:t>Flow cytometry-based determination of tumor associated macrophages</w:t>
      </w:r>
    </w:p>
    <w:p w14:paraId="55DFD3F2" w14:textId="77777777" w:rsidR="008C0F12" w:rsidRPr="00B31EE2" w:rsidRDefault="008C0F12" w:rsidP="008C0F12">
      <w:pPr>
        <w:spacing w:line="480" w:lineRule="auto"/>
      </w:pPr>
      <w:r w:rsidRPr="00B31EE2">
        <w:t>Tumors were excised from mice, weighed, sectioned into 2-4mm pieces, placed into C-tubes (</w:t>
      </w:r>
      <w:proofErr w:type="spellStart"/>
      <w:r w:rsidRPr="00B31EE2">
        <w:t>Miltenyi</w:t>
      </w:r>
      <w:proofErr w:type="spellEnd"/>
      <w:r w:rsidRPr="00B31EE2">
        <w:t>, Cat#130-093-237) containing 2.5mL of RPMI and maintained on ice. According to manufacturer’s instruction, the lyophilized enzymes contained in a Human Tumor Dissociation Kit (</w:t>
      </w:r>
      <w:proofErr w:type="spellStart"/>
      <w:r w:rsidRPr="00B31EE2">
        <w:t>Miltenyi</w:t>
      </w:r>
      <w:proofErr w:type="spellEnd"/>
      <w:r w:rsidRPr="00B31EE2">
        <w:t xml:space="preserve">, Cat#130-095-929) were reconstituted and a 2x enzyme cocktail was prepared and tumors were dissociated on a </w:t>
      </w:r>
      <w:proofErr w:type="spellStart"/>
      <w:r w:rsidRPr="00B31EE2">
        <w:t>GentleMACS</w:t>
      </w:r>
      <w:proofErr w:type="spellEnd"/>
      <w:r w:rsidRPr="00B31EE2">
        <w:t xml:space="preserve"> Octo </w:t>
      </w:r>
      <w:proofErr w:type="spellStart"/>
      <w:r w:rsidRPr="00B31EE2">
        <w:t>Dissociator</w:t>
      </w:r>
      <w:proofErr w:type="spellEnd"/>
      <w:r w:rsidRPr="00B31EE2">
        <w:t xml:space="preserve"> (</w:t>
      </w:r>
      <w:proofErr w:type="spellStart"/>
      <w:r w:rsidRPr="00B31EE2">
        <w:t>Miltenyi</w:t>
      </w:r>
      <w:proofErr w:type="spellEnd"/>
      <w:r w:rsidRPr="00B31EE2">
        <w:t xml:space="preserve">, Cat#130-095-937) using manufacture protocol “h_tumor_01” followed by two rounds of incubation at 37°C for 30 minutes. Dissociated cells were washed twice in FACS Stain Buffer (BD Pharmingen, Cat#554657) and passed through a Falcon 40µm cell strainer (Corning, Cat#352340). Cells were incubated in </w:t>
      </w:r>
      <w:proofErr w:type="spellStart"/>
      <w:r w:rsidRPr="00B31EE2">
        <w:t>GolgiPlug</w:t>
      </w:r>
      <w:proofErr w:type="spellEnd"/>
      <w:r w:rsidRPr="00B31EE2">
        <w:t xml:space="preserve"> (BD, Cat#555029) diluted 1:1000 in FACS buffer and incubated for 3 hours at 37°C, washed twice, and resuspended in 100µL of antibody staining cocktail. The </w:t>
      </w:r>
      <w:r w:rsidRPr="00B31EE2">
        <w:lastRenderedPageBreak/>
        <w:t>antibody cocktail consisted of anti-CD45 (Cat#103138), anti-F4/80 (Cat#123137), anti-Ly6G (Cat#127639), anti-MHCII (Cat#107612), anti-</w:t>
      </w:r>
      <w:proofErr w:type="spellStart"/>
      <w:r w:rsidRPr="00B31EE2">
        <w:t>EpCAM</w:t>
      </w:r>
      <w:proofErr w:type="spellEnd"/>
      <w:r w:rsidRPr="00B31EE2">
        <w:t xml:space="preserve"> (Cat#324214), anti-PD1 (Cat#135231), anti-PD-L1 (Cat#393606), anti-CD206 (Cat#141729) from </w:t>
      </w:r>
      <w:proofErr w:type="spellStart"/>
      <w:r w:rsidRPr="00B31EE2">
        <w:t>BioLegend</w:t>
      </w:r>
      <w:proofErr w:type="spellEnd"/>
      <w:r w:rsidRPr="00B31EE2">
        <w:t>, anti-CD11b (Cat#563553) and anti-Ly6C (Cat#561237) from Becton-Dickinson, anti-</w:t>
      </w:r>
      <w:proofErr w:type="spellStart"/>
      <w:r w:rsidRPr="00B31EE2">
        <w:t>iNOS</w:t>
      </w:r>
      <w:proofErr w:type="spellEnd"/>
      <w:r w:rsidRPr="00B31EE2">
        <w:t xml:space="preserve"> (Cat#25-5920-82) and Fixable Live/Dead stain (Cat#L10119) from Invitrogen. Cells were incubated with external cell surface marker antibodies for 30 minutes at 4°C protected from light, washed twice with PBS, and resuspended in PBS containing Fixable Live/Dead stain, incubated for 30 minutes at 4°C, and washed twice with FACS buffer (BD Pharmingen; Cat#554657). Cells were fixed/permeabilized according to manufacturer’s instructions (Invitrogen, Cat#88-8824-00), incubated with internal target antibodies for 30 minutes at 4°C, washed 2x with FACS buffer, and resuspended in 200 µL for analysis on BD LSR </w:t>
      </w:r>
      <w:proofErr w:type="spellStart"/>
      <w:r w:rsidRPr="00B31EE2">
        <w:t>Fortessa</w:t>
      </w:r>
      <w:proofErr w:type="spellEnd"/>
      <w:r w:rsidRPr="00B31EE2">
        <w:t xml:space="preserve">. Compensation was performed using </w:t>
      </w:r>
      <w:proofErr w:type="spellStart"/>
      <w:r w:rsidRPr="00B31EE2">
        <w:t>UltraComp</w:t>
      </w:r>
      <w:proofErr w:type="spellEnd"/>
      <w:r w:rsidRPr="00B31EE2">
        <w:t xml:space="preserve"> </w:t>
      </w:r>
      <w:proofErr w:type="spellStart"/>
      <w:r w:rsidRPr="00B31EE2">
        <w:t>eBeads</w:t>
      </w:r>
      <w:proofErr w:type="spellEnd"/>
      <w:r w:rsidRPr="00B31EE2">
        <w:t xml:space="preserve"> (for antibodies; Invitrogen, Cat#01-2222-42) and </w:t>
      </w:r>
      <w:proofErr w:type="spellStart"/>
      <w:r w:rsidRPr="00B31EE2">
        <w:t>ArC</w:t>
      </w:r>
      <w:proofErr w:type="spellEnd"/>
      <w:r w:rsidRPr="00B31EE2">
        <w:t xml:space="preserve"> Amine Reactive beads (for Fixable Live/Dead, Invitrogen, Cat#A10346). FMO controls were performed for all markers. To determine tumor associated macrophage depletion, macrophages were defined as CD45</w:t>
      </w:r>
      <w:r w:rsidRPr="00B31EE2">
        <w:rPr>
          <w:vertAlign w:val="superscript"/>
        </w:rPr>
        <w:t xml:space="preserve">+ </w:t>
      </w:r>
      <w:r w:rsidRPr="00B31EE2">
        <w:t>CD11b</w:t>
      </w:r>
      <w:r w:rsidRPr="00B31EE2">
        <w:rPr>
          <w:vertAlign w:val="superscript"/>
        </w:rPr>
        <w:t>+</w:t>
      </w:r>
      <w:r w:rsidRPr="00B31EE2">
        <w:t xml:space="preserve"> Ly6C</w:t>
      </w:r>
      <w:r w:rsidRPr="00B31EE2">
        <w:rPr>
          <w:vertAlign w:val="superscript"/>
        </w:rPr>
        <w:t>-</w:t>
      </w:r>
      <w:r w:rsidRPr="00B31EE2">
        <w:t xml:space="preserve"> Ly6G</w:t>
      </w:r>
      <w:r w:rsidRPr="00B31EE2">
        <w:rPr>
          <w:vertAlign w:val="superscript"/>
        </w:rPr>
        <w:t>-</w:t>
      </w:r>
      <w:r w:rsidRPr="00B31EE2">
        <w:t xml:space="preserve"> F4/80</w:t>
      </w:r>
      <w:r w:rsidRPr="00B31EE2">
        <w:rPr>
          <w:vertAlign w:val="superscript"/>
        </w:rPr>
        <w:t>+</w:t>
      </w:r>
      <w:r w:rsidRPr="00B31EE2">
        <w:t>.</w:t>
      </w:r>
    </w:p>
    <w:p w14:paraId="06D2DB76" w14:textId="77777777" w:rsidR="008C0F12" w:rsidRPr="00B31EE2" w:rsidRDefault="008C0F12" w:rsidP="008C0F12">
      <w:pPr>
        <w:spacing w:line="480" w:lineRule="auto"/>
        <w:contextualSpacing/>
        <w:rPr>
          <w:highlight w:val="yellow"/>
        </w:rPr>
      </w:pPr>
    </w:p>
    <w:p w14:paraId="6239EA99" w14:textId="31B817C1" w:rsidR="006D6554" w:rsidRPr="00B31EE2" w:rsidRDefault="006D6554">
      <w:pPr>
        <w:spacing w:after="200" w:line="276" w:lineRule="auto"/>
      </w:pPr>
      <w:r w:rsidRPr="00B31EE2">
        <w:br w:type="page"/>
      </w:r>
    </w:p>
    <w:p w14:paraId="62E9DA47" w14:textId="77777777" w:rsidR="008C0F12" w:rsidRPr="00B31EE2" w:rsidRDefault="008C0F12" w:rsidP="008C0F12">
      <w:pPr>
        <w:spacing w:line="480" w:lineRule="auto"/>
        <w:contextualSpacing/>
        <w:outlineLvl w:val="0"/>
        <w:rPr>
          <w:b/>
        </w:rPr>
      </w:pPr>
      <w:r w:rsidRPr="00B31EE2">
        <w:rPr>
          <w:b/>
        </w:rPr>
        <w:lastRenderedPageBreak/>
        <w:t>SUPPLEMENTARY FIGURE LEGENDS</w:t>
      </w:r>
    </w:p>
    <w:p w14:paraId="4067C8CF" w14:textId="71A04787" w:rsidR="008C0F12" w:rsidRPr="00B31EE2" w:rsidRDefault="008C0F12" w:rsidP="008C0F12">
      <w:pPr>
        <w:spacing w:line="480" w:lineRule="auto"/>
        <w:contextualSpacing/>
        <w:outlineLvl w:val="1"/>
        <w:rPr>
          <w:lang w:eastAsia="x-none"/>
        </w:rPr>
      </w:pPr>
      <w:r w:rsidRPr="00B31EE2">
        <w:rPr>
          <w:b/>
          <w:lang w:eastAsia="x-none"/>
        </w:rPr>
        <w:t xml:space="preserve">Supplementary Figure S1. </w:t>
      </w:r>
      <w:r w:rsidR="00836FAC" w:rsidRPr="00B31EE2">
        <w:rPr>
          <w:b/>
          <w:bCs/>
        </w:rPr>
        <w:t>Amivantamab</w:t>
      </w:r>
      <w:r w:rsidRPr="00B31EE2">
        <w:rPr>
          <w:b/>
          <w:lang w:eastAsia="x-none"/>
        </w:rPr>
        <w:t xml:space="preserve"> Fc interaction with immune cells is required for tumor cell growth inhibition: A) </w:t>
      </w:r>
      <w:r w:rsidRPr="00B31EE2">
        <w:rPr>
          <w:bCs/>
          <w:lang w:eastAsia="x-none"/>
        </w:rPr>
        <w:t xml:space="preserve">Time course of H1975 cell proliferation upon treatment with </w:t>
      </w:r>
      <w:r w:rsidR="00836FAC" w:rsidRPr="00B31EE2">
        <w:t>amivantamab</w:t>
      </w:r>
      <w:r w:rsidRPr="00B31EE2">
        <w:rPr>
          <w:bCs/>
          <w:lang w:eastAsia="x-none"/>
        </w:rPr>
        <w:t xml:space="preserve"> in the absence (left) or presence (right) of PBMCs </w:t>
      </w:r>
      <w:r w:rsidRPr="00B31EE2">
        <w:rPr>
          <w:lang w:eastAsia="x-none"/>
        </w:rPr>
        <w:t xml:space="preserve">(Donor #6) </w:t>
      </w:r>
      <w:r w:rsidRPr="00B31EE2">
        <w:rPr>
          <w:bCs/>
          <w:lang w:eastAsia="x-none"/>
        </w:rPr>
        <w:t xml:space="preserve">at </w:t>
      </w:r>
      <w:r w:rsidRPr="00B31EE2">
        <w:rPr>
          <w:lang w:eastAsia="x-none"/>
        </w:rPr>
        <w:t>an E:T ratio of 10:1.</w:t>
      </w:r>
      <w:r w:rsidRPr="00B31EE2">
        <w:rPr>
          <w:bCs/>
          <w:lang w:eastAsia="x-none"/>
        </w:rPr>
        <w:t xml:space="preserve"> </w:t>
      </w:r>
      <w:r w:rsidRPr="00B31EE2">
        <w:rPr>
          <w:b/>
          <w:lang w:eastAsia="x-none"/>
        </w:rPr>
        <w:t>B)</w:t>
      </w:r>
      <w:r w:rsidRPr="00B31EE2">
        <w:rPr>
          <w:bCs/>
          <w:lang w:eastAsia="x-none"/>
        </w:rPr>
        <w:t xml:space="preserve"> Representative</w:t>
      </w:r>
      <w:r w:rsidRPr="00B31EE2">
        <w:rPr>
          <w:lang w:eastAsia="x-none"/>
        </w:rPr>
        <w:t xml:space="preserve"> images showing dose-dependent effect on proliferation of NucLight Red labeled H1975 cells upon treatment with increasing concentrations of </w:t>
      </w:r>
      <w:r w:rsidR="00E3002A">
        <w:rPr>
          <w:lang w:eastAsia="x-none"/>
        </w:rPr>
        <w:t>i</w:t>
      </w:r>
      <w:r w:rsidRPr="00B31EE2">
        <w:rPr>
          <w:lang w:eastAsia="x-none"/>
        </w:rPr>
        <w:t xml:space="preserve">sotype control, </w:t>
      </w:r>
      <w:r w:rsidR="00836FAC" w:rsidRPr="00B31EE2">
        <w:t>amivantamab</w:t>
      </w:r>
      <w:r w:rsidRPr="00B31EE2">
        <w:rPr>
          <w:lang w:eastAsia="x-none"/>
        </w:rPr>
        <w:t xml:space="preserve"> or </w:t>
      </w:r>
      <w:r w:rsidR="00FA7155">
        <w:rPr>
          <w:lang w:eastAsia="x-none"/>
        </w:rPr>
        <w:t>EGFR/cMet-IgG2</w:t>
      </w:r>
      <w:r w:rsidR="00FA7155" w:rsidRPr="00786497">
        <w:rPr>
          <w:color w:val="000000"/>
        </w:rPr>
        <w:t xml:space="preserve">σ </w:t>
      </w:r>
      <w:r w:rsidRPr="00B31EE2">
        <w:rPr>
          <w:lang w:eastAsia="x-none"/>
        </w:rPr>
        <w:t>in the presence or absence of PBMCs (Donor #6) at an E:T ratio of 10:1 for 72 hours.</w:t>
      </w:r>
      <w:r w:rsidRPr="00B31EE2">
        <w:rPr>
          <w:b/>
          <w:bCs/>
          <w:lang w:eastAsia="x-none"/>
        </w:rPr>
        <w:t xml:space="preserve"> C)</w:t>
      </w:r>
      <w:r w:rsidRPr="00B31EE2">
        <w:rPr>
          <w:lang w:eastAsia="x-none"/>
        </w:rPr>
        <w:t xml:space="preserve"> Dose-response curves measuring proliferation (AUC of Total NucRed area/well) of H1975 cells upon treatment with isotype control</w:t>
      </w:r>
      <w:r w:rsidR="00433233">
        <w:rPr>
          <w:lang w:eastAsia="x-none"/>
        </w:rPr>
        <w:t xml:space="preserve"> or</w:t>
      </w:r>
      <w:r w:rsidRPr="00B31EE2">
        <w:rPr>
          <w:lang w:eastAsia="x-none"/>
        </w:rPr>
        <w:t xml:space="preserve"> </w:t>
      </w:r>
      <w:r w:rsidR="00836FAC" w:rsidRPr="00B31EE2">
        <w:t>amivantamab</w:t>
      </w:r>
      <w:r w:rsidRPr="00B31EE2">
        <w:rPr>
          <w:lang w:eastAsia="x-none"/>
        </w:rPr>
        <w:t xml:space="preserve">, in the presence or absence of PBMCs from Donor #6 at an E:T ratio of 10:1 for the indicated time points. </w:t>
      </w:r>
    </w:p>
    <w:p w14:paraId="2354E84C" w14:textId="77777777" w:rsidR="00E53093" w:rsidRPr="00B31EE2" w:rsidRDefault="00E53093" w:rsidP="008C0F12">
      <w:pPr>
        <w:spacing w:line="480" w:lineRule="auto"/>
        <w:contextualSpacing/>
        <w:outlineLvl w:val="1"/>
        <w:rPr>
          <w:bCs/>
          <w:lang w:eastAsia="x-none"/>
        </w:rPr>
      </w:pPr>
    </w:p>
    <w:p w14:paraId="64310854" w14:textId="1FFF7C50" w:rsidR="008C0F12" w:rsidRPr="00B31EE2" w:rsidRDefault="008C0F12" w:rsidP="008C0F12">
      <w:pPr>
        <w:spacing w:line="480" w:lineRule="auto"/>
        <w:contextualSpacing/>
        <w:outlineLvl w:val="1"/>
        <w:rPr>
          <w:lang w:eastAsia="x-none"/>
        </w:rPr>
      </w:pPr>
      <w:r w:rsidRPr="00B31EE2">
        <w:rPr>
          <w:b/>
          <w:lang w:eastAsia="x-none"/>
        </w:rPr>
        <w:t xml:space="preserve">Supplementary Figure S2. </w:t>
      </w:r>
      <w:r w:rsidR="00836FAC" w:rsidRPr="00B31EE2">
        <w:rPr>
          <w:b/>
          <w:bCs/>
        </w:rPr>
        <w:t>Amivantamab</w:t>
      </w:r>
      <w:r w:rsidRPr="00B31EE2">
        <w:rPr>
          <w:b/>
          <w:lang w:eastAsia="x-none"/>
        </w:rPr>
        <w:t xml:space="preserve"> Fc interaction with immune cells is crucial for anti-tumor effect in H975 and SNU5 cells </w:t>
      </w:r>
      <w:r w:rsidRPr="00B31EE2">
        <w:rPr>
          <w:b/>
          <w:i/>
          <w:iCs/>
          <w:lang w:eastAsia="x-none"/>
        </w:rPr>
        <w:t>in vitro</w:t>
      </w:r>
      <w:r w:rsidRPr="00B31EE2">
        <w:rPr>
          <w:b/>
          <w:lang w:eastAsia="x-none"/>
        </w:rPr>
        <w:t xml:space="preserve">: A) </w:t>
      </w:r>
      <w:r w:rsidRPr="00B31EE2">
        <w:rPr>
          <w:bCs/>
          <w:lang w:eastAsia="x-none"/>
        </w:rPr>
        <w:t>Representative</w:t>
      </w:r>
      <w:r w:rsidRPr="00B31EE2">
        <w:rPr>
          <w:lang w:eastAsia="x-none"/>
        </w:rPr>
        <w:t xml:space="preserve"> images showing dose-dependent effect on proliferation of NucLight Red labeled H1975 cells upon treatment with increasing concentrations of isotype control, </w:t>
      </w:r>
      <w:r w:rsidR="00836FAC" w:rsidRPr="00B31EE2">
        <w:t>amivantamab</w:t>
      </w:r>
      <w:r w:rsidRPr="00B31EE2">
        <w:rPr>
          <w:lang w:eastAsia="x-none"/>
        </w:rPr>
        <w:t xml:space="preserve"> or EGFR/cMet-IgG2</w:t>
      </w:r>
      <w:r w:rsidRPr="00B31EE2">
        <w:t xml:space="preserve">σ </w:t>
      </w:r>
      <w:r w:rsidRPr="00B31EE2">
        <w:rPr>
          <w:lang w:eastAsia="x-none"/>
        </w:rPr>
        <w:t xml:space="preserve">in the presence or absence of PBMCs from a donor #3 at an E:T ratio of 10:1 for 72 hours. </w:t>
      </w:r>
      <w:r w:rsidRPr="00B31EE2">
        <w:rPr>
          <w:b/>
          <w:bCs/>
          <w:lang w:eastAsia="x-none"/>
        </w:rPr>
        <w:t>B)</w:t>
      </w:r>
      <w:r w:rsidRPr="00B31EE2">
        <w:rPr>
          <w:lang w:eastAsia="x-none"/>
        </w:rPr>
        <w:t xml:space="preserve"> Dose-response curves measuring cell proliferation post 72 hours (AUC of Total NucRed area/well) and apoptosis post 48 hours (AUC of Total Annexin+ NucRed area/well) upon treatment with isotype control, </w:t>
      </w:r>
      <w:r w:rsidR="00836FAC" w:rsidRPr="00B31EE2">
        <w:t>amivantamab</w:t>
      </w:r>
      <w:r w:rsidRPr="00B31EE2">
        <w:rPr>
          <w:lang w:eastAsia="x-none"/>
        </w:rPr>
        <w:t xml:space="preserve"> or EGFR/cMet-IgG2</w:t>
      </w:r>
      <w:r w:rsidRPr="00B31EE2">
        <w:t>σ (IgG2σ) antibodies</w:t>
      </w:r>
      <w:r w:rsidRPr="00B31EE2">
        <w:rPr>
          <w:lang w:eastAsia="x-none"/>
        </w:rPr>
        <w:t xml:space="preserve">, in presence or absence of PBMCs from Donor #3 at an E:T ratio of 10:1. </w:t>
      </w:r>
      <w:r w:rsidRPr="00B31EE2">
        <w:rPr>
          <w:b/>
          <w:bCs/>
          <w:lang w:eastAsia="x-none"/>
        </w:rPr>
        <w:t xml:space="preserve">C) </w:t>
      </w:r>
      <w:r w:rsidRPr="00B31EE2">
        <w:rPr>
          <w:bCs/>
          <w:lang w:eastAsia="x-none"/>
        </w:rPr>
        <w:t>Representative</w:t>
      </w:r>
      <w:r w:rsidRPr="00B31EE2">
        <w:rPr>
          <w:lang w:eastAsia="x-none"/>
        </w:rPr>
        <w:t xml:space="preserve"> images showing does-dependent effect on proliferation of NucLight Red labeled SNU-5 cells upon treatment with </w:t>
      </w:r>
      <w:r w:rsidRPr="00B31EE2">
        <w:rPr>
          <w:lang w:eastAsia="x-none"/>
        </w:rPr>
        <w:lastRenderedPageBreak/>
        <w:t xml:space="preserve">increasing concentrations of Isotype control, </w:t>
      </w:r>
      <w:r w:rsidR="00836FAC" w:rsidRPr="00B31EE2">
        <w:t>amivantamab</w:t>
      </w:r>
      <w:r w:rsidRPr="00B31EE2">
        <w:rPr>
          <w:lang w:eastAsia="x-none"/>
        </w:rPr>
        <w:t xml:space="preserve"> or EGFR/cMet-IgG2</w:t>
      </w:r>
      <w:r w:rsidRPr="00B31EE2">
        <w:t xml:space="preserve">σ </w:t>
      </w:r>
      <w:r w:rsidRPr="00B31EE2">
        <w:rPr>
          <w:lang w:eastAsia="x-none"/>
        </w:rPr>
        <w:t>in the presence or absence of PBMCs (Donor #3) at an E:T ratio of 10:1 for 72 hours.</w:t>
      </w:r>
    </w:p>
    <w:p w14:paraId="48197DE5" w14:textId="77777777" w:rsidR="008C0F12" w:rsidRPr="00B31EE2" w:rsidRDefault="008C0F12" w:rsidP="006D6554"/>
    <w:p w14:paraId="14FF8BF1" w14:textId="63E87519" w:rsidR="008C0F12" w:rsidRPr="00B31EE2" w:rsidRDefault="008C0F12" w:rsidP="006D6554">
      <w:pPr>
        <w:spacing w:line="480" w:lineRule="auto"/>
        <w:contextualSpacing/>
        <w:outlineLvl w:val="1"/>
      </w:pPr>
      <w:r w:rsidRPr="00B31EE2">
        <w:rPr>
          <w:b/>
          <w:lang w:eastAsia="x-none"/>
        </w:rPr>
        <w:t xml:space="preserve">Supplementary Figure S3. </w:t>
      </w:r>
      <w:r w:rsidR="00836FAC" w:rsidRPr="00B31EE2">
        <w:rPr>
          <w:b/>
          <w:bCs/>
        </w:rPr>
        <w:t>Amivantamab</w:t>
      </w:r>
      <w:r w:rsidR="00836FAC" w:rsidRPr="00B31EE2">
        <w:rPr>
          <w:b/>
          <w:lang w:eastAsia="x-none"/>
        </w:rPr>
        <w:t xml:space="preserve"> </w:t>
      </w:r>
      <w:r w:rsidRPr="00B31EE2">
        <w:rPr>
          <w:b/>
          <w:lang w:eastAsia="x-none"/>
        </w:rPr>
        <w:t xml:space="preserve">Fc interaction induces ADCC, C1q binding and ADCR but not CDC in NSCLC: A) </w:t>
      </w:r>
      <w:r w:rsidRPr="00B31EE2">
        <w:t xml:space="preserve">BATDA-loaded H1975 cells were treated for 2 hours with isotype, </w:t>
      </w:r>
      <w:r w:rsidR="00836FAC" w:rsidRPr="00B31EE2">
        <w:t>amivantamab</w:t>
      </w:r>
      <w:r w:rsidRPr="00B31EE2">
        <w:t xml:space="preserve"> or </w:t>
      </w:r>
      <w:r w:rsidRPr="00B31EE2">
        <w:rPr>
          <w:lang w:eastAsia="x-none"/>
        </w:rPr>
        <w:t>EGFR/cMet-IgG2</w:t>
      </w:r>
      <w:r w:rsidRPr="00B31EE2">
        <w:t xml:space="preserve">σ (IgG2σ) in presence of PBMCs from donor #7 at an E:T ratio of 25:1 and ADCC lysis measured by Europium release. </w:t>
      </w:r>
      <w:r w:rsidRPr="00B31EE2">
        <w:rPr>
          <w:b/>
          <w:bCs/>
        </w:rPr>
        <w:t>B)</w:t>
      </w:r>
      <w:r w:rsidRPr="00B31EE2">
        <w:t xml:space="preserve"> BATDA-loaded H1975 cells were treated for 2 hours with multiple concentrations of </w:t>
      </w:r>
      <w:r w:rsidR="00836FAC" w:rsidRPr="00B31EE2">
        <w:t>amivantamab</w:t>
      </w:r>
      <w:r w:rsidRPr="00B31EE2">
        <w:t xml:space="preserve"> in presence of PBMCs, NK cells or monocytes isolated from donor #4 at E:T ratios of 25:1, 5:1, and 5:1, respectively and ADCC lysis measured by Europium release</w:t>
      </w:r>
      <w:r w:rsidRPr="00B31EE2">
        <w:rPr>
          <w:bCs/>
        </w:rPr>
        <w:t xml:space="preserve">. </w:t>
      </w:r>
      <w:r w:rsidRPr="00B31EE2">
        <w:rPr>
          <w:b/>
          <w:lang w:eastAsia="x-none"/>
        </w:rPr>
        <w:t xml:space="preserve">C) </w:t>
      </w:r>
      <w:r w:rsidRPr="00B31EE2">
        <w:t xml:space="preserve">Dose response measuring the binding of labeled C1q protein onto the indicated concentrations of isotype control, cetuximab, rituximab, </w:t>
      </w:r>
      <w:r w:rsidR="00836FAC" w:rsidRPr="00B31EE2">
        <w:t>amivantamab</w:t>
      </w:r>
      <w:r w:rsidRPr="00B31EE2">
        <w:t xml:space="preserve"> or </w:t>
      </w:r>
      <w:r w:rsidRPr="00B31EE2">
        <w:rPr>
          <w:lang w:eastAsia="x-none"/>
        </w:rPr>
        <w:t>EGFR/cMet-IgG2</w:t>
      </w:r>
      <w:r w:rsidRPr="00B31EE2">
        <w:t xml:space="preserve">σ (IgG2σ). </w:t>
      </w:r>
      <w:r w:rsidRPr="00B31EE2">
        <w:rPr>
          <w:b/>
          <w:lang w:eastAsia="x-none"/>
        </w:rPr>
        <w:t xml:space="preserve">D) </w:t>
      </w:r>
      <w:r w:rsidRPr="00B31EE2">
        <w:t xml:space="preserve">Dose response of CDC lysis measured by LDH (Lactate dehydrogenase) levels from H292 target cells after 2 hours of treatment with </w:t>
      </w:r>
      <w:r w:rsidR="00836FAC" w:rsidRPr="00B31EE2">
        <w:t>amivantamab</w:t>
      </w:r>
      <w:r w:rsidRPr="00B31EE2">
        <w:t xml:space="preserve"> or </w:t>
      </w:r>
      <w:r w:rsidRPr="00B31EE2">
        <w:rPr>
          <w:lang w:eastAsia="x-none"/>
        </w:rPr>
        <w:t>EGFR/cMet-IgG2</w:t>
      </w:r>
      <w:r w:rsidRPr="00B31EE2">
        <w:t>σ (IgG2σ) in presence of 5% baby rabbit serum</w:t>
      </w:r>
      <w:r w:rsidRPr="00B31EE2">
        <w:rPr>
          <w:rFonts w:eastAsia="Verdana"/>
        </w:rPr>
        <w:t xml:space="preserve">. </w:t>
      </w:r>
      <w:r w:rsidRPr="00B31EE2">
        <w:rPr>
          <w:b/>
          <w:lang w:eastAsia="x-none"/>
        </w:rPr>
        <w:t xml:space="preserve">E) </w:t>
      </w:r>
      <w:r w:rsidRPr="00B31EE2">
        <w:t xml:space="preserve">Heat map showing data availability (no data, not enough data, or calculable data) of area under the curve (AUC) measurements from 71-plex MSD of PBMCs alone, H1975 cells in the presence or absence of PBMCs at an E:T of 10:1, followed by treatment with </w:t>
      </w:r>
      <w:r w:rsidR="00AB2B0D">
        <w:t>i</w:t>
      </w:r>
      <w:r w:rsidRPr="00B31EE2">
        <w:t xml:space="preserve">sotype control, </w:t>
      </w:r>
      <w:r w:rsidR="00836FAC" w:rsidRPr="00B31EE2">
        <w:t>amivantamab</w:t>
      </w:r>
      <w:r w:rsidRPr="00B31EE2">
        <w:t xml:space="preserve"> or </w:t>
      </w:r>
      <w:r w:rsidRPr="00B31EE2">
        <w:rPr>
          <w:lang w:eastAsia="x-none"/>
        </w:rPr>
        <w:t>EGFR/cMet-IgG2</w:t>
      </w:r>
      <w:r w:rsidRPr="00B31EE2">
        <w:t>σ (IgG2σ)</w:t>
      </w:r>
      <w:r w:rsidRPr="00B31EE2">
        <w:rPr>
          <w:lang w:eastAsia="x-none"/>
        </w:rPr>
        <w:t xml:space="preserve"> for 4 or 72 hrs</w:t>
      </w:r>
      <w:r w:rsidRPr="00B31EE2">
        <w:t xml:space="preserve">. </w:t>
      </w:r>
      <w:r w:rsidRPr="00B31EE2">
        <w:rPr>
          <w:b/>
          <w:lang w:eastAsia="x-none"/>
        </w:rPr>
        <w:t xml:space="preserve">F) </w:t>
      </w:r>
      <w:r w:rsidRPr="00B31EE2">
        <w:rPr>
          <w:bCs/>
          <w:lang w:eastAsia="x-none"/>
        </w:rPr>
        <w:t xml:space="preserve">Heat map of log-transformed AUC values </w:t>
      </w:r>
      <w:r w:rsidRPr="00B31EE2">
        <w:t xml:space="preserve">of cytokines from the 71-plex MSD analysis of PBMCs alone, H1975 cells alone or H1975 + PBMCs (E:T of 10:1) treated with isotype control, </w:t>
      </w:r>
      <w:r w:rsidR="00836FAC" w:rsidRPr="00B31EE2">
        <w:t>amivantamab</w:t>
      </w:r>
      <w:r w:rsidRPr="00B31EE2">
        <w:t xml:space="preserve">, cetuximab or </w:t>
      </w:r>
      <w:r w:rsidRPr="00B31EE2">
        <w:rPr>
          <w:lang w:eastAsia="x-none"/>
        </w:rPr>
        <w:t>EGFR/cMet-IgG2</w:t>
      </w:r>
      <w:r w:rsidRPr="00B31EE2">
        <w:t xml:space="preserve">σ (IgG2σ) </w:t>
      </w:r>
      <w:r w:rsidRPr="00B31EE2">
        <w:rPr>
          <w:lang w:eastAsia="x-none"/>
        </w:rPr>
        <w:t>for 72 hours</w:t>
      </w:r>
      <w:r w:rsidRPr="00B31EE2">
        <w:t xml:space="preserve">. </w:t>
      </w:r>
      <w:r w:rsidRPr="00B31EE2">
        <w:rPr>
          <w:b/>
          <w:bCs/>
        </w:rPr>
        <w:t>G)</w:t>
      </w:r>
      <w:r w:rsidRPr="00B31EE2">
        <w:t xml:space="preserve"> Bar graphs representing the relative change (measured in panel F) over isotype control upon treatment with </w:t>
      </w:r>
      <w:r w:rsidR="00836FAC" w:rsidRPr="00B31EE2">
        <w:t>amivantamab</w:t>
      </w:r>
      <w:r w:rsidRPr="00B31EE2">
        <w:t xml:space="preserve">, cetuximab and </w:t>
      </w:r>
      <w:r w:rsidRPr="00B31EE2">
        <w:rPr>
          <w:lang w:eastAsia="x-none"/>
        </w:rPr>
        <w:t>EGFR/cMet-IgG2</w:t>
      </w:r>
      <w:r w:rsidRPr="00B31EE2">
        <w:t xml:space="preserve">σ (IgG2σ) </w:t>
      </w:r>
      <w:r w:rsidRPr="00B31EE2">
        <w:rPr>
          <w:lang w:eastAsia="x-none"/>
        </w:rPr>
        <w:t>antibodies for 72 hours</w:t>
      </w:r>
      <w:r w:rsidRPr="00B31EE2">
        <w:t xml:space="preserve">. Graphs were limited to cytokines with greater than 1.5X increase for </w:t>
      </w:r>
      <w:r w:rsidR="00836FAC" w:rsidRPr="00B31EE2">
        <w:t>amivantamab</w:t>
      </w:r>
      <w:r w:rsidRPr="00B31EE2">
        <w:t xml:space="preserve"> treatment compared to isotype.</w:t>
      </w:r>
    </w:p>
    <w:p w14:paraId="2AA8568C" w14:textId="77777777" w:rsidR="008C0F12" w:rsidRPr="00B31EE2" w:rsidRDefault="008C0F12" w:rsidP="008C0F12">
      <w:pPr>
        <w:spacing w:line="480" w:lineRule="auto"/>
        <w:contextualSpacing/>
        <w:rPr>
          <w:b/>
          <w:lang w:eastAsia="x-none"/>
        </w:rPr>
      </w:pPr>
    </w:p>
    <w:p w14:paraId="24898CB5" w14:textId="18BE10DA" w:rsidR="00FC1DA2" w:rsidRPr="00B31EE2" w:rsidRDefault="008C0F12" w:rsidP="00FC1DA2">
      <w:pPr>
        <w:spacing w:line="480" w:lineRule="auto"/>
        <w:contextualSpacing/>
        <w:outlineLvl w:val="1"/>
        <w:rPr>
          <w:lang w:eastAsia="x-none"/>
        </w:rPr>
      </w:pPr>
      <w:r w:rsidRPr="00B31EE2">
        <w:rPr>
          <w:b/>
          <w:lang w:eastAsia="x-none"/>
        </w:rPr>
        <w:t xml:space="preserve">Supplementary Figure S4. </w:t>
      </w:r>
      <w:r w:rsidR="00836FAC" w:rsidRPr="00B31EE2">
        <w:rPr>
          <w:b/>
          <w:bCs/>
        </w:rPr>
        <w:t>Amivantamab</w:t>
      </w:r>
      <w:r w:rsidR="00836FAC" w:rsidRPr="00B31EE2">
        <w:rPr>
          <w:b/>
          <w:lang w:eastAsia="x-none"/>
        </w:rPr>
        <w:t xml:space="preserve"> </w:t>
      </w:r>
      <w:r w:rsidRPr="00B31EE2">
        <w:rPr>
          <w:b/>
          <w:lang w:eastAsia="x-none"/>
        </w:rPr>
        <w:t xml:space="preserve">Fc interaction induces production of CC chemokines and EGFR/cMet downmodulation: A) </w:t>
      </w:r>
      <w:r w:rsidRPr="00B31EE2">
        <w:rPr>
          <w:bCs/>
          <w:lang w:eastAsia="x-none"/>
        </w:rPr>
        <w:t xml:space="preserve">Heat map of log-transformed AUC values </w:t>
      </w:r>
      <w:r w:rsidRPr="00B31EE2">
        <w:t xml:space="preserve">of cytokines from the 23-plex MSD analysis of immune cells alone, H1975 cells in the presence or absence of PBMCs (E:T=10:1) or each of the individual immune cells (E:T=5:1) namely NK cells, monocytes, M1 macrophages or M2c macrophages, followed by treatment with isotype control, </w:t>
      </w:r>
      <w:r w:rsidR="00836FAC" w:rsidRPr="00B31EE2">
        <w:t>amivantamab</w:t>
      </w:r>
      <w:r w:rsidR="00975B56" w:rsidRPr="00B31EE2">
        <w:t xml:space="preserve"> (Ami)</w:t>
      </w:r>
      <w:r w:rsidRPr="00B31EE2">
        <w:t xml:space="preserve"> or </w:t>
      </w:r>
      <w:r w:rsidRPr="00B31EE2">
        <w:rPr>
          <w:lang w:eastAsia="x-none"/>
        </w:rPr>
        <w:t>EGFR/cMet-IgG2</w:t>
      </w:r>
      <w:r w:rsidRPr="00B31EE2">
        <w:t xml:space="preserve">σ (IgG2σ) </w:t>
      </w:r>
      <w:r w:rsidRPr="00B31EE2">
        <w:rPr>
          <w:lang w:eastAsia="x-none"/>
        </w:rPr>
        <w:t xml:space="preserve">for 4 hours. </w:t>
      </w:r>
      <w:r w:rsidRPr="00B31EE2">
        <w:rPr>
          <w:b/>
          <w:lang w:eastAsia="x-none"/>
        </w:rPr>
        <w:t xml:space="preserve">B) </w:t>
      </w:r>
      <w:r w:rsidRPr="00B31EE2">
        <w:rPr>
          <w:lang w:eastAsia="x-none"/>
        </w:rPr>
        <w:t xml:space="preserve">Densitometry of EGFR, pEGFR and cMet protein levels (normalized to loading control </w:t>
      </w:r>
      <w:r w:rsidRPr="00B31EE2">
        <w:t xml:space="preserve">actin) in </w:t>
      </w:r>
      <w:r w:rsidRPr="00B31EE2">
        <w:rPr>
          <w:lang w:eastAsia="x-none"/>
        </w:rPr>
        <w:t xml:space="preserve">H1975 </w:t>
      </w:r>
      <w:r w:rsidRPr="00B31EE2">
        <w:t>samples treated for 48 hours with 10</w:t>
      </w:r>
      <w:r w:rsidRPr="00B31EE2">
        <w:sym w:font="Symbol" w:char="F06D"/>
      </w:r>
      <w:r w:rsidRPr="00B31EE2">
        <w:t xml:space="preserve">g/ml of isotype control, </w:t>
      </w:r>
      <w:r w:rsidR="00836FAC" w:rsidRPr="00B31EE2">
        <w:t>amivantamab</w:t>
      </w:r>
      <w:r w:rsidRPr="00B31EE2">
        <w:t xml:space="preserve"> </w:t>
      </w:r>
      <w:r w:rsidR="00D217EE" w:rsidRPr="00B31EE2">
        <w:t xml:space="preserve">(Ami) </w:t>
      </w:r>
      <w:r w:rsidRPr="00B31EE2">
        <w:t xml:space="preserve">or cetuximab in presence or absence of PBMCs from </w:t>
      </w:r>
      <w:r w:rsidRPr="00B31EE2">
        <w:rPr>
          <w:lang w:eastAsia="x-none"/>
        </w:rPr>
        <w:t xml:space="preserve">Donor#3. </w:t>
      </w:r>
      <w:r w:rsidRPr="00B31EE2">
        <w:rPr>
          <w:b/>
          <w:lang w:eastAsia="x-none"/>
        </w:rPr>
        <w:t xml:space="preserve">C) </w:t>
      </w:r>
      <w:r w:rsidRPr="00B31EE2">
        <w:rPr>
          <w:lang w:eastAsia="x-none"/>
        </w:rPr>
        <w:t xml:space="preserve">Percentage (%) change in inhibition of EGFR, pEGFR and cMet protein levels with </w:t>
      </w:r>
      <w:r w:rsidRPr="00B31EE2">
        <w:t>10</w:t>
      </w:r>
      <w:r w:rsidRPr="00B31EE2">
        <w:sym w:font="Symbol" w:char="F06D"/>
      </w:r>
      <w:r w:rsidRPr="00B31EE2">
        <w:t xml:space="preserve">g/ml of </w:t>
      </w:r>
      <w:r w:rsidR="00836FAC" w:rsidRPr="00B31EE2">
        <w:t>amivantamab</w:t>
      </w:r>
      <w:r w:rsidRPr="00B31EE2">
        <w:rPr>
          <w:lang w:eastAsia="x-none"/>
        </w:rPr>
        <w:t xml:space="preserve"> or cetuximab treatment in the presence of PBMCs compared to no PBMC.</w:t>
      </w:r>
    </w:p>
    <w:p w14:paraId="1675EB5A" w14:textId="77777777" w:rsidR="00FC1DA2" w:rsidRPr="00B31EE2" w:rsidRDefault="00FC1DA2" w:rsidP="00FC1DA2">
      <w:pPr>
        <w:spacing w:line="480" w:lineRule="auto"/>
        <w:contextualSpacing/>
        <w:outlineLvl w:val="1"/>
        <w:rPr>
          <w:lang w:eastAsia="x-none"/>
        </w:rPr>
      </w:pPr>
    </w:p>
    <w:p w14:paraId="0FBC8004" w14:textId="331B98FB" w:rsidR="005014C0" w:rsidRPr="00B31EE2" w:rsidRDefault="008C0F12" w:rsidP="006D6554">
      <w:pPr>
        <w:spacing w:line="480" w:lineRule="auto"/>
        <w:contextualSpacing/>
        <w:outlineLvl w:val="1"/>
        <w:rPr>
          <w:lang w:eastAsia="x-none"/>
        </w:rPr>
      </w:pPr>
      <w:r w:rsidRPr="00B31EE2">
        <w:rPr>
          <w:b/>
          <w:lang w:eastAsia="x-none"/>
        </w:rPr>
        <w:t xml:space="preserve">Supplementary Figure S5. The ability of </w:t>
      </w:r>
      <w:r w:rsidR="00836FAC" w:rsidRPr="00B31EE2">
        <w:rPr>
          <w:b/>
          <w:bCs/>
        </w:rPr>
        <w:t>amivantamab</w:t>
      </w:r>
      <w:r w:rsidRPr="00B31EE2">
        <w:rPr>
          <w:b/>
          <w:lang w:eastAsia="x-none"/>
        </w:rPr>
        <w:t xml:space="preserve"> Fc interaction to enhance EGFR/cMet downmodulation varies among different PBMC donors: A) </w:t>
      </w:r>
      <w:r w:rsidRPr="00B31EE2">
        <w:rPr>
          <w:lang w:eastAsia="x-none"/>
        </w:rPr>
        <w:t xml:space="preserve">Densitometry of EGFR, pEGFR and cMet protein levels (normalized to loading control </w:t>
      </w:r>
      <w:r w:rsidRPr="00B31EE2">
        <w:t xml:space="preserve">actin) in </w:t>
      </w:r>
      <w:r w:rsidRPr="00B31EE2">
        <w:rPr>
          <w:lang w:eastAsia="x-none"/>
        </w:rPr>
        <w:t xml:space="preserve">H1975 </w:t>
      </w:r>
      <w:r w:rsidRPr="00B31EE2">
        <w:t xml:space="preserve">samples treated for 48 </w:t>
      </w:r>
      <w:r w:rsidR="00BB09E2">
        <w:t>hours</w:t>
      </w:r>
      <w:r w:rsidRPr="00B31EE2">
        <w:t xml:space="preserve"> with 10</w:t>
      </w:r>
      <w:r w:rsidRPr="00B31EE2">
        <w:sym w:font="Symbol" w:char="F06D"/>
      </w:r>
      <w:r w:rsidRPr="00B31EE2">
        <w:t xml:space="preserve">g/ml of isotype control or </w:t>
      </w:r>
      <w:r w:rsidR="00836FAC" w:rsidRPr="00B31EE2">
        <w:t>amivantamab</w:t>
      </w:r>
      <w:r w:rsidRPr="00B31EE2">
        <w:t xml:space="preserve"> </w:t>
      </w:r>
      <w:r w:rsidRPr="00B31EE2">
        <w:rPr>
          <w:lang w:eastAsia="x-none"/>
        </w:rPr>
        <w:t xml:space="preserve">in the presence or absence of PBMCs from seven different donors. </w:t>
      </w:r>
      <w:r w:rsidRPr="00B31EE2">
        <w:rPr>
          <w:b/>
          <w:lang w:eastAsia="x-none"/>
        </w:rPr>
        <w:t xml:space="preserve">B) </w:t>
      </w:r>
      <w:r w:rsidRPr="00B31EE2">
        <w:rPr>
          <w:lang w:eastAsia="x-none"/>
        </w:rPr>
        <w:t>Western blot (</w:t>
      </w:r>
      <w:r w:rsidRPr="00B31EE2">
        <w:t xml:space="preserve">capillary electrophoresis using </w:t>
      </w:r>
      <w:r w:rsidRPr="00B31EE2">
        <w:rPr>
          <w:lang w:eastAsia="x-none"/>
        </w:rPr>
        <w:t>PeggySue)</w:t>
      </w:r>
      <w:r w:rsidRPr="00B31EE2">
        <w:rPr>
          <w:b/>
          <w:lang w:eastAsia="x-none"/>
        </w:rPr>
        <w:t xml:space="preserve"> </w:t>
      </w:r>
      <w:r w:rsidRPr="00B31EE2">
        <w:rPr>
          <w:bCs/>
          <w:lang w:eastAsia="x-none"/>
        </w:rPr>
        <w:t xml:space="preserve">and </w:t>
      </w:r>
      <w:r w:rsidRPr="00B31EE2">
        <w:rPr>
          <w:b/>
          <w:lang w:eastAsia="x-none"/>
        </w:rPr>
        <w:t xml:space="preserve">C) </w:t>
      </w:r>
      <w:r w:rsidRPr="00B31EE2">
        <w:rPr>
          <w:bCs/>
          <w:lang w:eastAsia="x-none"/>
        </w:rPr>
        <w:t>densitometry</w:t>
      </w:r>
      <w:r w:rsidRPr="00B31EE2">
        <w:rPr>
          <w:b/>
          <w:lang w:eastAsia="x-none"/>
        </w:rPr>
        <w:t xml:space="preserve"> </w:t>
      </w:r>
      <w:r w:rsidRPr="00B31EE2">
        <w:rPr>
          <w:bCs/>
          <w:lang w:eastAsia="x-none"/>
        </w:rPr>
        <w:t xml:space="preserve">of EGFR, pEGFR, cMet </w:t>
      </w:r>
      <w:r w:rsidRPr="00B31EE2">
        <w:rPr>
          <w:lang w:eastAsia="x-none"/>
        </w:rPr>
        <w:t xml:space="preserve">(normalized to loading control </w:t>
      </w:r>
      <w:r w:rsidRPr="00B31EE2">
        <w:t xml:space="preserve">actin) </w:t>
      </w:r>
      <w:r w:rsidRPr="00B31EE2">
        <w:rPr>
          <w:bCs/>
          <w:lang w:eastAsia="x-none"/>
        </w:rPr>
        <w:t xml:space="preserve">performed following 48 hours treatment of H1975 cells </w:t>
      </w:r>
      <w:r w:rsidRPr="00B31EE2">
        <w:t>with 10</w:t>
      </w:r>
      <w:r w:rsidRPr="00B31EE2">
        <w:sym w:font="Symbol" w:char="F06D"/>
      </w:r>
      <w:r w:rsidRPr="00B31EE2">
        <w:t xml:space="preserve">g/ml of </w:t>
      </w:r>
      <w:r w:rsidR="00BB09E2">
        <w:t>i</w:t>
      </w:r>
      <w:r w:rsidRPr="00B31EE2">
        <w:t xml:space="preserve">sotype control, </w:t>
      </w:r>
      <w:r w:rsidR="00836FAC" w:rsidRPr="00B31EE2">
        <w:t>amivantamab</w:t>
      </w:r>
      <w:r w:rsidR="003F66E7" w:rsidRPr="00B31EE2">
        <w:t xml:space="preserve"> (Ami)</w:t>
      </w:r>
      <w:r w:rsidRPr="00B31EE2">
        <w:t xml:space="preserve"> or </w:t>
      </w:r>
      <w:r w:rsidRPr="00B31EE2">
        <w:rPr>
          <w:lang w:eastAsia="x-none"/>
        </w:rPr>
        <w:t>EGFR/cMet-IgG2</w:t>
      </w:r>
      <w:r w:rsidRPr="00B31EE2">
        <w:t xml:space="preserve">σ (IgG2σ) in presence of PBMCs from </w:t>
      </w:r>
      <w:r w:rsidRPr="00B31EE2">
        <w:rPr>
          <w:lang w:eastAsia="x-none"/>
        </w:rPr>
        <w:t>seven additional donors.</w:t>
      </w:r>
    </w:p>
    <w:p w14:paraId="6CBF6449" w14:textId="77777777" w:rsidR="005014C0" w:rsidRPr="00B31EE2" w:rsidRDefault="005014C0" w:rsidP="006D6554">
      <w:pPr>
        <w:spacing w:line="480" w:lineRule="auto"/>
        <w:contextualSpacing/>
        <w:outlineLvl w:val="1"/>
        <w:rPr>
          <w:lang w:eastAsia="x-none"/>
        </w:rPr>
      </w:pPr>
    </w:p>
    <w:p w14:paraId="3C75EC59" w14:textId="2AAAB8F4" w:rsidR="008C0F12" w:rsidRPr="00B31EE2" w:rsidRDefault="008C0F12" w:rsidP="006D6554">
      <w:pPr>
        <w:spacing w:line="480" w:lineRule="auto"/>
        <w:contextualSpacing/>
        <w:outlineLvl w:val="1"/>
        <w:rPr>
          <w:lang w:eastAsia="x-none"/>
        </w:rPr>
      </w:pPr>
      <w:r w:rsidRPr="00B31EE2">
        <w:rPr>
          <w:b/>
          <w:lang w:eastAsia="x-none"/>
        </w:rPr>
        <w:lastRenderedPageBreak/>
        <w:t xml:space="preserve">Supplementary Figure S6. </w:t>
      </w:r>
      <w:r w:rsidR="00836FAC" w:rsidRPr="00B31EE2">
        <w:rPr>
          <w:b/>
          <w:bCs/>
        </w:rPr>
        <w:t>Amivantamab</w:t>
      </w:r>
      <w:r w:rsidR="00836FAC" w:rsidRPr="00B31EE2">
        <w:rPr>
          <w:b/>
          <w:lang w:eastAsia="x-none"/>
        </w:rPr>
        <w:t xml:space="preserve"> </w:t>
      </w:r>
      <w:r w:rsidRPr="00B31EE2">
        <w:rPr>
          <w:b/>
          <w:lang w:eastAsia="x-none"/>
        </w:rPr>
        <w:t xml:space="preserve">Fc interaction potentiates downmodulation of EGFR and cMet in H1975 and SNU5 cells </w:t>
      </w:r>
      <w:r w:rsidRPr="00B31EE2">
        <w:rPr>
          <w:b/>
          <w:i/>
          <w:iCs/>
          <w:lang w:eastAsia="x-none"/>
        </w:rPr>
        <w:t>in vitro</w:t>
      </w:r>
      <w:r w:rsidRPr="00B31EE2">
        <w:rPr>
          <w:b/>
          <w:lang w:eastAsia="x-none"/>
        </w:rPr>
        <w:t xml:space="preserve">: A) </w:t>
      </w:r>
      <w:r w:rsidRPr="00B31EE2">
        <w:rPr>
          <w:lang w:eastAsia="x-none"/>
        </w:rPr>
        <w:t xml:space="preserve">Densitometry of EGFR, pEGFR and cMet protein levels (normalized to loading control </w:t>
      </w:r>
      <w:r w:rsidRPr="00B31EE2">
        <w:t xml:space="preserve">actin) in </w:t>
      </w:r>
      <w:r w:rsidRPr="00B31EE2">
        <w:rPr>
          <w:lang w:eastAsia="x-none"/>
        </w:rPr>
        <w:t xml:space="preserve">H1975 </w:t>
      </w:r>
      <w:r w:rsidRPr="00B31EE2">
        <w:t>samples treated for 48 h</w:t>
      </w:r>
      <w:r w:rsidR="005E6B3B">
        <w:t>o</w:t>
      </w:r>
      <w:r w:rsidR="000D723A">
        <w:t xml:space="preserve">                                                                                                                                                                                                                                                                                                                                                                                                                                                                                                                                                                                                                                                                                                                                                                                                                                                                                                                                                                                                                                                                                                                                                                                                                                                                                                                                                                                                                                                                                                                                                                                                                                                                                                                                                                                                                                                                                                                                                                                                                                                                                                                                                                                                                                                                                                                                                                                                                                                                                                                                                                                                                                                                                                                                                                                                                                                                                                                                                                                                                                                                                                                                                                                                                                                                                                                                                                                                                                                                                                                                                                                                                                                                                                                                                                                                                                                                                                                                                                   </w:t>
      </w:r>
      <w:proofErr w:type="spellStart"/>
      <w:r w:rsidR="005E6B3B">
        <w:t>u</w:t>
      </w:r>
      <w:r w:rsidRPr="00B31EE2">
        <w:t>rs</w:t>
      </w:r>
      <w:proofErr w:type="spellEnd"/>
      <w:r w:rsidRPr="00B31EE2">
        <w:t xml:space="preserve"> with 10</w:t>
      </w:r>
      <w:r w:rsidRPr="00B31EE2">
        <w:sym w:font="Symbol" w:char="F06D"/>
      </w:r>
      <w:r w:rsidRPr="00B31EE2">
        <w:t xml:space="preserve">g/ml of isotype control, </w:t>
      </w:r>
      <w:r w:rsidR="00836FAC" w:rsidRPr="00B31EE2">
        <w:t>amivantamab</w:t>
      </w:r>
      <w:r w:rsidRPr="00B31EE2">
        <w:t xml:space="preserve"> </w:t>
      </w:r>
      <w:r w:rsidR="00A13815" w:rsidRPr="00B31EE2">
        <w:t xml:space="preserve">(Ami) </w:t>
      </w:r>
      <w:r w:rsidRPr="00B31EE2">
        <w:t xml:space="preserve">or </w:t>
      </w:r>
      <w:r w:rsidRPr="00B31EE2">
        <w:rPr>
          <w:lang w:eastAsia="x-none"/>
        </w:rPr>
        <w:t>EGFR/cMet-IgG2</w:t>
      </w:r>
      <w:r w:rsidRPr="00B31EE2">
        <w:t xml:space="preserve">σ (IgG2σ) </w:t>
      </w:r>
      <w:r w:rsidRPr="00B31EE2">
        <w:rPr>
          <w:lang w:eastAsia="x-none"/>
        </w:rPr>
        <w:t xml:space="preserve">in the presence or absence of PBMCs from Donor #6. </w:t>
      </w:r>
      <w:r w:rsidRPr="00B31EE2">
        <w:rPr>
          <w:b/>
          <w:lang w:eastAsia="x-none"/>
        </w:rPr>
        <w:t xml:space="preserve">B) </w:t>
      </w:r>
      <w:r w:rsidRPr="00B31EE2">
        <w:rPr>
          <w:lang w:eastAsia="x-none"/>
        </w:rPr>
        <w:t>Western blot (</w:t>
      </w:r>
      <w:r w:rsidRPr="00B31EE2">
        <w:t xml:space="preserve">capillary electrophoresis using </w:t>
      </w:r>
      <w:r w:rsidRPr="00B31EE2">
        <w:rPr>
          <w:lang w:eastAsia="x-none"/>
        </w:rPr>
        <w:t>PeggySue)</w:t>
      </w:r>
      <w:r w:rsidRPr="00B31EE2">
        <w:rPr>
          <w:b/>
          <w:lang w:eastAsia="x-none"/>
        </w:rPr>
        <w:t xml:space="preserve"> </w:t>
      </w:r>
      <w:r w:rsidRPr="00B31EE2">
        <w:rPr>
          <w:bCs/>
          <w:lang w:eastAsia="x-none"/>
        </w:rPr>
        <w:t>and densitometry</w:t>
      </w:r>
      <w:r w:rsidRPr="00B31EE2">
        <w:rPr>
          <w:b/>
          <w:lang w:eastAsia="x-none"/>
        </w:rPr>
        <w:t xml:space="preserve"> </w:t>
      </w:r>
      <w:r w:rsidRPr="00B31EE2">
        <w:rPr>
          <w:bCs/>
          <w:lang w:eastAsia="x-none"/>
        </w:rPr>
        <w:t xml:space="preserve">of EGFR, pEGFR, cMet (normalized to loading control actin) performed following 48 hours treatment of H1975 cells </w:t>
      </w:r>
      <w:r w:rsidRPr="00B31EE2">
        <w:t>with 10</w:t>
      </w:r>
      <w:r w:rsidRPr="00B31EE2">
        <w:sym w:font="Symbol" w:char="F06D"/>
      </w:r>
      <w:r w:rsidRPr="00B31EE2">
        <w:t xml:space="preserve">g/ml of isotype control, </w:t>
      </w:r>
      <w:r w:rsidR="00836FAC" w:rsidRPr="00B31EE2">
        <w:t>amivantamab</w:t>
      </w:r>
      <w:r w:rsidRPr="00B31EE2">
        <w:t xml:space="preserve"> </w:t>
      </w:r>
      <w:r w:rsidR="0075431E" w:rsidRPr="00B31EE2">
        <w:t xml:space="preserve">(Ami) </w:t>
      </w:r>
      <w:r w:rsidRPr="00B31EE2">
        <w:t xml:space="preserve">or </w:t>
      </w:r>
      <w:r w:rsidRPr="00B31EE2">
        <w:rPr>
          <w:lang w:eastAsia="x-none"/>
        </w:rPr>
        <w:t>EGFR/cMet-IgG2</w:t>
      </w:r>
      <w:r w:rsidRPr="00B31EE2">
        <w:t xml:space="preserve">σ (IgG2σ) in presence or absence of PBMCs from </w:t>
      </w:r>
      <w:r w:rsidRPr="00B31EE2">
        <w:rPr>
          <w:lang w:eastAsia="x-none"/>
        </w:rPr>
        <w:t xml:space="preserve">Donor#3. </w:t>
      </w:r>
      <w:r w:rsidRPr="00B31EE2">
        <w:rPr>
          <w:b/>
          <w:lang w:eastAsia="x-none"/>
        </w:rPr>
        <w:t xml:space="preserve">C) </w:t>
      </w:r>
      <w:r w:rsidRPr="00B31EE2">
        <w:rPr>
          <w:lang w:eastAsia="x-none"/>
        </w:rPr>
        <w:t xml:space="preserve">Densitometry of EGFR, pEGFR, cMet and pMet protein levels (normalized to loading control </w:t>
      </w:r>
      <w:r w:rsidRPr="00B31EE2">
        <w:t xml:space="preserve">actin) in </w:t>
      </w:r>
      <w:r w:rsidRPr="00B31EE2">
        <w:rPr>
          <w:lang w:eastAsia="x-none"/>
        </w:rPr>
        <w:t xml:space="preserve">SNU5 </w:t>
      </w:r>
      <w:r w:rsidRPr="00B31EE2">
        <w:t>samples treated for 48 h</w:t>
      </w:r>
      <w:r w:rsidR="00161CD4">
        <w:t>ou</w:t>
      </w:r>
      <w:r w:rsidRPr="00B31EE2">
        <w:t>rs with 10</w:t>
      </w:r>
      <w:r w:rsidRPr="00B31EE2">
        <w:sym w:font="Symbol" w:char="F06D"/>
      </w:r>
      <w:r w:rsidRPr="00B31EE2">
        <w:t xml:space="preserve">g/ml of isotype control, </w:t>
      </w:r>
      <w:r w:rsidR="00836FAC" w:rsidRPr="00B31EE2">
        <w:t>amivantamab</w:t>
      </w:r>
      <w:r w:rsidRPr="00B31EE2">
        <w:t xml:space="preserve"> </w:t>
      </w:r>
      <w:r w:rsidR="0075431E" w:rsidRPr="00B31EE2">
        <w:t xml:space="preserve">(Ami) </w:t>
      </w:r>
      <w:r w:rsidRPr="00B31EE2">
        <w:t xml:space="preserve">or </w:t>
      </w:r>
      <w:r w:rsidRPr="00B31EE2">
        <w:rPr>
          <w:lang w:eastAsia="x-none"/>
        </w:rPr>
        <w:t>EGFR/cMet-IgG2</w:t>
      </w:r>
      <w:r w:rsidRPr="00B31EE2">
        <w:t xml:space="preserve">σ (IgG2σ) </w:t>
      </w:r>
      <w:r w:rsidRPr="00B31EE2">
        <w:rPr>
          <w:lang w:eastAsia="x-none"/>
        </w:rPr>
        <w:t xml:space="preserve">in the presence or absence of PBMCs from Donor#3. </w:t>
      </w:r>
    </w:p>
    <w:p w14:paraId="12F8D65F" w14:textId="77777777" w:rsidR="008C0F12" w:rsidRPr="00B31EE2" w:rsidRDefault="008C0F12" w:rsidP="008C0F12">
      <w:pPr>
        <w:spacing w:line="480" w:lineRule="auto"/>
        <w:contextualSpacing/>
        <w:rPr>
          <w:lang w:eastAsia="x-none"/>
        </w:rPr>
      </w:pPr>
    </w:p>
    <w:p w14:paraId="386C193D" w14:textId="27C4FB7C" w:rsidR="008C0F12" w:rsidRPr="00B31EE2" w:rsidRDefault="008C0F12" w:rsidP="004D2FA5">
      <w:pPr>
        <w:spacing w:line="480" w:lineRule="auto"/>
        <w:contextualSpacing/>
        <w:outlineLvl w:val="1"/>
        <w:rPr>
          <w:b/>
          <w:lang w:eastAsia="x-none"/>
        </w:rPr>
      </w:pPr>
      <w:r w:rsidRPr="00B31EE2">
        <w:rPr>
          <w:b/>
          <w:lang w:eastAsia="x-none"/>
        </w:rPr>
        <w:t xml:space="preserve">Supplementary Figure S7. </w:t>
      </w:r>
      <w:r w:rsidR="00836FAC" w:rsidRPr="00B31EE2">
        <w:rPr>
          <w:b/>
          <w:bCs/>
        </w:rPr>
        <w:t>Amivantamab</w:t>
      </w:r>
      <w:r w:rsidR="00836FAC" w:rsidRPr="00B31EE2">
        <w:rPr>
          <w:b/>
          <w:lang w:eastAsia="x-none"/>
        </w:rPr>
        <w:t xml:space="preserve"> </w:t>
      </w:r>
      <w:r w:rsidRPr="00B31EE2">
        <w:rPr>
          <w:b/>
          <w:lang w:eastAsia="x-none"/>
        </w:rPr>
        <w:t xml:space="preserve">Fc interaction induced EGFR/cMet downmodulation correlates with monocyte composition: A) </w:t>
      </w:r>
      <w:r w:rsidRPr="00B31EE2">
        <w:rPr>
          <w:bCs/>
          <w:lang w:eastAsia="x-none"/>
        </w:rPr>
        <w:t xml:space="preserve">Composition of </w:t>
      </w:r>
      <w:r w:rsidRPr="00B31EE2">
        <w:rPr>
          <w:lang w:eastAsia="x-none"/>
        </w:rPr>
        <w:t>NK cells (CD56+</w:t>
      </w:r>
      <w:r w:rsidR="00564EE3">
        <w:rPr>
          <w:lang w:eastAsia="x-none"/>
        </w:rPr>
        <w:t>CD3-</w:t>
      </w:r>
      <w:r w:rsidRPr="00B31EE2">
        <w:rPr>
          <w:lang w:eastAsia="x-none"/>
        </w:rPr>
        <w:t>), Monocytes (CD14+), B cells (CD19+</w:t>
      </w:r>
      <w:r w:rsidR="00564EE3">
        <w:rPr>
          <w:lang w:eastAsia="x-none"/>
        </w:rPr>
        <w:t>CD3-</w:t>
      </w:r>
      <w:r w:rsidRPr="00B31EE2">
        <w:rPr>
          <w:lang w:eastAsia="x-none"/>
        </w:rPr>
        <w:t xml:space="preserve">) and T cells (CD3+) within PBMCs from seven different donors. </w:t>
      </w:r>
      <w:r w:rsidRPr="00B31EE2">
        <w:rPr>
          <w:b/>
          <w:lang w:eastAsia="x-none"/>
        </w:rPr>
        <w:t xml:space="preserve">B) </w:t>
      </w:r>
      <w:r w:rsidRPr="00B31EE2">
        <w:rPr>
          <w:lang w:eastAsia="x-none"/>
        </w:rPr>
        <w:t xml:space="preserve">Correlation between the percentage (%) </w:t>
      </w:r>
      <w:r w:rsidR="00C77BB6">
        <w:rPr>
          <w:lang w:eastAsia="x-none"/>
        </w:rPr>
        <w:t xml:space="preserve">of </w:t>
      </w:r>
      <w:r w:rsidRPr="00B31EE2">
        <w:rPr>
          <w:lang w:eastAsia="x-none"/>
        </w:rPr>
        <w:t xml:space="preserve">NK cells, B cells and T cells in the PBMC sample of each donor and the percentage (%) change in EGFR inhibition with </w:t>
      </w:r>
      <w:r w:rsidR="00836FAC" w:rsidRPr="00B31EE2">
        <w:t>amivantamab</w:t>
      </w:r>
      <w:r w:rsidRPr="00B31EE2">
        <w:rPr>
          <w:lang w:eastAsia="x-none"/>
        </w:rPr>
        <w:t xml:space="preserve"> treatment in the presence of PBMCs compared to no PBMC.</w:t>
      </w:r>
      <w:r w:rsidRPr="00B31EE2">
        <w:rPr>
          <w:b/>
          <w:lang w:eastAsia="x-none"/>
        </w:rPr>
        <w:t xml:space="preserve"> </w:t>
      </w:r>
    </w:p>
    <w:p w14:paraId="25E9E1F7" w14:textId="77777777" w:rsidR="00E53093" w:rsidRPr="00B31EE2" w:rsidRDefault="00E53093" w:rsidP="008C0F12">
      <w:pPr>
        <w:spacing w:line="480" w:lineRule="auto"/>
        <w:contextualSpacing/>
        <w:rPr>
          <w:b/>
          <w:lang w:eastAsia="x-none"/>
        </w:rPr>
      </w:pPr>
    </w:p>
    <w:p w14:paraId="26110D9B" w14:textId="418DC8F6" w:rsidR="008C0F12" w:rsidRPr="00B31EE2" w:rsidRDefault="008C0F12" w:rsidP="00E53093">
      <w:pPr>
        <w:keepNext/>
        <w:spacing w:line="480" w:lineRule="auto"/>
        <w:contextualSpacing/>
        <w:outlineLvl w:val="1"/>
        <w:rPr>
          <w:b/>
          <w:lang w:eastAsia="x-none"/>
        </w:rPr>
      </w:pPr>
      <w:r w:rsidRPr="00B31EE2">
        <w:rPr>
          <w:b/>
          <w:lang w:eastAsia="x-none"/>
        </w:rPr>
        <w:t xml:space="preserve">Supplementary Figure S8. Monocytes are required for </w:t>
      </w:r>
      <w:r w:rsidR="00836FAC" w:rsidRPr="00B31EE2">
        <w:rPr>
          <w:b/>
          <w:bCs/>
        </w:rPr>
        <w:t>amivantamab</w:t>
      </w:r>
      <w:r w:rsidRPr="00B31EE2">
        <w:rPr>
          <w:b/>
          <w:lang w:eastAsia="x-none"/>
        </w:rPr>
        <w:t xml:space="preserve"> Fc interaction induced EGFR/cMet downmodulation: A) </w:t>
      </w:r>
      <w:r w:rsidRPr="00B31EE2">
        <w:rPr>
          <w:lang w:eastAsia="x-none"/>
        </w:rPr>
        <w:t xml:space="preserve">Densitometry of EGFR, pEGFR and cMet protein levels (normalized to loading control </w:t>
      </w:r>
      <w:r w:rsidRPr="00B31EE2">
        <w:t xml:space="preserve">Actin) </w:t>
      </w:r>
      <w:r w:rsidRPr="00B31EE2">
        <w:rPr>
          <w:bCs/>
          <w:lang w:eastAsia="x-none"/>
        </w:rPr>
        <w:t xml:space="preserve">performed following 48 hours treatment of H1975 </w:t>
      </w:r>
      <w:r w:rsidRPr="00B31EE2">
        <w:rPr>
          <w:bCs/>
          <w:lang w:eastAsia="x-none"/>
        </w:rPr>
        <w:lastRenderedPageBreak/>
        <w:t xml:space="preserve">cells </w:t>
      </w:r>
      <w:r w:rsidRPr="00B31EE2">
        <w:t>with 10</w:t>
      </w:r>
      <w:r w:rsidRPr="00B31EE2">
        <w:sym w:font="Symbol" w:char="F06D"/>
      </w:r>
      <w:r w:rsidRPr="00B31EE2">
        <w:t xml:space="preserve">g/ml of isotype control, </w:t>
      </w:r>
      <w:r w:rsidR="00836FAC" w:rsidRPr="00B31EE2">
        <w:t>amivantamab</w:t>
      </w:r>
      <w:r w:rsidRPr="00B31EE2">
        <w:t xml:space="preserve"> or </w:t>
      </w:r>
      <w:r w:rsidRPr="00B31EE2">
        <w:rPr>
          <w:lang w:eastAsia="x-none"/>
        </w:rPr>
        <w:t>EGFR/cMet-IgG2</w:t>
      </w:r>
      <w:r w:rsidRPr="00B31EE2">
        <w:t>σ (IgG2σ) in presence or absence of n</w:t>
      </w:r>
      <w:r w:rsidRPr="00B31EE2">
        <w:rPr>
          <w:lang w:eastAsia="x-none"/>
        </w:rPr>
        <w:t>on-depleted PBMCs, NK cell depleted or monocyte (mono) depleted PBMCs</w:t>
      </w:r>
      <w:r w:rsidRPr="00B31EE2">
        <w:t xml:space="preserve"> from donor #3. </w:t>
      </w:r>
      <w:r w:rsidRPr="00B31EE2">
        <w:rPr>
          <w:b/>
          <w:lang w:eastAsia="x-none"/>
        </w:rPr>
        <w:t xml:space="preserve">B) </w:t>
      </w:r>
      <w:r w:rsidRPr="00B31EE2">
        <w:rPr>
          <w:bCs/>
          <w:lang w:eastAsia="x-none"/>
        </w:rPr>
        <w:t>C</w:t>
      </w:r>
      <w:r w:rsidRPr="00B31EE2">
        <w:rPr>
          <w:lang w:eastAsia="x-none"/>
        </w:rPr>
        <w:t xml:space="preserve">ontour plots from multi-color flow cytometry showing the composition of the NK cells and Monocytes within PBMCs </w:t>
      </w:r>
      <w:r w:rsidR="00C95C1B">
        <w:rPr>
          <w:lang w:eastAsia="x-none"/>
        </w:rPr>
        <w:t xml:space="preserve">(from donor#6) </w:t>
      </w:r>
      <w:r w:rsidRPr="00B31EE2">
        <w:rPr>
          <w:lang w:eastAsia="x-none"/>
        </w:rPr>
        <w:t>after CD56 and CD14 positive selection respectively.</w:t>
      </w:r>
      <w:r w:rsidRPr="00B31EE2">
        <w:rPr>
          <w:b/>
          <w:lang w:eastAsia="x-none"/>
        </w:rPr>
        <w:t xml:space="preserve"> C) </w:t>
      </w:r>
      <w:r w:rsidRPr="00B31EE2">
        <w:rPr>
          <w:bCs/>
          <w:lang w:eastAsia="x-none"/>
        </w:rPr>
        <w:t xml:space="preserve">Western </w:t>
      </w:r>
      <w:r w:rsidRPr="00B31EE2">
        <w:t xml:space="preserve">Blot (capillary electrophoresis using </w:t>
      </w:r>
      <w:r w:rsidRPr="00B31EE2">
        <w:rPr>
          <w:lang w:eastAsia="x-none"/>
        </w:rPr>
        <w:t>PeggySue</w:t>
      </w:r>
      <w:r w:rsidRPr="00B31EE2">
        <w:t xml:space="preserve">) </w:t>
      </w:r>
      <w:r w:rsidRPr="00B31EE2">
        <w:rPr>
          <w:bCs/>
          <w:lang w:eastAsia="x-none"/>
        </w:rPr>
        <w:t xml:space="preserve">and </w:t>
      </w:r>
      <w:r w:rsidRPr="00B31EE2">
        <w:rPr>
          <w:b/>
          <w:lang w:eastAsia="x-none"/>
        </w:rPr>
        <w:t xml:space="preserve">D) </w:t>
      </w:r>
      <w:r w:rsidRPr="00B31EE2">
        <w:rPr>
          <w:bCs/>
          <w:lang w:eastAsia="x-none"/>
        </w:rPr>
        <w:t xml:space="preserve">densitometry of EGFR, pEGFR, cMet (normalized to loading control actin) performed following 48 hours treatment of H1975 cells </w:t>
      </w:r>
      <w:r w:rsidRPr="00B31EE2">
        <w:t>with 10</w:t>
      </w:r>
      <w:r w:rsidRPr="00B31EE2">
        <w:sym w:font="Symbol" w:char="F06D"/>
      </w:r>
      <w:r w:rsidRPr="00B31EE2">
        <w:t xml:space="preserve">g/ml of isotype control or </w:t>
      </w:r>
      <w:r w:rsidR="00836FAC" w:rsidRPr="00B31EE2">
        <w:t>amivantamab</w:t>
      </w:r>
      <w:r w:rsidRPr="00B31EE2">
        <w:t xml:space="preserve"> </w:t>
      </w:r>
      <w:r w:rsidR="009C27A8" w:rsidRPr="00B31EE2">
        <w:t xml:space="preserve">(Ami) </w:t>
      </w:r>
      <w:r w:rsidRPr="00B31EE2">
        <w:t>in presence or absence of n</w:t>
      </w:r>
      <w:r w:rsidRPr="00B31EE2">
        <w:rPr>
          <w:lang w:eastAsia="x-none"/>
        </w:rPr>
        <w:t>on-depleted PBMCs, NK cell depleted or monocyte (mono) depleted PBMCs</w:t>
      </w:r>
      <w:r w:rsidRPr="00B31EE2">
        <w:t xml:space="preserve"> from donor #6.</w:t>
      </w:r>
    </w:p>
    <w:p w14:paraId="7743C1FB" w14:textId="77777777" w:rsidR="008C0F12" w:rsidRPr="00B31EE2" w:rsidRDefault="008C0F12" w:rsidP="008C0F12">
      <w:pPr>
        <w:spacing w:line="480" w:lineRule="auto"/>
        <w:contextualSpacing/>
      </w:pPr>
    </w:p>
    <w:p w14:paraId="072F0372" w14:textId="3D875738" w:rsidR="004E3C46" w:rsidRPr="00B31EE2" w:rsidRDefault="008C0F12" w:rsidP="006D6554">
      <w:pPr>
        <w:spacing w:line="480" w:lineRule="auto"/>
        <w:contextualSpacing/>
        <w:outlineLvl w:val="1"/>
      </w:pPr>
      <w:r w:rsidRPr="00B31EE2">
        <w:rPr>
          <w:b/>
          <w:lang w:eastAsia="x-none"/>
        </w:rPr>
        <w:t>Supplementary Figure S9.</w:t>
      </w:r>
      <w:r w:rsidRPr="00B31EE2">
        <w:t xml:space="preserve"> </w:t>
      </w:r>
      <w:r w:rsidR="00836FAC" w:rsidRPr="00B31EE2">
        <w:rPr>
          <w:b/>
          <w:bCs/>
        </w:rPr>
        <w:t>Amivantamab</w:t>
      </w:r>
      <w:r w:rsidR="00836FAC" w:rsidRPr="00B31EE2">
        <w:rPr>
          <w:b/>
          <w:lang w:eastAsia="x-none"/>
        </w:rPr>
        <w:t xml:space="preserve"> </w:t>
      </w:r>
      <w:r w:rsidRPr="00B31EE2">
        <w:rPr>
          <w:b/>
          <w:lang w:eastAsia="x-none"/>
        </w:rPr>
        <w:t xml:space="preserve">Fc interaction with monocytes induces trogocytosis and EGFR/cMet downmodulation: A) </w:t>
      </w:r>
      <w:r w:rsidRPr="00B31EE2">
        <w:rPr>
          <w:bCs/>
          <w:lang w:eastAsia="x-none"/>
        </w:rPr>
        <w:t xml:space="preserve">Contour plots </w:t>
      </w:r>
      <w:r w:rsidRPr="00B31EE2">
        <w:rPr>
          <w:lang w:eastAsia="x-none"/>
        </w:rPr>
        <w:t xml:space="preserve">from multi-color flow cytometry examining the composition of the NK cells (CD56+) and Monocytes (CD14+) within PBMCs after CD56 and CD14 negative selection respectively. </w:t>
      </w:r>
      <w:r w:rsidRPr="00B31EE2">
        <w:rPr>
          <w:b/>
          <w:bCs/>
          <w:lang w:eastAsia="x-none"/>
        </w:rPr>
        <w:t>B)</w:t>
      </w:r>
      <w:r w:rsidRPr="00B31EE2">
        <w:rPr>
          <w:lang w:eastAsia="x-none"/>
        </w:rPr>
        <w:t xml:space="preserve"> Densitometry of EGFR, pEGFR and cMet protein levels (normalized to loading control </w:t>
      </w:r>
      <w:r w:rsidRPr="00B31EE2">
        <w:t xml:space="preserve">Actin) </w:t>
      </w:r>
      <w:r w:rsidRPr="00B31EE2">
        <w:rPr>
          <w:bCs/>
          <w:lang w:eastAsia="x-none"/>
        </w:rPr>
        <w:t xml:space="preserve">performed following 48 hours treatment of H1975 cells </w:t>
      </w:r>
      <w:r w:rsidRPr="00B31EE2">
        <w:t>with 10</w:t>
      </w:r>
      <w:r w:rsidRPr="00B31EE2">
        <w:sym w:font="Symbol" w:char="F06D"/>
      </w:r>
      <w:r w:rsidRPr="00B31EE2">
        <w:t xml:space="preserve">g/ml of isotype control, </w:t>
      </w:r>
      <w:r w:rsidR="00836FAC" w:rsidRPr="00B31EE2">
        <w:t xml:space="preserve">amivantamab </w:t>
      </w:r>
      <w:r w:rsidRPr="00B31EE2">
        <w:t xml:space="preserve">or </w:t>
      </w:r>
      <w:r w:rsidRPr="00B31EE2">
        <w:rPr>
          <w:lang w:eastAsia="x-none"/>
        </w:rPr>
        <w:t>EGFR/cMet-IgG2</w:t>
      </w:r>
      <w:r w:rsidRPr="00B31EE2">
        <w:t xml:space="preserve">σ (IgG2σ) in presence or absence of </w:t>
      </w:r>
      <w:r w:rsidRPr="00B31EE2">
        <w:rPr>
          <w:lang w:eastAsia="x-none"/>
        </w:rPr>
        <w:t xml:space="preserve">intact PBMCs, isolated NK cells and isolated monocytes from </w:t>
      </w:r>
      <w:r w:rsidRPr="00B31EE2">
        <w:t xml:space="preserve">donor #3. </w:t>
      </w:r>
      <w:r w:rsidRPr="00B31EE2">
        <w:rPr>
          <w:b/>
          <w:lang w:eastAsia="x-none"/>
        </w:rPr>
        <w:t>C)</w:t>
      </w:r>
      <w:r w:rsidRPr="00B31EE2">
        <w:rPr>
          <w:bCs/>
          <w:lang w:eastAsia="x-none"/>
        </w:rPr>
        <w:t xml:space="preserve"> Representative images using confocal microscopy of monocytes labeled with </w:t>
      </w:r>
      <w:r w:rsidR="008D55B5">
        <w:rPr>
          <w:bCs/>
          <w:lang w:eastAsia="x-none"/>
        </w:rPr>
        <w:t>AF488</w:t>
      </w:r>
      <w:r w:rsidRPr="00B31EE2">
        <w:rPr>
          <w:bCs/>
          <w:lang w:eastAsia="x-none"/>
        </w:rPr>
        <w:t>-C</w:t>
      </w:r>
      <w:r w:rsidR="008D55B5">
        <w:rPr>
          <w:bCs/>
          <w:lang w:eastAsia="x-none"/>
        </w:rPr>
        <w:t>D</w:t>
      </w:r>
      <w:r w:rsidRPr="00B31EE2">
        <w:rPr>
          <w:bCs/>
          <w:lang w:eastAsia="x-none"/>
        </w:rPr>
        <w:t xml:space="preserve">11b, </w:t>
      </w:r>
      <w:r w:rsidR="008D55B5">
        <w:rPr>
          <w:bCs/>
          <w:lang w:eastAsia="x-none"/>
        </w:rPr>
        <w:t>AF488</w:t>
      </w:r>
      <w:r w:rsidRPr="00B31EE2">
        <w:rPr>
          <w:bCs/>
          <w:lang w:eastAsia="x-none"/>
        </w:rPr>
        <w:t>-C</w:t>
      </w:r>
      <w:r w:rsidR="008D55B5">
        <w:rPr>
          <w:bCs/>
          <w:lang w:eastAsia="x-none"/>
        </w:rPr>
        <w:t>D</w:t>
      </w:r>
      <w:r w:rsidRPr="00B31EE2">
        <w:rPr>
          <w:bCs/>
          <w:lang w:eastAsia="x-none"/>
        </w:rPr>
        <w:t>14 and Hoechst (nuclei) in co-culture with H1975 NucLight Red cells opsonized with AF647-labeled isotype control antibody at an E:T ratio of 5:1. Scale bar = 20µm.</w:t>
      </w:r>
    </w:p>
    <w:p w14:paraId="74BD376C" w14:textId="77777777" w:rsidR="004E3C46" w:rsidRPr="00B31EE2" w:rsidRDefault="004E3C46" w:rsidP="006D6554">
      <w:pPr>
        <w:spacing w:line="480" w:lineRule="auto"/>
        <w:contextualSpacing/>
        <w:outlineLvl w:val="1"/>
      </w:pPr>
    </w:p>
    <w:p w14:paraId="4224E238" w14:textId="6FC39508" w:rsidR="004E3C46" w:rsidRPr="00B31EE2" w:rsidRDefault="008C0F12" w:rsidP="006D6554">
      <w:pPr>
        <w:spacing w:line="480" w:lineRule="auto"/>
        <w:contextualSpacing/>
        <w:outlineLvl w:val="1"/>
      </w:pPr>
      <w:r w:rsidRPr="00B31EE2">
        <w:rPr>
          <w:b/>
          <w:lang w:eastAsia="x-none"/>
        </w:rPr>
        <w:lastRenderedPageBreak/>
        <w:t>Supplementary Figure S10.</w:t>
      </w:r>
      <w:r w:rsidRPr="00B31EE2">
        <w:t xml:space="preserve"> </w:t>
      </w:r>
      <w:r w:rsidR="00836FAC" w:rsidRPr="00B31EE2">
        <w:rPr>
          <w:b/>
          <w:bCs/>
        </w:rPr>
        <w:t>Amivantamab</w:t>
      </w:r>
      <w:r w:rsidR="00836FAC" w:rsidRPr="00B31EE2">
        <w:rPr>
          <w:b/>
          <w:lang w:eastAsia="x-none"/>
        </w:rPr>
        <w:t xml:space="preserve"> </w:t>
      </w:r>
      <w:r w:rsidRPr="00B31EE2">
        <w:rPr>
          <w:b/>
          <w:lang w:eastAsia="x-none"/>
        </w:rPr>
        <w:t xml:space="preserve">Fc interaction with M1 and M2 macrophages induces trogocytosis: </w:t>
      </w:r>
      <w:r w:rsidRPr="00B31EE2">
        <w:rPr>
          <w:bCs/>
          <w:lang w:eastAsia="x-none"/>
        </w:rPr>
        <w:t xml:space="preserve">Representative images using confocal microscopy of </w:t>
      </w:r>
      <w:r w:rsidRPr="00B31EE2">
        <w:rPr>
          <w:b/>
          <w:lang w:eastAsia="x-none"/>
        </w:rPr>
        <w:t xml:space="preserve">A) </w:t>
      </w:r>
      <w:r w:rsidRPr="00B31EE2">
        <w:rPr>
          <w:bCs/>
          <w:lang w:eastAsia="x-none"/>
        </w:rPr>
        <w:t xml:space="preserve">M1 or </w:t>
      </w:r>
      <w:r w:rsidRPr="00B31EE2">
        <w:rPr>
          <w:b/>
          <w:lang w:eastAsia="x-none"/>
        </w:rPr>
        <w:t xml:space="preserve">B) </w:t>
      </w:r>
      <w:r w:rsidRPr="00B31EE2">
        <w:rPr>
          <w:bCs/>
          <w:lang w:eastAsia="x-none"/>
        </w:rPr>
        <w:t xml:space="preserve">M2 macrophages labeled with </w:t>
      </w:r>
      <w:r w:rsidR="00F00477">
        <w:rPr>
          <w:bCs/>
          <w:lang w:eastAsia="x-none"/>
        </w:rPr>
        <w:t>AF488</w:t>
      </w:r>
      <w:r w:rsidRPr="00B31EE2">
        <w:rPr>
          <w:bCs/>
          <w:lang w:eastAsia="x-none"/>
        </w:rPr>
        <w:t>-C</w:t>
      </w:r>
      <w:r w:rsidR="00F00477">
        <w:rPr>
          <w:bCs/>
          <w:lang w:eastAsia="x-none"/>
        </w:rPr>
        <w:t>D</w:t>
      </w:r>
      <w:r w:rsidRPr="00B31EE2">
        <w:rPr>
          <w:bCs/>
          <w:lang w:eastAsia="x-none"/>
        </w:rPr>
        <w:t xml:space="preserve">11b, </w:t>
      </w:r>
      <w:r w:rsidR="00F00477">
        <w:rPr>
          <w:bCs/>
          <w:lang w:eastAsia="x-none"/>
        </w:rPr>
        <w:t>AF488</w:t>
      </w:r>
      <w:r w:rsidRPr="00B31EE2">
        <w:rPr>
          <w:bCs/>
          <w:lang w:eastAsia="x-none"/>
        </w:rPr>
        <w:t>-C</w:t>
      </w:r>
      <w:r w:rsidR="00F00477">
        <w:rPr>
          <w:bCs/>
          <w:lang w:eastAsia="x-none"/>
        </w:rPr>
        <w:t>D</w:t>
      </w:r>
      <w:r w:rsidRPr="00B31EE2">
        <w:rPr>
          <w:bCs/>
          <w:lang w:eastAsia="x-none"/>
        </w:rPr>
        <w:t xml:space="preserve">14 and Hoechst (nuclei) in co-culture with H1975 NucLight Red cells opsonized with AF647-labeled isotype control antibody at an E:T ratio of 5:1. </w:t>
      </w:r>
      <w:r w:rsidRPr="00B31EE2">
        <w:rPr>
          <w:b/>
          <w:lang w:eastAsia="x-none"/>
        </w:rPr>
        <w:t xml:space="preserve">C) </w:t>
      </w:r>
      <w:r w:rsidRPr="00B31EE2">
        <w:rPr>
          <w:bCs/>
          <w:lang w:eastAsia="x-none"/>
        </w:rPr>
        <w:t xml:space="preserve">Representative images taken at initial time point (t=0 min) after cold binding using confocal microscopy of co-culture of M1 or M2 Macrophages labeled with </w:t>
      </w:r>
      <w:r w:rsidR="00F53F75">
        <w:rPr>
          <w:bCs/>
          <w:lang w:eastAsia="x-none"/>
        </w:rPr>
        <w:t>AF488</w:t>
      </w:r>
      <w:r w:rsidRPr="00B31EE2">
        <w:rPr>
          <w:bCs/>
          <w:lang w:eastAsia="x-none"/>
        </w:rPr>
        <w:t>-C</w:t>
      </w:r>
      <w:r w:rsidR="00F53F75">
        <w:rPr>
          <w:bCs/>
          <w:lang w:eastAsia="x-none"/>
        </w:rPr>
        <w:t>D</w:t>
      </w:r>
      <w:r w:rsidRPr="00B31EE2">
        <w:rPr>
          <w:bCs/>
          <w:lang w:eastAsia="x-none"/>
        </w:rPr>
        <w:t xml:space="preserve">11b, </w:t>
      </w:r>
      <w:r w:rsidR="00F53F75">
        <w:rPr>
          <w:bCs/>
          <w:lang w:eastAsia="x-none"/>
        </w:rPr>
        <w:t>AF488</w:t>
      </w:r>
      <w:r w:rsidRPr="00B31EE2">
        <w:rPr>
          <w:bCs/>
          <w:lang w:eastAsia="x-none"/>
        </w:rPr>
        <w:t xml:space="preserve">-CD14 and Hoechst (nuclei) with H1975 NucLight Red cells at an E:T ratio of 5:1 treated with AF647-labeled Isotype, </w:t>
      </w:r>
      <w:r w:rsidR="00836FAC" w:rsidRPr="00B31EE2">
        <w:t>amivantamab</w:t>
      </w:r>
      <w:r w:rsidRPr="00B31EE2">
        <w:rPr>
          <w:bCs/>
          <w:lang w:eastAsia="x-none"/>
        </w:rPr>
        <w:t xml:space="preserve"> or </w:t>
      </w:r>
      <w:r w:rsidRPr="00B31EE2">
        <w:rPr>
          <w:lang w:eastAsia="x-none"/>
        </w:rPr>
        <w:t>EGFR/cMet-IgG2</w:t>
      </w:r>
      <w:r w:rsidRPr="00B31EE2">
        <w:t xml:space="preserve">σ (IgG2σ) </w:t>
      </w:r>
      <w:r w:rsidRPr="00B31EE2">
        <w:rPr>
          <w:bCs/>
          <w:lang w:eastAsia="x-none"/>
        </w:rPr>
        <w:t xml:space="preserve">antibodies. </w:t>
      </w:r>
      <w:r w:rsidRPr="00B31EE2">
        <w:rPr>
          <w:b/>
          <w:lang w:eastAsia="x-none"/>
        </w:rPr>
        <w:t>D)</w:t>
      </w:r>
      <w:r w:rsidRPr="00B31EE2">
        <w:rPr>
          <w:bCs/>
          <w:lang w:eastAsia="x-none"/>
        </w:rPr>
        <w:t xml:space="preserve"> Representative images from confocal microscopy of co-culture of M1 or M2 Macrophages labeled with </w:t>
      </w:r>
      <w:r w:rsidR="000B5BE2">
        <w:rPr>
          <w:bCs/>
          <w:lang w:eastAsia="x-none"/>
        </w:rPr>
        <w:t>AF488</w:t>
      </w:r>
      <w:r w:rsidRPr="00B31EE2">
        <w:rPr>
          <w:bCs/>
          <w:lang w:eastAsia="x-none"/>
        </w:rPr>
        <w:t>-C</w:t>
      </w:r>
      <w:r w:rsidR="000B5BE2">
        <w:rPr>
          <w:bCs/>
          <w:lang w:eastAsia="x-none"/>
        </w:rPr>
        <w:t>D</w:t>
      </w:r>
      <w:r w:rsidRPr="00B31EE2">
        <w:rPr>
          <w:bCs/>
          <w:lang w:eastAsia="x-none"/>
        </w:rPr>
        <w:t xml:space="preserve">11b, </w:t>
      </w:r>
      <w:r w:rsidR="000B5BE2">
        <w:rPr>
          <w:bCs/>
          <w:lang w:eastAsia="x-none"/>
        </w:rPr>
        <w:t>AF488</w:t>
      </w:r>
      <w:r w:rsidR="00D31E50">
        <w:rPr>
          <w:bCs/>
          <w:lang w:eastAsia="x-none"/>
        </w:rPr>
        <w:t xml:space="preserve">.            </w:t>
      </w:r>
      <w:r w:rsidRPr="00B31EE2">
        <w:rPr>
          <w:bCs/>
          <w:lang w:eastAsia="x-none"/>
        </w:rPr>
        <w:t xml:space="preserve">-CD14 and Hoechst (nuclei) with H1975 NucLight Red cells at an E:T ratio of 5:1 treated with AF647-labeled Isotype, </w:t>
      </w:r>
      <w:r w:rsidR="00836FAC" w:rsidRPr="00B31EE2">
        <w:t>amivantamab</w:t>
      </w:r>
      <w:r w:rsidRPr="00B31EE2">
        <w:rPr>
          <w:bCs/>
          <w:lang w:eastAsia="x-none"/>
        </w:rPr>
        <w:t xml:space="preserve"> or </w:t>
      </w:r>
      <w:r w:rsidRPr="00B31EE2">
        <w:rPr>
          <w:lang w:eastAsia="x-none"/>
        </w:rPr>
        <w:t>EGFR/cMet-IgG2</w:t>
      </w:r>
      <w:r w:rsidRPr="00B31EE2">
        <w:t xml:space="preserve">σ (IgG2σ) </w:t>
      </w:r>
      <w:r w:rsidRPr="00B31EE2">
        <w:rPr>
          <w:bCs/>
          <w:lang w:eastAsia="x-none"/>
        </w:rPr>
        <w:t>antibodies. White arrows point to trogocytosis events measured as transfer of AF647 labeled antibody from target cells into the M1 or M2 Macrophages. Scale bar = 20µm.</w:t>
      </w:r>
    </w:p>
    <w:p w14:paraId="5DA43937" w14:textId="77777777" w:rsidR="004E3C46" w:rsidRPr="00B31EE2" w:rsidRDefault="004E3C46" w:rsidP="006D6554">
      <w:pPr>
        <w:spacing w:line="480" w:lineRule="auto"/>
        <w:contextualSpacing/>
        <w:outlineLvl w:val="1"/>
      </w:pPr>
    </w:p>
    <w:p w14:paraId="75AA9237" w14:textId="128F6C79" w:rsidR="008C0F12" w:rsidRPr="00B31EE2" w:rsidRDefault="008C0F12" w:rsidP="006D6554">
      <w:pPr>
        <w:spacing w:line="480" w:lineRule="auto"/>
        <w:contextualSpacing/>
        <w:outlineLvl w:val="1"/>
      </w:pPr>
      <w:r w:rsidRPr="00B31EE2">
        <w:rPr>
          <w:b/>
          <w:lang w:eastAsia="x-none"/>
        </w:rPr>
        <w:t>Supplementary Figure S11.</w:t>
      </w:r>
      <w:r w:rsidRPr="00B31EE2">
        <w:t xml:space="preserve"> </w:t>
      </w:r>
      <w:r w:rsidRPr="00B31EE2">
        <w:rPr>
          <w:b/>
          <w:lang w:eastAsia="x-none"/>
        </w:rPr>
        <w:t xml:space="preserve">Macrophages are required for EGFR/Met downmodulation in vitro: </w:t>
      </w:r>
      <w:r w:rsidRPr="00B31EE2">
        <w:rPr>
          <w:lang w:eastAsia="x-none"/>
        </w:rPr>
        <w:t xml:space="preserve">Densitometry of EGFR, pEGFR and cMet protein levels (normalized to loading control </w:t>
      </w:r>
      <w:r w:rsidRPr="00B31EE2">
        <w:t xml:space="preserve">Actin) </w:t>
      </w:r>
      <w:r w:rsidRPr="00B31EE2">
        <w:rPr>
          <w:bCs/>
          <w:lang w:eastAsia="x-none"/>
        </w:rPr>
        <w:t xml:space="preserve">performed following 48 hours treatment of H1975 cells </w:t>
      </w:r>
      <w:r w:rsidRPr="00B31EE2">
        <w:t>with 10</w:t>
      </w:r>
      <w:r w:rsidRPr="00B31EE2">
        <w:sym w:font="Symbol" w:char="F06D"/>
      </w:r>
      <w:r w:rsidRPr="00B31EE2">
        <w:t xml:space="preserve">g/ml of isotype control, </w:t>
      </w:r>
      <w:r w:rsidR="00836FAC" w:rsidRPr="00B31EE2">
        <w:t>amivantamab</w:t>
      </w:r>
      <w:r w:rsidRPr="00B31EE2">
        <w:t xml:space="preserve"> </w:t>
      </w:r>
      <w:r w:rsidR="00700373" w:rsidRPr="00B31EE2">
        <w:t xml:space="preserve">(Ami) </w:t>
      </w:r>
      <w:r w:rsidRPr="00B31EE2">
        <w:t xml:space="preserve">or </w:t>
      </w:r>
      <w:r w:rsidRPr="00B31EE2">
        <w:rPr>
          <w:lang w:eastAsia="x-none"/>
        </w:rPr>
        <w:t>EGFR/cMet-IgG2</w:t>
      </w:r>
      <w:r w:rsidRPr="00B31EE2">
        <w:t xml:space="preserve">σ (IgG2σ) in presence or absence </w:t>
      </w:r>
      <w:r w:rsidRPr="00B31EE2">
        <w:rPr>
          <w:lang w:eastAsia="x-none"/>
        </w:rPr>
        <w:t xml:space="preserve">of </w:t>
      </w:r>
      <w:r w:rsidRPr="00B31EE2">
        <w:rPr>
          <w:b/>
          <w:bCs/>
          <w:lang w:eastAsia="x-none"/>
        </w:rPr>
        <w:t xml:space="preserve">A) </w:t>
      </w:r>
      <w:r w:rsidRPr="00B31EE2">
        <w:rPr>
          <w:lang w:eastAsia="x-none"/>
        </w:rPr>
        <w:t xml:space="preserve">M1 macrophages (M1), </w:t>
      </w:r>
      <w:r w:rsidRPr="00B31EE2">
        <w:rPr>
          <w:b/>
          <w:bCs/>
          <w:lang w:eastAsia="x-none"/>
        </w:rPr>
        <w:t xml:space="preserve">B) </w:t>
      </w:r>
      <w:r w:rsidRPr="00B31EE2">
        <w:rPr>
          <w:lang w:eastAsia="x-none"/>
        </w:rPr>
        <w:t xml:space="preserve">M2a macrophages (M2a) or </w:t>
      </w:r>
      <w:r w:rsidRPr="00B31EE2">
        <w:rPr>
          <w:b/>
          <w:bCs/>
          <w:lang w:eastAsia="x-none"/>
        </w:rPr>
        <w:t xml:space="preserve">C) </w:t>
      </w:r>
      <w:r w:rsidRPr="00B31EE2">
        <w:rPr>
          <w:lang w:eastAsia="x-none"/>
        </w:rPr>
        <w:t>M2c macrophages (M2c)</w:t>
      </w:r>
      <w:r w:rsidRPr="00B31EE2">
        <w:rPr>
          <w:b/>
          <w:bCs/>
          <w:lang w:eastAsia="x-none"/>
        </w:rPr>
        <w:t xml:space="preserve"> </w:t>
      </w:r>
      <w:r w:rsidRPr="00B31EE2">
        <w:rPr>
          <w:lang w:eastAsia="x-none"/>
        </w:rPr>
        <w:t xml:space="preserve">differentiated from monocytes isolated from donor #3. </w:t>
      </w:r>
    </w:p>
    <w:p w14:paraId="2219D906" w14:textId="77777777" w:rsidR="009D0E33" w:rsidRPr="00B31EE2" w:rsidRDefault="009D0E33" w:rsidP="009D0E33">
      <w:pPr>
        <w:spacing w:line="480" w:lineRule="auto"/>
        <w:contextualSpacing/>
        <w:rPr>
          <w:lang w:eastAsia="x-none"/>
        </w:rPr>
      </w:pPr>
    </w:p>
    <w:p w14:paraId="56B63068" w14:textId="3F06EA90" w:rsidR="008C0F12" w:rsidRPr="00B31EE2" w:rsidRDefault="008C0F12" w:rsidP="009D0E33">
      <w:pPr>
        <w:spacing w:line="480" w:lineRule="auto"/>
        <w:contextualSpacing/>
        <w:rPr>
          <w:lang w:eastAsia="x-none"/>
        </w:rPr>
      </w:pPr>
      <w:r w:rsidRPr="00B31EE2">
        <w:rPr>
          <w:b/>
          <w:lang w:eastAsia="x-none"/>
        </w:rPr>
        <w:lastRenderedPageBreak/>
        <w:t>Supplementary Figure S12.</w:t>
      </w:r>
      <w:r w:rsidRPr="00B31EE2">
        <w:t xml:space="preserve"> </w:t>
      </w:r>
      <w:r w:rsidR="00836FAC" w:rsidRPr="00B31EE2">
        <w:rPr>
          <w:b/>
          <w:bCs/>
        </w:rPr>
        <w:t>Amivantamab</w:t>
      </w:r>
      <w:r w:rsidR="00836FAC" w:rsidRPr="00B31EE2">
        <w:rPr>
          <w:b/>
          <w:lang w:eastAsia="x-none"/>
        </w:rPr>
        <w:t xml:space="preserve"> </w:t>
      </w:r>
      <w:r w:rsidRPr="00B31EE2">
        <w:rPr>
          <w:b/>
          <w:lang w:eastAsia="x-none"/>
        </w:rPr>
        <w:t>Fc interaction is required for anti-tumor efficacy</w:t>
      </w:r>
      <w:r w:rsidRPr="00B31EE2">
        <w:rPr>
          <w:b/>
          <w:i/>
          <w:iCs/>
          <w:lang w:eastAsia="x-none"/>
        </w:rPr>
        <w:t xml:space="preserve"> in vivo</w:t>
      </w:r>
      <w:r w:rsidRPr="00B31EE2">
        <w:rPr>
          <w:b/>
          <w:lang w:eastAsia="x-none"/>
        </w:rPr>
        <w:t xml:space="preserve"> in H1975 and SNU5 xenografts:</w:t>
      </w:r>
      <w:r w:rsidRPr="00B31EE2">
        <w:rPr>
          <w:lang w:eastAsia="x-none"/>
        </w:rPr>
        <w:t xml:space="preserve"> </w:t>
      </w:r>
      <w:r w:rsidRPr="00B31EE2">
        <w:rPr>
          <w:b/>
          <w:bCs/>
          <w:lang w:eastAsia="x-none"/>
        </w:rPr>
        <w:t xml:space="preserve">A) </w:t>
      </w:r>
      <w:r w:rsidRPr="00B31EE2">
        <w:rPr>
          <w:lang w:eastAsia="x-none"/>
        </w:rPr>
        <w:t xml:space="preserve">Dosing schedule of subcutaneously injected H1975 cell line xenograft tumors. </w:t>
      </w:r>
      <w:r w:rsidRPr="00B31EE2">
        <w:rPr>
          <w:b/>
          <w:bCs/>
          <w:lang w:eastAsia="x-none"/>
        </w:rPr>
        <w:t xml:space="preserve">B) </w:t>
      </w:r>
      <w:r w:rsidRPr="00B31EE2">
        <w:rPr>
          <w:lang w:eastAsia="x-none"/>
        </w:rPr>
        <w:t xml:space="preserve">Graph showing change in mouse body weight over time and </w:t>
      </w:r>
      <w:r w:rsidRPr="00B31EE2">
        <w:rPr>
          <w:b/>
          <w:bCs/>
          <w:lang w:eastAsia="x-none"/>
        </w:rPr>
        <w:t>C)</w:t>
      </w:r>
      <w:r w:rsidRPr="00B31EE2">
        <w:rPr>
          <w:lang w:eastAsia="x-none"/>
        </w:rPr>
        <w:t xml:space="preserve"> individual </w:t>
      </w:r>
      <w:r w:rsidR="00445550">
        <w:rPr>
          <w:lang w:eastAsia="x-none"/>
        </w:rPr>
        <w:t>t</w:t>
      </w:r>
      <w:r w:rsidRPr="00B31EE2">
        <w:rPr>
          <w:lang w:eastAsia="x-none"/>
        </w:rPr>
        <w:t xml:space="preserve">umor volumes of subcutaneously injected H1975 xenograft tumors upon treatment with 10mg/kg </w:t>
      </w:r>
      <w:r w:rsidR="00445550">
        <w:rPr>
          <w:lang w:eastAsia="x-none"/>
        </w:rPr>
        <w:t>i</w:t>
      </w:r>
      <w:r w:rsidRPr="00B31EE2">
        <w:rPr>
          <w:lang w:eastAsia="x-none"/>
        </w:rPr>
        <w:t xml:space="preserve">sotype control, </w:t>
      </w:r>
      <w:r w:rsidR="00836FAC" w:rsidRPr="00B31EE2">
        <w:t>amivantamab</w:t>
      </w:r>
      <w:r w:rsidRPr="00B31EE2">
        <w:rPr>
          <w:lang w:eastAsia="x-none"/>
        </w:rPr>
        <w:t xml:space="preserve"> </w:t>
      </w:r>
      <w:r w:rsidR="00E01908" w:rsidRPr="00B31EE2">
        <w:t xml:space="preserve">(Ami) </w:t>
      </w:r>
      <w:r w:rsidRPr="00B31EE2">
        <w:rPr>
          <w:lang w:eastAsia="x-none"/>
        </w:rPr>
        <w:t>or EGFR/cMet-IgG2</w:t>
      </w:r>
      <w:r w:rsidRPr="00B31EE2">
        <w:t xml:space="preserve">σ (IgG2σ) </w:t>
      </w:r>
      <w:r w:rsidRPr="00B31EE2">
        <w:rPr>
          <w:lang w:eastAsia="x-none"/>
        </w:rPr>
        <w:t xml:space="preserve">(n=8 mice per treatment group) for 3 weeks BIW. </w:t>
      </w:r>
      <w:r w:rsidRPr="00B31EE2">
        <w:rPr>
          <w:b/>
          <w:bCs/>
          <w:lang w:eastAsia="x-none"/>
        </w:rPr>
        <w:t xml:space="preserve">D) </w:t>
      </w:r>
      <w:r w:rsidRPr="00B31EE2">
        <w:rPr>
          <w:lang w:eastAsia="x-none"/>
        </w:rPr>
        <w:t xml:space="preserve">Dosing schedule of subcutaneously injected SNU-5 cell line xenograft tumors. </w:t>
      </w:r>
      <w:r w:rsidRPr="00B31EE2">
        <w:rPr>
          <w:b/>
          <w:bCs/>
          <w:lang w:eastAsia="x-none"/>
        </w:rPr>
        <w:t>E)</w:t>
      </w:r>
      <w:r w:rsidRPr="00B31EE2">
        <w:rPr>
          <w:lang w:eastAsia="x-none"/>
        </w:rPr>
        <w:t xml:space="preserve"> Graph showing change in mouse body weight over time and </w:t>
      </w:r>
      <w:r w:rsidRPr="00B31EE2">
        <w:rPr>
          <w:b/>
          <w:bCs/>
          <w:lang w:eastAsia="x-none"/>
        </w:rPr>
        <w:t>F)</w:t>
      </w:r>
      <w:r w:rsidRPr="00B31EE2">
        <w:rPr>
          <w:lang w:eastAsia="x-none"/>
        </w:rPr>
        <w:t xml:space="preserve"> individual </w:t>
      </w:r>
      <w:r w:rsidR="00E83336">
        <w:rPr>
          <w:lang w:eastAsia="x-none"/>
        </w:rPr>
        <w:t>t</w:t>
      </w:r>
      <w:r w:rsidRPr="00B31EE2">
        <w:rPr>
          <w:lang w:eastAsia="x-none"/>
        </w:rPr>
        <w:t xml:space="preserve">umor volumes of subcutaneously injected SNU-5 xenograft tumors upon treatment with Vehicle (PBS), 5mg/kg </w:t>
      </w:r>
      <w:r w:rsidR="00836FAC" w:rsidRPr="00B31EE2">
        <w:t>amivantamab</w:t>
      </w:r>
      <w:r w:rsidRPr="00B31EE2">
        <w:rPr>
          <w:lang w:eastAsia="x-none"/>
        </w:rPr>
        <w:t xml:space="preserve"> </w:t>
      </w:r>
      <w:r w:rsidR="00DB561D" w:rsidRPr="00B31EE2">
        <w:t xml:space="preserve">(Ami) </w:t>
      </w:r>
      <w:r w:rsidRPr="00B31EE2">
        <w:rPr>
          <w:lang w:eastAsia="x-none"/>
        </w:rPr>
        <w:t>or EGFR/cMet-IgG2</w:t>
      </w:r>
      <w:r w:rsidRPr="00B31EE2">
        <w:t xml:space="preserve">σ (IgG2σ) </w:t>
      </w:r>
      <w:r w:rsidRPr="00B31EE2">
        <w:rPr>
          <w:lang w:eastAsia="x-none"/>
        </w:rPr>
        <w:t xml:space="preserve">(n=8 mice per treatment group) for 3 weeks BIW. </w:t>
      </w:r>
    </w:p>
    <w:p w14:paraId="266BDC40" w14:textId="77777777" w:rsidR="008C0F12" w:rsidRPr="00B31EE2" w:rsidRDefault="008C0F12" w:rsidP="008C0F12">
      <w:pPr>
        <w:spacing w:line="480" w:lineRule="auto"/>
        <w:contextualSpacing/>
        <w:rPr>
          <w:lang w:eastAsia="x-none"/>
        </w:rPr>
      </w:pPr>
    </w:p>
    <w:p w14:paraId="56205DB0" w14:textId="06E1B218" w:rsidR="00E53093" w:rsidRPr="00B31EE2" w:rsidRDefault="008C0F12" w:rsidP="00E53093">
      <w:pPr>
        <w:spacing w:line="480" w:lineRule="auto"/>
        <w:contextualSpacing/>
        <w:rPr>
          <w:lang w:eastAsia="x-none"/>
        </w:rPr>
      </w:pPr>
      <w:r w:rsidRPr="00B31EE2">
        <w:rPr>
          <w:b/>
          <w:lang w:eastAsia="x-none"/>
        </w:rPr>
        <w:t>Supplementary Figure S13.</w:t>
      </w:r>
      <w:r w:rsidRPr="00B31EE2">
        <w:t xml:space="preserve"> </w:t>
      </w:r>
      <w:r w:rsidRPr="00B31EE2">
        <w:rPr>
          <w:b/>
          <w:lang w:eastAsia="x-none"/>
        </w:rPr>
        <w:t xml:space="preserve">Macrophages are required for </w:t>
      </w:r>
      <w:r w:rsidR="00836FAC" w:rsidRPr="00B31EE2">
        <w:rPr>
          <w:b/>
          <w:bCs/>
        </w:rPr>
        <w:t>amivantamab</w:t>
      </w:r>
      <w:r w:rsidRPr="00B31EE2">
        <w:rPr>
          <w:b/>
          <w:lang w:eastAsia="x-none"/>
        </w:rPr>
        <w:t xml:space="preserve"> anti-tumor efficacy</w:t>
      </w:r>
      <w:r w:rsidRPr="00B31EE2">
        <w:rPr>
          <w:b/>
          <w:i/>
          <w:iCs/>
          <w:lang w:eastAsia="x-none"/>
        </w:rPr>
        <w:t xml:space="preserve"> in vivo</w:t>
      </w:r>
      <w:r w:rsidRPr="00B31EE2">
        <w:rPr>
          <w:b/>
          <w:lang w:eastAsia="x-none"/>
        </w:rPr>
        <w:t>:</w:t>
      </w:r>
      <w:r w:rsidRPr="00B31EE2">
        <w:rPr>
          <w:lang w:eastAsia="x-none"/>
        </w:rPr>
        <w:t xml:space="preserve"> </w:t>
      </w:r>
      <w:r w:rsidRPr="00B31EE2">
        <w:rPr>
          <w:b/>
          <w:bCs/>
          <w:lang w:eastAsia="x-none"/>
        </w:rPr>
        <w:t xml:space="preserve">A) </w:t>
      </w:r>
      <w:r w:rsidRPr="00B31EE2">
        <w:rPr>
          <w:lang w:eastAsia="x-none"/>
        </w:rPr>
        <w:t>Densitometry of pEGFR and pMet protein (normalized to loading control GAPDH) in SNU5 tumor samples (n=8/group)</w:t>
      </w:r>
      <w:r w:rsidRPr="00B31EE2">
        <w:rPr>
          <w:b/>
          <w:lang w:eastAsia="x-none"/>
        </w:rPr>
        <w:t xml:space="preserve"> </w:t>
      </w:r>
      <w:r w:rsidRPr="00B31EE2">
        <w:rPr>
          <w:bCs/>
          <w:lang w:eastAsia="x-none"/>
        </w:rPr>
        <w:t xml:space="preserve">treated with vehicle control or 5mg/kg of </w:t>
      </w:r>
      <w:r w:rsidR="00836FAC" w:rsidRPr="00B31EE2">
        <w:t>amivantamab</w:t>
      </w:r>
      <w:r w:rsidRPr="00B31EE2">
        <w:rPr>
          <w:bCs/>
          <w:lang w:eastAsia="x-none"/>
        </w:rPr>
        <w:t xml:space="preserve"> </w:t>
      </w:r>
      <w:r w:rsidR="002C741D" w:rsidRPr="00B31EE2">
        <w:t xml:space="preserve">(Ami) </w:t>
      </w:r>
      <w:r w:rsidRPr="00B31EE2">
        <w:rPr>
          <w:bCs/>
          <w:lang w:eastAsia="x-none"/>
        </w:rPr>
        <w:t xml:space="preserve">or </w:t>
      </w:r>
      <w:r w:rsidRPr="00B31EE2">
        <w:rPr>
          <w:lang w:eastAsia="x-none"/>
        </w:rPr>
        <w:t>EGFR/cMet-IgG2</w:t>
      </w:r>
      <w:r w:rsidRPr="00B31EE2">
        <w:t>σ (IgG2σ)</w:t>
      </w:r>
      <w:r w:rsidRPr="00B31EE2">
        <w:rPr>
          <w:bCs/>
          <w:lang w:eastAsia="x-none"/>
        </w:rPr>
        <w:t xml:space="preserve"> BIW </w:t>
      </w:r>
      <w:r w:rsidRPr="00B31EE2">
        <w:rPr>
          <w:lang w:eastAsia="x-none"/>
        </w:rPr>
        <w:t xml:space="preserve">for 1 week. p-values were calculated using One Way ANOVA; * = p&lt;0.05. </w:t>
      </w:r>
      <w:r w:rsidRPr="00B31EE2">
        <w:rPr>
          <w:b/>
          <w:bCs/>
          <w:lang w:eastAsia="x-none"/>
        </w:rPr>
        <w:t xml:space="preserve">B) </w:t>
      </w:r>
      <w:r w:rsidRPr="00B31EE2">
        <w:rPr>
          <w:lang w:eastAsia="x-none"/>
        </w:rPr>
        <w:t xml:space="preserve">Dosing schedule of subcutaneously injected H1975 cell line xenograft tumors treated with anti-CSF1R antibody to deplete macrophages followed by treatment with isotype, </w:t>
      </w:r>
      <w:r w:rsidR="00836FAC" w:rsidRPr="00B31EE2">
        <w:t>amivantamab</w:t>
      </w:r>
      <w:r w:rsidRPr="00B31EE2">
        <w:rPr>
          <w:lang w:eastAsia="x-none"/>
        </w:rPr>
        <w:t xml:space="preserve"> or EGFR/cMet-IgG2</w:t>
      </w:r>
      <w:r w:rsidRPr="00B31EE2">
        <w:t>σ (IgG2σ)</w:t>
      </w:r>
      <w:r w:rsidRPr="00B31EE2">
        <w:rPr>
          <w:lang w:eastAsia="x-none"/>
        </w:rPr>
        <w:t xml:space="preserve">. </w:t>
      </w:r>
      <w:r w:rsidRPr="00B31EE2">
        <w:rPr>
          <w:b/>
          <w:bCs/>
          <w:lang w:eastAsia="x-none"/>
        </w:rPr>
        <w:t>C)</w:t>
      </w:r>
      <w:r w:rsidRPr="00B31EE2">
        <w:rPr>
          <w:lang w:eastAsia="x-none"/>
        </w:rPr>
        <w:t xml:space="preserve"> Graph showing change in mouse body weight over time and </w:t>
      </w:r>
      <w:r w:rsidRPr="00B31EE2">
        <w:rPr>
          <w:b/>
          <w:bCs/>
          <w:lang w:eastAsia="x-none"/>
        </w:rPr>
        <w:t>D)</w:t>
      </w:r>
      <w:r w:rsidRPr="00B31EE2">
        <w:rPr>
          <w:lang w:eastAsia="x-none"/>
        </w:rPr>
        <w:t xml:space="preserve"> individual Tumor volumes of subcutaneously injected H1975 xenograft tumors upon macrophage depletion using anti-CSF1R antibody followed by treatment with treatment with 10mg/kg isotype, </w:t>
      </w:r>
      <w:r w:rsidR="00836FAC" w:rsidRPr="00B31EE2">
        <w:t>amivantamab</w:t>
      </w:r>
      <w:r w:rsidRPr="00B31EE2">
        <w:rPr>
          <w:lang w:eastAsia="x-none"/>
        </w:rPr>
        <w:t xml:space="preserve"> or EGFR/cMet-IgG2</w:t>
      </w:r>
      <w:r w:rsidRPr="00B31EE2">
        <w:t xml:space="preserve">σ (IgG2σ) </w:t>
      </w:r>
      <w:r w:rsidRPr="00B31EE2">
        <w:rPr>
          <w:lang w:eastAsia="x-none"/>
        </w:rPr>
        <w:t>(n=8 mice per group) for 3 weeks BIW.</w:t>
      </w:r>
      <w:r w:rsidR="00E53093" w:rsidRPr="00B31EE2">
        <w:rPr>
          <w:lang w:eastAsia="x-none"/>
        </w:rPr>
        <w:t xml:space="preserve"> </w:t>
      </w:r>
    </w:p>
    <w:p w14:paraId="1B79F6CC" w14:textId="30FDACCD" w:rsidR="002C741D" w:rsidRPr="00B31EE2" w:rsidRDefault="002C741D" w:rsidP="00E53093">
      <w:pPr>
        <w:spacing w:line="480" w:lineRule="auto"/>
        <w:contextualSpacing/>
        <w:rPr>
          <w:lang w:eastAsia="x-none"/>
        </w:rPr>
      </w:pPr>
    </w:p>
    <w:p w14:paraId="0EDB1343" w14:textId="77777777" w:rsidR="002C741D" w:rsidRPr="00B31EE2" w:rsidRDefault="002C741D" w:rsidP="00E53093">
      <w:pPr>
        <w:spacing w:line="480" w:lineRule="auto"/>
        <w:contextualSpacing/>
        <w:rPr>
          <w:lang w:eastAsia="x-none"/>
        </w:rPr>
      </w:pPr>
    </w:p>
    <w:p w14:paraId="0C9FB896" w14:textId="77777777" w:rsidR="008C0F12" w:rsidRPr="00B31EE2" w:rsidRDefault="008C0F12" w:rsidP="008C0F12">
      <w:pPr>
        <w:spacing w:line="480" w:lineRule="auto"/>
        <w:contextualSpacing/>
        <w:outlineLvl w:val="0"/>
        <w:rPr>
          <w:b/>
        </w:rPr>
      </w:pPr>
      <w:r w:rsidRPr="00B31EE2">
        <w:rPr>
          <w:b/>
        </w:rPr>
        <w:t>SUPPLEMENTARY MOVIE LEGENDS</w:t>
      </w:r>
    </w:p>
    <w:p w14:paraId="6678FCE6" w14:textId="198AC4C5" w:rsidR="008C0F12" w:rsidRPr="00B31EE2" w:rsidRDefault="008C0F12" w:rsidP="008C0F12">
      <w:pPr>
        <w:spacing w:line="480" w:lineRule="auto"/>
        <w:contextualSpacing/>
        <w:rPr>
          <w:bCs/>
          <w:lang w:eastAsia="x-none"/>
        </w:rPr>
      </w:pPr>
      <w:r w:rsidRPr="00B31EE2">
        <w:rPr>
          <w:b/>
          <w:lang w:eastAsia="x-none"/>
        </w:rPr>
        <w:t xml:space="preserve">Supplementary Movie M1. Live cell imaging of monocyte mediated trogocytosis: </w:t>
      </w:r>
      <w:r w:rsidRPr="00B31EE2">
        <w:rPr>
          <w:bCs/>
          <w:lang w:eastAsia="x-none"/>
        </w:rPr>
        <w:t xml:space="preserve">Movie made using </w:t>
      </w:r>
      <w:r w:rsidR="00853BA6">
        <w:rPr>
          <w:bCs/>
          <w:lang w:eastAsia="x-none"/>
        </w:rPr>
        <w:t xml:space="preserve">confocal microscopy </w:t>
      </w:r>
      <w:r w:rsidRPr="00B31EE2">
        <w:rPr>
          <w:bCs/>
          <w:lang w:eastAsia="x-none"/>
        </w:rPr>
        <w:t xml:space="preserve">images taken every 11 minutes shows the transfer of AF647-labeled </w:t>
      </w:r>
      <w:r w:rsidR="00836FAC" w:rsidRPr="00B31EE2">
        <w:t>amivantamab</w:t>
      </w:r>
      <w:r w:rsidRPr="00B31EE2">
        <w:rPr>
          <w:bCs/>
          <w:lang w:eastAsia="x-none"/>
        </w:rPr>
        <w:t xml:space="preserve"> from opsonized H1975 NucLight Red cells into monocytes labeled with Hoechst (nuclei).</w:t>
      </w:r>
    </w:p>
    <w:p w14:paraId="4A8AFC6A" w14:textId="77777777" w:rsidR="008C0F12" w:rsidRPr="00B31EE2" w:rsidRDefault="008C0F12" w:rsidP="008C0F12">
      <w:pPr>
        <w:spacing w:line="480" w:lineRule="auto"/>
        <w:contextualSpacing/>
        <w:rPr>
          <w:b/>
          <w:lang w:eastAsia="x-none"/>
        </w:rPr>
      </w:pPr>
    </w:p>
    <w:p w14:paraId="510247D2" w14:textId="34F297F1" w:rsidR="008C0F12" w:rsidRPr="00B31EE2" w:rsidRDefault="008C0F12" w:rsidP="008C0F12">
      <w:pPr>
        <w:spacing w:line="480" w:lineRule="auto"/>
        <w:contextualSpacing/>
        <w:rPr>
          <w:bCs/>
          <w:lang w:eastAsia="x-none"/>
        </w:rPr>
      </w:pPr>
      <w:r w:rsidRPr="00B31EE2">
        <w:rPr>
          <w:b/>
          <w:lang w:eastAsia="x-none"/>
        </w:rPr>
        <w:t xml:space="preserve">Supplementary Movie M2. Live cell imaging of M1 macrophage mediated trogocytosis: </w:t>
      </w:r>
      <w:r w:rsidRPr="00B31EE2">
        <w:rPr>
          <w:bCs/>
          <w:lang w:eastAsia="x-none"/>
        </w:rPr>
        <w:t xml:space="preserve">Movie made using </w:t>
      </w:r>
      <w:r w:rsidR="00853BA6">
        <w:rPr>
          <w:bCs/>
          <w:lang w:eastAsia="x-none"/>
        </w:rPr>
        <w:t xml:space="preserve">confocal microscopy </w:t>
      </w:r>
      <w:r w:rsidRPr="00B31EE2">
        <w:rPr>
          <w:bCs/>
          <w:lang w:eastAsia="x-none"/>
        </w:rPr>
        <w:t xml:space="preserve">images taken every 11 minutes shows the transfer of AF647-labeled </w:t>
      </w:r>
      <w:r w:rsidR="00836FAC" w:rsidRPr="00B31EE2">
        <w:t>amivantamab</w:t>
      </w:r>
      <w:r w:rsidRPr="00B31EE2">
        <w:rPr>
          <w:bCs/>
          <w:lang w:eastAsia="x-none"/>
        </w:rPr>
        <w:t xml:space="preserve"> from opsonized H1975 NucLight Red cells into M1 labeled with </w:t>
      </w:r>
      <w:r w:rsidR="00853BA6">
        <w:rPr>
          <w:bCs/>
          <w:lang w:eastAsia="x-none"/>
        </w:rPr>
        <w:t>AF488</w:t>
      </w:r>
      <w:r w:rsidRPr="00B31EE2">
        <w:rPr>
          <w:bCs/>
          <w:lang w:eastAsia="x-none"/>
        </w:rPr>
        <w:t>-C</w:t>
      </w:r>
      <w:r w:rsidR="00C4700D">
        <w:rPr>
          <w:bCs/>
          <w:lang w:eastAsia="x-none"/>
        </w:rPr>
        <w:t>D</w:t>
      </w:r>
      <w:r w:rsidRPr="00B31EE2">
        <w:rPr>
          <w:bCs/>
          <w:lang w:eastAsia="x-none"/>
        </w:rPr>
        <w:t>11b/</w:t>
      </w:r>
      <w:r w:rsidR="00C4700D">
        <w:rPr>
          <w:bCs/>
          <w:lang w:eastAsia="x-none"/>
        </w:rPr>
        <w:t>AF488-</w:t>
      </w:r>
      <w:r w:rsidRPr="00B31EE2">
        <w:rPr>
          <w:bCs/>
          <w:lang w:eastAsia="x-none"/>
        </w:rPr>
        <w:t>CD14 and Hoechst (nuclei).</w:t>
      </w:r>
    </w:p>
    <w:p w14:paraId="5F8A30E8" w14:textId="77777777" w:rsidR="008C0F12" w:rsidRPr="00B31EE2" w:rsidRDefault="008C0F12" w:rsidP="008C0F12">
      <w:pPr>
        <w:spacing w:line="480" w:lineRule="auto"/>
        <w:contextualSpacing/>
        <w:rPr>
          <w:bCs/>
          <w:lang w:eastAsia="x-none"/>
        </w:rPr>
      </w:pPr>
    </w:p>
    <w:p w14:paraId="53832A84" w14:textId="74B98ED9" w:rsidR="008C0F12" w:rsidRPr="00B31EE2" w:rsidRDefault="008C0F12" w:rsidP="008C0F12">
      <w:pPr>
        <w:spacing w:line="480" w:lineRule="auto"/>
        <w:contextualSpacing/>
        <w:rPr>
          <w:bCs/>
          <w:lang w:eastAsia="x-none"/>
        </w:rPr>
      </w:pPr>
      <w:r w:rsidRPr="00B31EE2">
        <w:rPr>
          <w:b/>
          <w:lang w:eastAsia="x-none"/>
        </w:rPr>
        <w:t xml:space="preserve">Supplementary Movie M3. Live cell imaging of M2 macrophage mediated trogocytosis: </w:t>
      </w:r>
      <w:r w:rsidRPr="00B31EE2">
        <w:rPr>
          <w:bCs/>
          <w:lang w:eastAsia="x-none"/>
        </w:rPr>
        <w:t xml:space="preserve">Movie made using </w:t>
      </w:r>
      <w:r w:rsidR="00853BA6">
        <w:rPr>
          <w:bCs/>
          <w:lang w:eastAsia="x-none"/>
        </w:rPr>
        <w:t xml:space="preserve">confocal microscopy </w:t>
      </w:r>
      <w:r w:rsidRPr="00B31EE2">
        <w:rPr>
          <w:bCs/>
          <w:lang w:eastAsia="x-none"/>
        </w:rPr>
        <w:t xml:space="preserve">images taken every 11 minutes shows the transfer of AF647-labeled </w:t>
      </w:r>
      <w:r w:rsidR="00836FAC" w:rsidRPr="00B31EE2">
        <w:t>amivantamab</w:t>
      </w:r>
      <w:r w:rsidRPr="00B31EE2">
        <w:rPr>
          <w:bCs/>
          <w:lang w:eastAsia="x-none"/>
        </w:rPr>
        <w:t xml:space="preserve"> from opsonized H1975 NucLight Red cells into M2 labeled with </w:t>
      </w:r>
      <w:r w:rsidR="00C4700D">
        <w:rPr>
          <w:bCs/>
          <w:lang w:eastAsia="x-none"/>
        </w:rPr>
        <w:t>AF488</w:t>
      </w:r>
      <w:r w:rsidRPr="00B31EE2">
        <w:rPr>
          <w:bCs/>
          <w:lang w:eastAsia="x-none"/>
        </w:rPr>
        <w:t>-C</w:t>
      </w:r>
      <w:r w:rsidR="00C4700D">
        <w:rPr>
          <w:bCs/>
          <w:lang w:eastAsia="x-none"/>
        </w:rPr>
        <w:t>D</w:t>
      </w:r>
      <w:r w:rsidRPr="00B31EE2">
        <w:rPr>
          <w:bCs/>
          <w:lang w:eastAsia="x-none"/>
        </w:rPr>
        <w:t>11b/</w:t>
      </w:r>
      <w:r w:rsidR="00C4700D">
        <w:rPr>
          <w:bCs/>
          <w:lang w:eastAsia="x-none"/>
        </w:rPr>
        <w:t>AF488-</w:t>
      </w:r>
      <w:r w:rsidRPr="00B31EE2">
        <w:rPr>
          <w:bCs/>
          <w:lang w:eastAsia="x-none"/>
        </w:rPr>
        <w:t>CD14 and Hoechst (nuclei).</w:t>
      </w:r>
    </w:p>
    <w:p w14:paraId="6A02FBEB" w14:textId="77777777" w:rsidR="008C0F12" w:rsidRPr="00B31EE2" w:rsidRDefault="008C0F12" w:rsidP="008C0F12">
      <w:pPr>
        <w:spacing w:line="480" w:lineRule="auto"/>
        <w:contextualSpacing/>
        <w:rPr>
          <w:bCs/>
          <w:lang w:eastAsia="x-none"/>
        </w:rPr>
      </w:pPr>
    </w:p>
    <w:p w14:paraId="0F874AC7" w14:textId="0E8ACA16" w:rsidR="008C0F12" w:rsidRPr="00B31EE2" w:rsidRDefault="008C0F12" w:rsidP="008C0F12">
      <w:pPr>
        <w:spacing w:line="480" w:lineRule="auto"/>
        <w:contextualSpacing/>
        <w:rPr>
          <w:bCs/>
          <w:lang w:eastAsia="x-none"/>
        </w:rPr>
      </w:pPr>
      <w:r w:rsidRPr="00B31EE2">
        <w:rPr>
          <w:b/>
          <w:lang w:eastAsia="x-none"/>
        </w:rPr>
        <w:t xml:space="preserve">Supplementary Movie M4. Live cell imaging of M1 macrophage mediated trogocytosis in adherent co-culture: </w:t>
      </w:r>
      <w:r w:rsidRPr="00B31EE2">
        <w:rPr>
          <w:bCs/>
          <w:lang w:eastAsia="x-none"/>
        </w:rPr>
        <w:t xml:space="preserve">Movie made using </w:t>
      </w:r>
      <w:r w:rsidR="00853BA6">
        <w:rPr>
          <w:bCs/>
          <w:lang w:eastAsia="x-none"/>
        </w:rPr>
        <w:t xml:space="preserve">confocal microscopy </w:t>
      </w:r>
      <w:r w:rsidRPr="00B31EE2">
        <w:rPr>
          <w:bCs/>
          <w:lang w:eastAsia="x-none"/>
        </w:rPr>
        <w:t xml:space="preserve">images taken every 11 minutes shows the transfer of AF647-labeled </w:t>
      </w:r>
      <w:r w:rsidR="00836FAC" w:rsidRPr="00B31EE2">
        <w:t>amivantamab</w:t>
      </w:r>
      <w:r w:rsidRPr="00B31EE2">
        <w:rPr>
          <w:bCs/>
          <w:lang w:eastAsia="x-none"/>
        </w:rPr>
        <w:t xml:space="preserve"> from adherent H1975 NucLight Red cells into M1 labeled with </w:t>
      </w:r>
      <w:r w:rsidR="00C4700D">
        <w:rPr>
          <w:bCs/>
          <w:lang w:eastAsia="x-none"/>
        </w:rPr>
        <w:t>AF488</w:t>
      </w:r>
      <w:r w:rsidRPr="00B31EE2">
        <w:rPr>
          <w:bCs/>
          <w:lang w:eastAsia="x-none"/>
        </w:rPr>
        <w:t>-C</w:t>
      </w:r>
      <w:r w:rsidR="00C4700D">
        <w:rPr>
          <w:bCs/>
          <w:lang w:eastAsia="x-none"/>
        </w:rPr>
        <w:t>D</w:t>
      </w:r>
      <w:r w:rsidRPr="00B31EE2">
        <w:rPr>
          <w:bCs/>
          <w:lang w:eastAsia="x-none"/>
        </w:rPr>
        <w:t>11b/</w:t>
      </w:r>
      <w:r w:rsidR="00C4700D">
        <w:rPr>
          <w:bCs/>
          <w:lang w:eastAsia="x-none"/>
        </w:rPr>
        <w:t>AF488-</w:t>
      </w:r>
      <w:r w:rsidRPr="00B31EE2">
        <w:rPr>
          <w:bCs/>
          <w:lang w:eastAsia="x-none"/>
        </w:rPr>
        <w:t>CD14 and Hoechst (nuclei).</w:t>
      </w:r>
    </w:p>
    <w:p w14:paraId="544C770E" w14:textId="77777777" w:rsidR="008C0F12" w:rsidRPr="00B31EE2" w:rsidRDefault="008C0F12" w:rsidP="008C0F12">
      <w:pPr>
        <w:spacing w:line="480" w:lineRule="auto"/>
        <w:contextualSpacing/>
        <w:rPr>
          <w:bCs/>
          <w:lang w:eastAsia="x-none"/>
        </w:rPr>
      </w:pPr>
    </w:p>
    <w:p w14:paraId="148027DC" w14:textId="77EF5C59" w:rsidR="00E5052E" w:rsidRPr="00B31EE2" w:rsidRDefault="008C0F12" w:rsidP="008C0F12">
      <w:pPr>
        <w:spacing w:line="480" w:lineRule="auto"/>
        <w:contextualSpacing/>
        <w:rPr>
          <w:bCs/>
          <w:lang w:eastAsia="x-none"/>
        </w:rPr>
      </w:pPr>
      <w:r w:rsidRPr="00B31EE2">
        <w:rPr>
          <w:b/>
          <w:lang w:eastAsia="x-none"/>
        </w:rPr>
        <w:lastRenderedPageBreak/>
        <w:t xml:space="preserve">Supplementary Movie M5. Live cell imaging of M2 macrophage mediated trogocytosis in adherent co-culture: </w:t>
      </w:r>
      <w:r w:rsidRPr="00B31EE2">
        <w:rPr>
          <w:bCs/>
          <w:lang w:eastAsia="x-none"/>
        </w:rPr>
        <w:t xml:space="preserve">Movie made using </w:t>
      </w:r>
      <w:r w:rsidR="00853BA6">
        <w:rPr>
          <w:bCs/>
          <w:lang w:eastAsia="x-none"/>
        </w:rPr>
        <w:t xml:space="preserve">confocal microscopy </w:t>
      </w:r>
      <w:r w:rsidRPr="00B31EE2">
        <w:rPr>
          <w:bCs/>
          <w:lang w:eastAsia="x-none"/>
        </w:rPr>
        <w:t xml:space="preserve">images taken every 11 minutes shows the transfer of AF647-labeled </w:t>
      </w:r>
      <w:r w:rsidR="00836FAC" w:rsidRPr="00B31EE2">
        <w:t>amivantamab</w:t>
      </w:r>
      <w:r w:rsidRPr="00B31EE2">
        <w:rPr>
          <w:bCs/>
          <w:lang w:eastAsia="x-none"/>
        </w:rPr>
        <w:t xml:space="preserve"> from adherent H1975 NucLight Red cells into M2 labeled with </w:t>
      </w:r>
      <w:r w:rsidR="00E8498F">
        <w:rPr>
          <w:bCs/>
          <w:lang w:eastAsia="x-none"/>
        </w:rPr>
        <w:t>AF488</w:t>
      </w:r>
      <w:r w:rsidRPr="00B31EE2">
        <w:rPr>
          <w:bCs/>
          <w:lang w:eastAsia="x-none"/>
        </w:rPr>
        <w:t>-C</w:t>
      </w:r>
      <w:r w:rsidR="00E8498F">
        <w:rPr>
          <w:bCs/>
          <w:lang w:eastAsia="x-none"/>
        </w:rPr>
        <w:t>D</w:t>
      </w:r>
      <w:r w:rsidRPr="00B31EE2">
        <w:rPr>
          <w:bCs/>
          <w:lang w:eastAsia="x-none"/>
        </w:rPr>
        <w:t>11b/</w:t>
      </w:r>
      <w:r w:rsidR="00E8498F">
        <w:rPr>
          <w:bCs/>
          <w:lang w:eastAsia="x-none"/>
        </w:rPr>
        <w:t>AF488-</w:t>
      </w:r>
      <w:r w:rsidRPr="00B31EE2">
        <w:rPr>
          <w:bCs/>
          <w:lang w:eastAsia="x-none"/>
        </w:rPr>
        <w:t>CD14 and Hoechst (nuclei).</w:t>
      </w:r>
    </w:p>
    <w:p w14:paraId="27CFAFAD" w14:textId="67634355" w:rsidR="008C0F12" w:rsidRPr="00B31EE2" w:rsidRDefault="008C0F12">
      <w:pPr>
        <w:spacing w:after="200" w:line="276" w:lineRule="auto"/>
        <w:rPr>
          <w:bCs/>
          <w:lang w:eastAsia="x-none"/>
        </w:rPr>
      </w:pPr>
    </w:p>
    <w:sectPr w:rsidR="008C0F12" w:rsidRPr="00B31EE2" w:rsidSect="004453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A46FC" w14:textId="77777777" w:rsidR="00EF435A" w:rsidRDefault="00EF435A" w:rsidP="00175295">
      <w:r>
        <w:separator/>
      </w:r>
    </w:p>
  </w:endnote>
  <w:endnote w:type="continuationSeparator" w:id="0">
    <w:p w14:paraId="787353A4" w14:textId="77777777" w:rsidR="00EF435A" w:rsidRDefault="00EF435A" w:rsidP="0017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0493984"/>
      <w:docPartObj>
        <w:docPartGallery w:val="Page Numbers (Bottom of Page)"/>
        <w:docPartUnique/>
      </w:docPartObj>
    </w:sdtPr>
    <w:sdtEndPr>
      <w:rPr>
        <w:noProof/>
        <w:sz w:val="22"/>
        <w:szCs w:val="22"/>
      </w:rPr>
    </w:sdtEndPr>
    <w:sdtContent>
      <w:p w14:paraId="65C54810" w14:textId="7B590958" w:rsidR="00DB0735" w:rsidRPr="00544FCA" w:rsidRDefault="00DB0735">
        <w:pPr>
          <w:pStyle w:val="Footer"/>
          <w:jc w:val="center"/>
          <w:rPr>
            <w:sz w:val="22"/>
            <w:szCs w:val="22"/>
          </w:rPr>
        </w:pPr>
        <w:r w:rsidRPr="00544FCA">
          <w:rPr>
            <w:sz w:val="22"/>
            <w:szCs w:val="22"/>
          </w:rPr>
          <w:fldChar w:fldCharType="begin"/>
        </w:r>
        <w:r w:rsidRPr="00544FCA">
          <w:rPr>
            <w:sz w:val="22"/>
            <w:szCs w:val="22"/>
          </w:rPr>
          <w:instrText xml:space="preserve"> PAGE   \* MERGEFORMAT </w:instrText>
        </w:r>
        <w:r w:rsidRPr="00544FCA">
          <w:rPr>
            <w:sz w:val="22"/>
            <w:szCs w:val="22"/>
          </w:rPr>
          <w:fldChar w:fldCharType="separate"/>
        </w:r>
        <w:r w:rsidRPr="00544FCA">
          <w:rPr>
            <w:noProof/>
            <w:sz w:val="22"/>
            <w:szCs w:val="22"/>
          </w:rPr>
          <w:t>2</w:t>
        </w:r>
        <w:r w:rsidRPr="00544FCA">
          <w:rPr>
            <w:noProof/>
            <w:sz w:val="22"/>
            <w:szCs w:val="22"/>
          </w:rPr>
          <w:fldChar w:fldCharType="end"/>
        </w:r>
      </w:p>
    </w:sdtContent>
  </w:sdt>
  <w:p w14:paraId="2E469E27" w14:textId="77777777" w:rsidR="00DB0735" w:rsidRDefault="00DB0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8832A" w14:textId="77777777" w:rsidR="00EF435A" w:rsidRDefault="00EF435A" w:rsidP="00175295">
      <w:r>
        <w:separator/>
      </w:r>
    </w:p>
  </w:footnote>
  <w:footnote w:type="continuationSeparator" w:id="0">
    <w:p w14:paraId="1E912119" w14:textId="77777777" w:rsidR="00EF435A" w:rsidRDefault="00EF435A" w:rsidP="00175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AA5F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27492"/>
    <w:multiLevelType w:val="hybridMultilevel"/>
    <w:tmpl w:val="D49C0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E5945"/>
    <w:multiLevelType w:val="hybridMultilevel"/>
    <w:tmpl w:val="DF46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B4A9C"/>
    <w:multiLevelType w:val="hybridMultilevel"/>
    <w:tmpl w:val="623AABFA"/>
    <w:lvl w:ilvl="0" w:tplc="3AB485F4">
      <w:start w:val="1"/>
      <w:numFmt w:val="decimal"/>
      <w:lvlText w:val="%1."/>
      <w:lvlJc w:val="left"/>
      <w:pPr>
        <w:tabs>
          <w:tab w:val="num" w:pos="360"/>
        </w:tabs>
        <w:ind w:left="360" w:hanging="360"/>
      </w:pPr>
      <w:rPr>
        <w:rFonts w:ascii="Arial" w:eastAsia="Times New Roman" w:hAnsi="Arial" w:cs="Arial"/>
      </w:rPr>
    </w:lvl>
    <w:lvl w:ilvl="1" w:tplc="4972207C" w:tentative="1">
      <w:start w:val="1"/>
      <w:numFmt w:val="decimal"/>
      <w:lvlText w:val="%2."/>
      <w:lvlJc w:val="left"/>
      <w:pPr>
        <w:tabs>
          <w:tab w:val="num" w:pos="1080"/>
        </w:tabs>
        <w:ind w:left="1080" w:hanging="360"/>
      </w:pPr>
    </w:lvl>
    <w:lvl w:ilvl="2" w:tplc="A3C41CF2" w:tentative="1">
      <w:start w:val="1"/>
      <w:numFmt w:val="decimal"/>
      <w:lvlText w:val="%3."/>
      <w:lvlJc w:val="left"/>
      <w:pPr>
        <w:tabs>
          <w:tab w:val="num" w:pos="1800"/>
        </w:tabs>
        <w:ind w:left="1800" w:hanging="360"/>
      </w:pPr>
    </w:lvl>
    <w:lvl w:ilvl="3" w:tplc="B06CC11E" w:tentative="1">
      <w:start w:val="1"/>
      <w:numFmt w:val="decimal"/>
      <w:lvlText w:val="%4."/>
      <w:lvlJc w:val="left"/>
      <w:pPr>
        <w:tabs>
          <w:tab w:val="num" w:pos="2520"/>
        </w:tabs>
        <w:ind w:left="2520" w:hanging="360"/>
      </w:pPr>
    </w:lvl>
    <w:lvl w:ilvl="4" w:tplc="47F27534" w:tentative="1">
      <w:start w:val="1"/>
      <w:numFmt w:val="decimal"/>
      <w:lvlText w:val="%5."/>
      <w:lvlJc w:val="left"/>
      <w:pPr>
        <w:tabs>
          <w:tab w:val="num" w:pos="3240"/>
        </w:tabs>
        <w:ind w:left="3240" w:hanging="360"/>
      </w:pPr>
    </w:lvl>
    <w:lvl w:ilvl="5" w:tplc="E5E8ABF6" w:tentative="1">
      <w:start w:val="1"/>
      <w:numFmt w:val="decimal"/>
      <w:lvlText w:val="%6."/>
      <w:lvlJc w:val="left"/>
      <w:pPr>
        <w:tabs>
          <w:tab w:val="num" w:pos="3960"/>
        </w:tabs>
        <w:ind w:left="3960" w:hanging="360"/>
      </w:pPr>
    </w:lvl>
    <w:lvl w:ilvl="6" w:tplc="730281DA" w:tentative="1">
      <w:start w:val="1"/>
      <w:numFmt w:val="decimal"/>
      <w:lvlText w:val="%7."/>
      <w:lvlJc w:val="left"/>
      <w:pPr>
        <w:tabs>
          <w:tab w:val="num" w:pos="4680"/>
        </w:tabs>
        <w:ind w:left="4680" w:hanging="360"/>
      </w:pPr>
    </w:lvl>
    <w:lvl w:ilvl="7" w:tplc="2A1A6CEA" w:tentative="1">
      <w:start w:val="1"/>
      <w:numFmt w:val="decimal"/>
      <w:lvlText w:val="%8."/>
      <w:lvlJc w:val="left"/>
      <w:pPr>
        <w:tabs>
          <w:tab w:val="num" w:pos="5400"/>
        </w:tabs>
        <w:ind w:left="5400" w:hanging="360"/>
      </w:pPr>
    </w:lvl>
    <w:lvl w:ilvl="8" w:tplc="AA0E8A50" w:tentative="1">
      <w:start w:val="1"/>
      <w:numFmt w:val="decimal"/>
      <w:lvlText w:val="%9."/>
      <w:lvlJc w:val="left"/>
      <w:pPr>
        <w:tabs>
          <w:tab w:val="num" w:pos="6120"/>
        </w:tabs>
        <w:ind w:left="6120" w:hanging="360"/>
      </w:pPr>
    </w:lvl>
  </w:abstractNum>
  <w:abstractNum w:abstractNumId="4" w15:restartNumberingAfterBreak="0">
    <w:nsid w:val="10B827D9"/>
    <w:multiLevelType w:val="hybridMultilevel"/>
    <w:tmpl w:val="D49C0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158EB"/>
    <w:multiLevelType w:val="hybridMultilevel"/>
    <w:tmpl w:val="CB9218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865431"/>
    <w:multiLevelType w:val="hybridMultilevel"/>
    <w:tmpl w:val="015461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717C39"/>
    <w:multiLevelType w:val="hybridMultilevel"/>
    <w:tmpl w:val="36248FD6"/>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4F3BFD"/>
    <w:multiLevelType w:val="hybridMultilevel"/>
    <w:tmpl w:val="544A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31EEA"/>
    <w:multiLevelType w:val="hybridMultilevel"/>
    <w:tmpl w:val="623AABFA"/>
    <w:lvl w:ilvl="0" w:tplc="3AB485F4">
      <w:start w:val="1"/>
      <w:numFmt w:val="decimal"/>
      <w:lvlText w:val="%1."/>
      <w:lvlJc w:val="left"/>
      <w:pPr>
        <w:tabs>
          <w:tab w:val="num" w:pos="360"/>
        </w:tabs>
        <w:ind w:left="360" w:hanging="360"/>
      </w:pPr>
      <w:rPr>
        <w:rFonts w:ascii="Arial" w:eastAsia="Times New Roman" w:hAnsi="Arial" w:cs="Arial"/>
      </w:rPr>
    </w:lvl>
    <w:lvl w:ilvl="1" w:tplc="4972207C" w:tentative="1">
      <w:start w:val="1"/>
      <w:numFmt w:val="decimal"/>
      <w:lvlText w:val="%2."/>
      <w:lvlJc w:val="left"/>
      <w:pPr>
        <w:tabs>
          <w:tab w:val="num" w:pos="1080"/>
        </w:tabs>
        <w:ind w:left="1080" w:hanging="360"/>
      </w:pPr>
    </w:lvl>
    <w:lvl w:ilvl="2" w:tplc="A3C41CF2" w:tentative="1">
      <w:start w:val="1"/>
      <w:numFmt w:val="decimal"/>
      <w:lvlText w:val="%3."/>
      <w:lvlJc w:val="left"/>
      <w:pPr>
        <w:tabs>
          <w:tab w:val="num" w:pos="1800"/>
        </w:tabs>
        <w:ind w:left="1800" w:hanging="360"/>
      </w:pPr>
    </w:lvl>
    <w:lvl w:ilvl="3" w:tplc="B06CC11E" w:tentative="1">
      <w:start w:val="1"/>
      <w:numFmt w:val="decimal"/>
      <w:lvlText w:val="%4."/>
      <w:lvlJc w:val="left"/>
      <w:pPr>
        <w:tabs>
          <w:tab w:val="num" w:pos="2520"/>
        </w:tabs>
        <w:ind w:left="2520" w:hanging="360"/>
      </w:pPr>
    </w:lvl>
    <w:lvl w:ilvl="4" w:tplc="47F27534" w:tentative="1">
      <w:start w:val="1"/>
      <w:numFmt w:val="decimal"/>
      <w:lvlText w:val="%5."/>
      <w:lvlJc w:val="left"/>
      <w:pPr>
        <w:tabs>
          <w:tab w:val="num" w:pos="3240"/>
        </w:tabs>
        <w:ind w:left="3240" w:hanging="360"/>
      </w:pPr>
    </w:lvl>
    <w:lvl w:ilvl="5" w:tplc="E5E8ABF6" w:tentative="1">
      <w:start w:val="1"/>
      <w:numFmt w:val="decimal"/>
      <w:lvlText w:val="%6."/>
      <w:lvlJc w:val="left"/>
      <w:pPr>
        <w:tabs>
          <w:tab w:val="num" w:pos="3960"/>
        </w:tabs>
        <w:ind w:left="3960" w:hanging="360"/>
      </w:pPr>
    </w:lvl>
    <w:lvl w:ilvl="6" w:tplc="730281DA" w:tentative="1">
      <w:start w:val="1"/>
      <w:numFmt w:val="decimal"/>
      <w:lvlText w:val="%7."/>
      <w:lvlJc w:val="left"/>
      <w:pPr>
        <w:tabs>
          <w:tab w:val="num" w:pos="4680"/>
        </w:tabs>
        <w:ind w:left="4680" w:hanging="360"/>
      </w:pPr>
    </w:lvl>
    <w:lvl w:ilvl="7" w:tplc="2A1A6CEA" w:tentative="1">
      <w:start w:val="1"/>
      <w:numFmt w:val="decimal"/>
      <w:lvlText w:val="%8."/>
      <w:lvlJc w:val="left"/>
      <w:pPr>
        <w:tabs>
          <w:tab w:val="num" w:pos="5400"/>
        </w:tabs>
        <w:ind w:left="5400" w:hanging="360"/>
      </w:pPr>
    </w:lvl>
    <w:lvl w:ilvl="8" w:tplc="AA0E8A50" w:tentative="1">
      <w:start w:val="1"/>
      <w:numFmt w:val="decimal"/>
      <w:lvlText w:val="%9."/>
      <w:lvlJc w:val="left"/>
      <w:pPr>
        <w:tabs>
          <w:tab w:val="num" w:pos="6120"/>
        </w:tabs>
        <w:ind w:left="6120" w:hanging="360"/>
      </w:pPr>
    </w:lvl>
  </w:abstractNum>
  <w:abstractNum w:abstractNumId="10" w15:restartNumberingAfterBreak="0">
    <w:nsid w:val="1B6223B5"/>
    <w:multiLevelType w:val="hybridMultilevel"/>
    <w:tmpl w:val="02B8925E"/>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1E4741CA"/>
    <w:multiLevelType w:val="hybridMultilevel"/>
    <w:tmpl w:val="2B8CEC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FC229B"/>
    <w:multiLevelType w:val="hybridMultilevel"/>
    <w:tmpl w:val="63DA3D92"/>
    <w:lvl w:ilvl="0" w:tplc="88D00EC4">
      <w:start w:val="1"/>
      <w:numFmt w:val="bullet"/>
      <w:pStyle w:val="Heading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5D3011"/>
    <w:multiLevelType w:val="hybridMultilevel"/>
    <w:tmpl w:val="5ADAC2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3767E5"/>
    <w:multiLevelType w:val="hybridMultilevel"/>
    <w:tmpl w:val="3962CC82"/>
    <w:lvl w:ilvl="0" w:tplc="121E7FD6">
      <w:start w:val="1"/>
      <w:numFmt w:val="bullet"/>
      <w:lvlText w:val="•"/>
      <w:lvlJc w:val="left"/>
      <w:pPr>
        <w:tabs>
          <w:tab w:val="num" w:pos="720"/>
        </w:tabs>
        <w:ind w:left="720" w:hanging="360"/>
      </w:pPr>
      <w:rPr>
        <w:rFonts w:ascii="Arial" w:hAnsi="Arial" w:hint="default"/>
      </w:rPr>
    </w:lvl>
    <w:lvl w:ilvl="1" w:tplc="D584A63E">
      <w:start w:val="1"/>
      <w:numFmt w:val="bullet"/>
      <w:lvlText w:val="•"/>
      <w:lvlJc w:val="left"/>
      <w:pPr>
        <w:tabs>
          <w:tab w:val="num" w:pos="1440"/>
        </w:tabs>
        <w:ind w:left="1440" w:hanging="360"/>
      </w:pPr>
      <w:rPr>
        <w:rFonts w:ascii="Arial" w:hAnsi="Arial" w:hint="default"/>
      </w:rPr>
    </w:lvl>
    <w:lvl w:ilvl="2" w:tplc="4CEC7CBC" w:tentative="1">
      <w:start w:val="1"/>
      <w:numFmt w:val="bullet"/>
      <w:lvlText w:val="•"/>
      <w:lvlJc w:val="left"/>
      <w:pPr>
        <w:tabs>
          <w:tab w:val="num" w:pos="2160"/>
        </w:tabs>
        <w:ind w:left="2160" w:hanging="360"/>
      </w:pPr>
      <w:rPr>
        <w:rFonts w:ascii="Arial" w:hAnsi="Arial" w:hint="default"/>
      </w:rPr>
    </w:lvl>
    <w:lvl w:ilvl="3" w:tplc="99F254EC" w:tentative="1">
      <w:start w:val="1"/>
      <w:numFmt w:val="bullet"/>
      <w:lvlText w:val="•"/>
      <w:lvlJc w:val="left"/>
      <w:pPr>
        <w:tabs>
          <w:tab w:val="num" w:pos="2880"/>
        </w:tabs>
        <w:ind w:left="2880" w:hanging="360"/>
      </w:pPr>
      <w:rPr>
        <w:rFonts w:ascii="Arial" w:hAnsi="Arial" w:hint="default"/>
      </w:rPr>
    </w:lvl>
    <w:lvl w:ilvl="4" w:tplc="75387FA2" w:tentative="1">
      <w:start w:val="1"/>
      <w:numFmt w:val="bullet"/>
      <w:lvlText w:val="•"/>
      <w:lvlJc w:val="left"/>
      <w:pPr>
        <w:tabs>
          <w:tab w:val="num" w:pos="3600"/>
        </w:tabs>
        <w:ind w:left="3600" w:hanging="360"/>
      </w:pPr>
      <w:rPr>
        <w:rFonts w:ascii="Arial" w:hAnsi="Arial" w:hint="default"/>
      </w:rPr>
    </w:lvl>
    <w:lvl w:ilvl="5" w:tplc="F9189F62" w:tentative="1">
      <w:start w:val="1"/>
      <w:numFmt w:val="bullet"/>
      <w:lvlText w:val="•"/>
      <w:lvlJc w:val="left"/>
      <w:pPr>
        <w:tabs>
          <w:tab w:val="num" w:pos="4320"/>
        </w:tabs>
        <w:ind w:left="4320" w:hanging="360"/>
      </w:pPr>
      <w:rPr>
        <w:rFonts w:ascii="Arial" w:hAnsi="Arial" w:hint="default"/>
      </w:rPr>
    </w:lvl>
    <w:lvl w:ilvl="6" w:tplc="0E16A4EE" w:tentative="1">
      <w:start w:val="1"/>
      <w:numFmt w:val="bullet"/>
      <w:lvlText w:val="•"/>
      <w:lvlJc w:val="left"/>
      <w:pPr>
        <w:tabs>
          <w:tab w:val="num" w:pos="5040"/>
        </w:tabs>
        <w:ind w:left="5040" w:hanging="360"/>
      </w:pPr>
      <w:rPr>
        <w:rFonts w:ascii="Arial" w:hAnsi="Arial" w:hint="default"/>
      </w:rPr>
    </w:lvl>
    <w:lvl w:ilvl="7" w:tplc="C7A0F2D0" w:tentative="1">
      <w:start w:val="1"/>
      <w:numFmt w:val="bullet"/>
      <w:lvlText w:val="•"/>
      <w:lvlJc w:val="left"/>
      <w:pPr>
        <w:tabs>
          <w:tab w:val="num" w:pos="5760"/>
        </w:tabs>
        <w:ind w:left="5760" w:hanging="360"/>
      </w:pPr>
      <w:rPr>
        <w:rFonts w:ascii="Arial" w:hAnsi="Arial" w:hint="default"/>
      </w:rPr>
    </w:lvl>
    <w:lvl w:ilvl="8" w:tplc="DCB0C8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522517"/>
    <w:multiLevelType w:val="hybridMultilevel"/>
    <w:tmpl w:val="5480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23B8D"/>
    <w:multiLevelType w:val="hybridMultilevel"/>
    <w:tmpl w:val="FB94060C"/>
    <w:lvl w:ilvl="0" w:tplc="5CA49720">
      <w:start w:val="1"/>
      <w:numFmt w:val="decimal"/>
      <w:lvlText w:val="%1."/>
      <w:lvlJc w:val="left"/>
      <w:pPr>
        <w:tabs>
          <w:tab w:val="num" w:pos="720"/>
        </w:tabs>
        <w:ind w:left="720" w:hanging="360"/>
      </w:pPr>
    </w:lvl>
    <w:lvl w:ilvl="1" w:tplc="4972207C" w:tentative="1">
      <w:start w:val="1"/>
      <w:numFmt w:val="decimal"/>
      <w:lvlText w:val="%2."/>
      <w:lvlJc w:val="left"/>
      <w:pPr>
        <w:tabs>
          <w:tab w:val="num" w:pos="1440"/>
        </w:tabs>
        <w:ind w:left="1440" w:hanging="360"/>
      </w:pPr>
    </w:lvl>
    <w:lvl w:ilvl="2" w:tplc="A3C41CF2" w:tentative="1">
      <w:start w:val="1"/>
      <w:numFmt w:val="decimal"/>
      <w:lvlText w:val="%3."/>
      <w:lvlJc w:val="left"/>
      <w:pPr>
        <w:tabs>
          <w:tab w:val="num" w:pos="2160"/>
        </w:tabs>
        <w:ind w:left="2160" w:hanging="360"/>
      </w:pPr>
    </w:lvl>
    <w:lvl w:ilvl="3" w:tplc="B06CC11E" w:tentative="1">
      <w:start w:val="1"/>
      <w:numFmt w:val="decimal"/>
      <w:lvlText w:val="%4."/>
      <w:lvlJc w:val="left"/>
      <w:pPr>
        <w:tabs>
          <w:tab w:val="num" w:pos="2880"/>
        </w:tabs>
        <w:ind w:left="2880" w:hanging="360"/>
      </w:pPr>
    </w:lvl>
    <w:lvl w:ilvl="4" w:tplc="47F27534" w:tentative="1">
      <w:start w:val="1"/>
      <w:numFmt w:val="decimal"/>
      <w:lvlText w:val="%5."/>
      <w:lvlJc w:val="left"/>
      <w:pPr>
        <w:tabs>
          <w:tab w:val="num" w:pos="3600"/>
        </w:tabs>
        <w:ind w:left="3600" w:hanging="360"/>
      </w:pPr>
    </w:lvl>
    <w:lvl w:ilvl="5" w:tplc="E5E8ABF6" w:tentative="1">
      <w:start w:val="1"/>
      <w:numFmt w:val="decimal"/>
      <w:lvlText w:val="%6."/>
      <w:lvlJc w:val="left"/>
      <w:pPr>
        <w:tabs>
          <w:tab w:val="num" w:pos="4320"/>
        </w:tabs>
        <w:ind w:left="4320" w:hanging="360"/>
      </w:pPr>
    </w:lvl>
    <w:lvl w:ilvl="6" w:tplc="730281DA" w:tentative="1">
      <w:start w:val="1"/>
      <w:numFmt w:val="decimal"/>
      <w:lvlText w:val="%7."/>
      <w:lvlJc w:val="left"/>
      <w:pPr>
        <w:tabs>
          <w:tab w:val="num" w:pos="5040"/>
        </w:tabs>
        <w:ind w:left="5040" w:hanging="360"/>
      </w:pPr>
    </w:lvl>
    <w:lvl w:ilvl="7" w:tplc="2A1A6CEA" w:tentative="1">
      <w:start w:val="1"/>
      <w:numFmt w:val="decimal"/>
      <w:lvlText w:val="%8."/>
      <w:lvlJc w:val="left"/>
      <w:pPr>
        <w:tabs>
          <w:tab w:val="num" w:pos="5760"/>
        </w:tabs>
        <w:ind w:left="5760" w:hanging="360"/>
      </w:pPr>
    </w:lvl>
    <w:lvl w:ilvl="8" w:tplc="AA0E8A50" w:tentative="1">
      <w:start w:val="1"/>
      <w:numFmt w:val="decimal"/>
      <w:lvlText w:val="%9."/>
      <w:lvlJc w:val="left"/>
      <w:pPr>
        <w:tabs>
          <w:tab w:val="num" w:pos="6480"/>
        </w:tabs>
        <w:ind w:left="6480" w:hanging="360"/>
      </w:pPr>
    </w:lvl>
  </w:abstractNum>
  <w:abstractNum w:abstractNumId="17" w15:restartNumberingAfterBreak="0">
    <w:nsid w:val="384D2869"/>
    <w:multiLevelType w:val="hybridMultilevel"/>
    <w:tmpl w:val="2DCC35B2"/>
    <w:lvl w:ilvl="0" w:tplc="268ADBBA">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D742D4"/>
    <w:multiLevelType w:val="hybridMultilevel"/>
    <w:tmpl w:val="FB94060C"/>
    <w:lvl w:ilvl="0" w:tplc="5CA49720">
      <w:start w:val="1"/>
      <w:numFmt w:val="decimal"/>
      <w:lvlText w:val="%1."/>
      <w:lvlJc w:val="left"/>
      <w:pPr>
        <w:tabs>
          <w:tab w:val="num" w:pos="360"/>
        </w:tabs>
        <w:ind w:left="360" w:hanging="360"/>
      </w:pPr>
    </w:lvl>
    <w:lvl w:ilvl="1" w:tplc="4972207C" w:tentative="1">
      <w:start w:val="1"/>
      <w:numFmt w:val="decimal"/>
      <w:lvlText w:val="%2."/>
      <w:lvlJc w:val="left"/>
      <w:pPr>
        <w:tabs>
          <w:tab w:val="num" w:pos="1080"/>
        </w:tabs>
        <w:ind w:left="1080" w:hanging="360"/>
      </w:pPr>
    </w:lvl>
    <w:lvl w:ilvl="2" w:tplc="A3C41CF2" w:tentative="1">
      <w:start w:val="1"/>
      <w:numFmt w:val="decimal"/>
      <w:lvlText w:val="%3."/>
      <w:lvlJc w:val="left"/>
      <w:pPr>
        <w:tabs>
          <w:tab w:val="num" w:pos="1800"/>
        </w:tabs>
        <w:ind w:left="1800" w:hanging="360"/>
      </w:pPr>
    </w:lvl>
    <w:lvl w:ilvl="3" w:tplc="B06CC11E" w:tentative="1">
      <w:start w:val="1"/>
      <w:numFmt w:val="decimal"/>
      <w:lvlText w:val="%4."/>
      <w:lvlJc w:val="left"/>
      <w:pPr>
        <w:tabs>
          <w:tab w:val="num" w:pos="2520"/>
        </w:tabs>
        <w:ind w:left="2520" w:hanging="360"/>
      </w:pPr>
    </w:lvl>
    <w:lvl w:ilvl="4" w:tplc="47F27534" w:tentative="1">
      <w:start w:val="1"/>
      <w:numFmt w:val="decimal"/>
      <w:lvlText w:val="%5."/>
      <w:lvlJc w:val="left"/>
      <w:pPr>
        <w:tabs>
          <w:tab w:val="num" w:pos="3240"/>
        </w:tabs>
        <w:ind w:left="3240" w:hanging="360"/>
      </w:pPr>
    </w:lvl>
    <w:lvl w:ilvl="5" w:tplc="E5E8ABF6" w:tentative="1">
      <w:start w:val="1"/>
      <w:numFmt w:val="decimal"/>
      <w:lvlText w:val="%6."/>
      <w:lvlJc w:val="left"/>
      <w:pPr>
        <w:tabs>
          <w:tab w:val="num" w:pos="3960"/>
        </w:tabs>
        <w:ind w:left="3960" w:hanging="360"/>
      </w:pPr>
    </w:lvl>
    <w:lvl w:ilvl="6" w:tplc="730281DA" w:tentative="1">
      <w:start w:val="1"/>
      <w:numFmt w:val="decimal"/>
      <w:lvlText w:val="%7."/>
      <w:lvlJc w:val="left"/>
      <w:pPr>
        <w:tabs>
          <w:tab w:val="num" w:pos="4680"/>
        </w:tabs>
        <w:ind w:left="4680" w:hanging="360"/>
      </w:pPr>
    </w:lvl>
    <w:lvl w:ilvl="7" w:tplc="2A1A6CEA" w:tentative="1">
      <w:start w:val="1"/>
      <w:numFmt w:val="decimal"/>
      <w:lvlText w:val="%8."/>
      <w:lvlJc w:val="left"/>
      <w:pPr>
        <w:tabs>
          <w:tab w:val="num" w:pos="5400"/>
        </w:tabs>
        <w:ind w:left="5400" w:hanging="360"/>
      </w:pPr>
    </w:lvl>
    <w:lvl w:ilvl="8" w:tplc="AA0E8A50" w:tentative="1">
      <w:start w:val="1"/>
      <w:numFmt w:val="decimal"/>
      <w:lvlText w:val="%9."/>
      <w:lvlJc w:val="left"/>
      <w:pPr>
        <w:tabs>
          <w:tab w:val="num" w:pos="6120"/>
        </w:tabs>
        <w:ind w:left="6120" w:hanging="360"/>
      </w:pPr>
    </w:lvl>
  </w:abstractNum>
  <w:abstractNum w:abstractNumId="19" w15:restartNumberingAfterBreak="0">
    <w:nsid w:val="3CFE2A52"/>
    <w:multiLevelType w:val="hybridMultilevel"/>
    <w:tmpl w:val="0C22F3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C26DE9"/>
    <w:multiLevelType w:val="hybridMultilevel"/>
    <w:tmpl w:val="4E8CC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01959"/>
    <w:multiLevelType w:val="hybridMultilevel"/>
    <w:tmpl w:val="2B8CEC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DD088B"/>
    <w:multiLevelType w:val="hybridMultilevel"/>
    <w:tmpl w:val="36E8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21C70"/>
    <w:multiLevelType w:val="hybridMultilevel"/>
    <w:tmpl w:val="75887F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867298"/>
    <w:multiLevelType w:val="multilevel"/>
    <w:tmpl w:val="1D12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7E6A59"/>
    <w:multiLevelType w:val="hybridMultilevel"/>
    <w:tmpl w:val="5E2639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6D2D0B"/>
    <w:multiLevelType w:val="hybridMultilevel"/>
    <w:tmpl w:val="F5B4907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02A02"/>
    <w:multiLevelType w:val="hybridMultilevel"/>
    <w:tmpl w:val="D8D4E2A6"/>
    <w:lvl w:ilvl="0" w:tplc="1DCEE9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95153"/>
    <w:multiLevelType w:val="hybridMultilevel"/>
    <w:tmpl w:val="52304D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D13C7C"/>
    <w:multiLevelType w:val="hybridMultilevel"/>
    <w:tmpl w:val="5696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110E6"/>
    <w:multiLevelType w:val="hybridMultilevel"/>
    <w:tmpl w:val="176CFC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3685177"/>
    <w:multiLevelType w:val="hybridMultilevel"/>
    <w:tmpl w:val="1470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53587"/>
    <w:multiLevelType w:val="hybridMultilevel"/>
    <w:tmpl w:val="43D25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2745FC"/>
    <w:multiLevelType w:val="hybridMultilevel"/>
    <w:tmpl w:val="2E2EEF0A"/>
    <w:lvl w:ilvl="0" w:tplc="FCD621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6742A"/>
    <w:multiLevelType w:val="hybridMultilevel"/>
    <w:tmpl w:val="CC9AD686"/>
    <w:lvl w:ilvl="0" w:tplc="04090001">
      <w:start w:val="1"/>
      <w:numFmt w:val="bullet"/>
      <w:lvlText w:val=""/>
      <w:lvlJc w:val="left"/>
      <w:pPr>
        <w:ind w:left="720" w:hanging="360"/>
      </w:pPr>
      <w:rPr>
        <w:rFonts w:ascii="Symbol" w:hAnsi="Symbol" w:hint="default"/>
      </w:rPr>
    </w:lvl>
    <w:lvl w:ilvl="1" w:tplc="F1C2408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6638F"/>
    <w:multiLevelType w:val="hybridMultilevel"/>
    <w:tmpl w:val="4B5C7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EA3FD4"/>
    <w:multiLevelType w:val="hybridMultilevel"/>
    <w:tmpl w:val="32821540"/>
    <w:lvl w:ilvl="0" w:tplc="3FA658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163EFD"/>
    <w:multiLevelType w:val="hybridMultilevel"/>
    <w:tmpl w:val="72467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9C7395"/>
    <w:multiLevelType w:val="hybridMultilevel"/>
    <w:tmpl w:val="FB94060C"/>
    <w:lvl w:ilvl="0" w:tplc="5CA49720">
      <w:start w:val="1"/>
      <w:numFmt w:val="decimal"/>
      <w:lvlText w:val="%1."/>
      <w:lvlJc w:val="left"/>
      <w:pPr>
        <w:tabs>
          <w:tab w:val="num" w:pos="360"/>
        </w:tabs>
        <w:ind w:left="360" w:hanging="360"/>
      </w:pPr>
    </w:lvl>
    <w:lvl w:ilvl="1" w:tplc="4972207C" w:tentative="1">
      <w:start w:val="1"/>
      <w:numFmt w:val="decimal"/>
      <w:lvlText w:val="%2."/>
      <w:lvlJc w:val="left"/>
      <w:pPr>
        <w:tabs>
          <w:tab w:val="num" w:pos="1080"/>
        </w:tabs>
        <w:ind w:left="1080" w:hanging="360"/>
      </w:pPr>
    </w:lvl>
    <w:lvl w:ilvl="2" w:tplc="A3C41CF2" w:tentative="1">
      <w:start w:val="1"/>
      <w:numFmt w:val="decimal"/>
      <w:lvlText w:val="%3."/>
      <w:lvlJc w:val="left"/>
      <w:pPr>
        <w:tabs>
          <w:tab w:val="num" w:pos="1800"/>
        </w:tabs>
        <w:ind w:left="1800" w:hanging="360"/>
      </w:pPr>
    </w:lvl>
    <w:lvl w:ilvl="3" w:tplc="B06CC11E" w:tentative="1">
      <w:start w:val="1"/>
      <w:numFmt w:val="decimal"/>
      <w:lvlText w:val="%4."/>
      <w:lvlJc w:val="left"/>
      <w:pPr>
        <w:tabs>
          <w:tab w:val="num" w:pos="2520"/>
        </w:tabs>
        <w:ind w:left="2520" w:hanging="360"/>
      </w:pPr>
    </w:lvl>
    <w:lvl w:ilvl="4" w:tplc="47F27534" w:tentative="1">
      <w:start w:val="1"/>
      <w:numFmt w:val="decimal"/>
      <w:lvlText w:val="%5."/>
      <w:lvlJc w:val="left"/>
      <w:pPr>
        <w:tabs>
          <w:tab w:val="num" w:pos="3240"/>
        </w:tabs>
        <w:ind w:left="3240" w:hanging="360"/>
      </w:pPr>
    </w:lvl>
    <w:lvl w:ilvl="5" w:tplc="E5E8ABF6" w:tentative="1">
      <w:start w:val="1"/>
      <w:numFmt w:val="decimal"/>
      <w:lvlText w:val="%6."/>
      <w:lvlJc w:val="left"/>
      <w:pPr>
        <w:tabs>
          <w:tab w:val="num" w:pos="3960"/>
        </w:tabs>
        <w:ind w:left="3960" w:hanging="360"/>
      </w:pPr>
    </w:lvl>
    <w:lvl w:ilvl="6" w:tplc="730281DA" w:tentative="1">
      <w:start w:val="1"/>
      <w:numFmt w:val="decimal"/>
      <w:lvlText w:val="%7."/>
      <w:lvlJc w:val="left"/>
      <w:pPr>
        <w:tabs>
          <w:tab w:val="num" w:pos="4680"/>
        </w:tabs>
        <w:ind w:left="4680" w:hanging="360"/>
      </w:pPr>
    </w:lvl>
    <w:lvl w:ilvl="7" w:tplc="2A1A6CEA" w:tentative="1">
      <w:start w:val="1"/>
      <w:numFmt w:val="decimal"/>
      <w:lvlText w:val="%8."/>
      <w:lvlJc w:val="left"/>
      <w:pPr>
        <w:tabs>
          <w:tab w:val="num" w:pos="5400"/>
        </w:tabs>
        <w:ind w:left="5400" w:hanging="360"/>
      </w:pPr>
    </w:lvl>
    <w:lvl w:ilvl="8" w:tplc="AA0E8A50" w:tentative="1">
      <w:start w:val="1"/>
      <w:numFmt w:val="decimal"/>
      <w:lvlText w:val="%9."/>
      <w:lvlJc w:val="left"/>
      <w:pPr>
        <w:tabs>
          <w:tab w:val="num" w:pos="6120"/>
        </w:tabs>
        <w:ind w:left="6120" w:hanging="360"/>
      </w:pPr>
    </w:lvl>
  </w:abstractNum>
  <w:abstractNum w:abstractNumId="39" w15:restartNumberingAfterBreak="0">
    <w:nsid w:val="7EE32316"/>
    <w:multiLevelType w:val="hybridMultilevel"/>
    <w:tmpl w:val="1096A39A"/>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4"/>
  </w:num>
  <w:num w:numId="3">
    <w:abstractNumId w:val="2"/>
  </w:num>
  <w:num w:numId="4">
    <w:abstractNumId w:val="22"/>
  </w:num>
  <w:num w:numId="5">
    <w:abstractNumId w:val="30"/>
  </w:num>
  <w:num w:numId="6">
    <w:abstractNumId w:val="29"/>
  </w:num>
  <w:num w:numId="7">
    <w:abstractNumId w:val="31"/>
  </w:num>
  <w:num w:numId="8">
    <w:abstractNumId w:val="15"/>
  </w:num>
  <w:num w:numId="9">
    <w:abstractNumId w:val="35"/>
  </w:num>
  <w:num w:numId="10">
    <w:abstractNumId w:val="32"/>
  </w:num>
  <w:num w:numId="11">
    <w:abstractNumId w:val="20"/>
  </w:num>
  <w:num w:numId="12">
    <w:abstractNumId w:val="10"/>
  </w:num>
  <w:num w:numId="13">
    <w:abstractNumId w:val="36"/>
  </w:num>
  <w:num w:numId="14">
    <w:abstractNumId w:val="39"/>
  </w:num>
  <w:num w:numId="15">
    <w:abstractNumId w:val="26"/>
  </w:num>
  <w:num w:numId="16">
    <w:abstractNumId w:val="17"/>
  </w:num>
  <w:num w:numId="17">
    <w:abstractNumId w:val="6"/>
  </w:num>
  <w:num w:numId="18">
    <w:abstractNumId w:val="11"/>
  </w:num>
  <w:num w:numId="19">
    <w:abstractNumId w:val="19"/>
  </w:num>
  <w:num w:numId="20">
    <w:abstractNumId w:val="12"/>
  </w:num>
  <w:num w:numId="21">
    <w:abstractNumId w:val="38"/>
  </w:num>
  <w:num w:numId="22">
    <w:abstractNumId w:val="16"/>
  </w:num>
  <w:num w:numId="23">
    <w:abstractNumId w:val="18"/>
  </w:num>
  <w:num w:numId="24">
    <w:abstractNumId w:val="9"/>
  </w:num>
  <w:num w:numId="25">
    <w:abstractNumId w:val="3"/>
  </w:num>
  <w:num w:numId="26">
    <w:abstractNumId w:val="21"/>
  </w:num>
  <w:num w:numId="27">
    <w:abstractNumId w:val="7"/>
  </w:num>
  <w:num w:numId="28">
    <w:abstractNumId w:val="24"/>
  </w:num>
  <w:num w:numId="29">
    <w:abstractNumId w:val="4"/>
  </w:num>
  <w:num w:numId="30">
    <w:abstractNumId w:val="1"/>
  </w:num>
  <w:num w:numId="31">
    <w:abstractNumId w:val="33"/>
  </w:num>
  <w:num w:numId="32">
    <w:abstractNumId w:val="27"/>
  </w:num>
  <w:num w:numId="33">
    <w:abstractNumId w:val="5"/>
  </w:num>
  <w:num w:numId="34">
    <w:abstractNumId w:val="28"/>
  </w:num>
  <w:num w:numId="35">
    <w:abstractNumId w:val="23"/>
  </w:num>
  <w:num w:numId="36">
    <w:abstractNumId w:val="25"/>
  </w:num>
  <w:num w:numId="37">
    <w:abstractNumId w:val="37"/>
  </w:num>
  <w:num w:numId="38">
    <w:abstractNumId w:val="13"/>
  </w:num>
  <w:num w:numId="39">
    <w:abstractNumId w:val="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Cancer Ther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ddat0psxszfd2je5pp5vx5z3dtzt2a9sf9zd&quot;&gt;My EndNote Library&lt;record-ids&gt;&lt;item&gt;2&lt;/item&gt;&lt;item&gt;3&lt;/item&gt;&lt;item&gt;4&lt;/item&gt;&lt;item&gt;5&lt;/item&gt;&lt;item&gt;6&lt;/item&gt;&lt;item&gt;7&lt;/item&gt;&lt;item&gt;8&lt;/item&gt;&lt;item&gt;9&lt;/item&gt;&lt;item&gt;10&lt;/item&gt;&lt;item&gt;11&lt;/item&gt;&lt;item&gt;12&lt;/item&gt;&lt;item&gt;13&lt;/item&gt;&lt;item&gt;14&lt;/item&gt;&lt;item&gt;17&lt;/item&gt;&lt;item&gt;18&lt;/item&gt;&lt;item&gt;19&lt;/item&gt;&lt;item&gt;21&lt;/item&gt;&lt;item&gt;22&lt;/item&gt;&lt;item&gt;23&lt;/item&gt;&lt;item&gt;24&lt;/item&gt;&lt;item&gt;35&lt;/item&gt;&lt;item&gt;36&lt;/item&gt;&lt;item&gt;38&lt;/item&gt;&lt;item&gt;42&lt;/item&gt;&lt;item&gt;47&lt;/item&gt;&lt;item&gt;49&lt;/item&gt;&lt;item&gt;50&lt;/item&gt;&lt;item&gt;51&lt;/item&gt;&lt;item&gt;52&lt;/item&gt;&lt;item&gt;53&lt;/item&gt;&lt;item&gt;55&lt;/item&gt;&lt;item&gt;56&lt;/item&gt;&lt;item&gt;57&lt;/item&gt;&lt;item&gt;58&lt;/item&gt;&lt;item&gt;59&lt;/item&gt;&lt;item&gt;60&lt;/item&gt;&lt;item&gt;61&lt;/item&gt;&lt;item&gt;62&lt;/item&gt;&lt;item&gt;63&lt;/item&gt;&lt;item&gt;64&lt;/item&gt;&lt;item&gt;65&lt;/item&gt;&lt;item&gt;66&lt;/item&gt;&lt;/record-ids&gt;&lt;/item&gt;&lt;/Libraries&gt;"/>
  </w:docVars>
  <w:rsids>
    <w:rsidRoot w:val="005C3EAE"/>
    <w:rsid w:val="00000B3E"/>
    <w:rsid w:val="00000C80"/>
    <w:rsid w:val="0000100C"/>
    <w:rsid w:val="000014E0"/>
    <w:rsid w:val="00002C6B"/>
    <w:rsid w:val="000046F6"/>
    <w:rsid w:val="00005035"/>
    <w:rsid w:val="00005373"/>
    <w:rsid w:val="000054AB"/>
    <w:rsid w:val="00005734"/>
    <w:rsid w:val="00005F11"/>
    <w:rsid w:val="000065A2"/>
    <w:rsid w:val="0000693A"/>
    <w:rsid w:val="00010C5A"/>
    <w:rsid w:val="00010E25"/>
    <w:rsid w:val="000114ED"/>
    <w:rsid w:val="0001196C"/>
    <w:rsid w:val="00011DB0"/>
    <w:rsid w:val="00011F72"/>
    <w:rsid w:val="00013F5E"/>
    <w:rsid w:val="000142D9"/>
    <w:rsid w:val="000142E2"/>
    <w:rsid w:val="00016081"/>
    <w:rsid w:val="000165CB"/>
    <w:rsid w:val="00020345"/>
    <w:rsid w:val="00020D54"/>
    <w:rsid w:val="000212AF"/>
    <w:rsid w:val="00021A93"/>
    <w:rsid w:val="00021C58"/>
    <w:rsid w:val="00023FBF"/>
    <w:rsid w:val="00026BE2"/>
    <w:rsid w:val="00030EE2"/>
    <w:rsid w:val="00031566"/>
    <w:rsid w:val="000355A4"/>
    <w:rsid w:val="0003711F"/>
    <w:rsid w:val="0003749F"/>
    <w:rsid w:val="000375D4"/>
    <w:rsid w:val="000376EC"/>
    <w:rsid w:val="00040809"/>
    <w:rsid w:val="00040BC2"/>
    <w:rsid w:val="00042086"/>
    <w:rsid w:val="00044AE1"/>
    <w:rsid w:val="00044F11"/>
    <w:rsid w:val="00045ED8"/>
    <w:rsid w:val="000469B3"/>
    <w:rsid w:val="0004723B"/>
    <w:rsid w:val="000478FB"/>
    <w:rsid w:val="00047E8E"/>
    <w:rsid w:val="000500A6"/>
    <w:rsid w:val="000519CB"/>
    <w:rsid w:val="00051A81"/>
    <w:rsid w:val="0005259F"/>
    <w:rsid w:val="00053A97"/>
    <w:rsid w:val="00055255"/>
    <w:rsid w:val="00056D20"/>
    <w:rsid w:val="0006158B"/>
    <w:rsid w:val="000618E6"/>
    <w:rsid w:val="0006348F"/>
    <w:rsid w:val="00063658"/>
    <w:rsid w:val="00063939"/>
    <w:rsid w:val="000640F2"/>
    <w:rsid w:val="000646B5"/>
    <w:rsid w:val="0006575F"/>
    <w:rsid w:val="00066B92"/>
    <w:rsid w:val="00067F1A"/>
    <w:rsid w:val="00070A93"/>
    <w:rsid w:val="000727C5"/>
    <w:rsid w:val="00074C6F"/>
    <w:rsid w:val="00075EF6"/>
    <w:rsid w:val="00077D67"/>
    <w:rsid w:val="00080587"/>
    <w:rsid w:val="00080D65"/>
    <w:rsid w:val="000817ED"/>
    <w:rsid w:val="00081C94"/>
    <w:rsid w:val="000829CA"/>
    <w:rsid w:val="000834DF"/>
    <w:rsid w:val="0008354E"/>
    <w:rsid w:val="00083985"/>
    <w:rsid w:val="00083DB9"/>
    <w:rsid w:val="00084546"/>
    <w:rsid w:val="00091C2B"/>
    <w:rsid w:val="000924D7"/>
    <w:rsid w:val="0009273B"/>
    <w:rsid w:val="000931B4"/>
    <w:rsid w:val="0009330F"/>
    <w:rsid w:val="00093878"/>
    <w:rsid w:val="00093902"/>
    <w:rsid w:val="00093931"/>
    <w:rsid w:val="000947AA"/>
    <w:rsid w:val="00094CED"/>
    <w:rsid w:val="00095B73"/>
    <w:rsid w:val="00096BAF"/>
    <w:rsid w:val="00096E0B"/>
    <w:rsid w:val="000A01BF"/>
    <w:rsid w:val="000A1B28"/>
    <w:rsid w:val="000A25E6"/>
    <w:rsid w:val="000A2865"/>
    <w:rsid w:val="000A42E5"/>
    <w:rsid w:val="000A5A85"/>
    <w:rsid w:val="000A6335"/>
    <w:rsid w:val="000A65FA"/>
    <w:rsid w:val="000A669D"/>
    <w:rsid w:val="000B119E"/>
    <w:rsid w:val="000B1AD6"/>
    <w:rsid w:val="000B3AB1"/>
    <w:rsid w:val="000B4529"/>
    <w:rsid w:val="000B5BE2"/>
    <w:rsid w:val="000B5C75"/>
    <w:rsid w:val="000B5D42"/>
    <w:rsid w:val="000B650F"/>
    <w:rsid w:val="000B6B18"/>
    <w:rsid w:val="000C1E6A"/>
    <w:rsid w:val="000C2B74"/>
    <w:rsid w:val="000C35DC"/>
    <w:rsid w:val="000C4CA6"/>
    <w:rsid w:val="000C59F7"/>
    <w:rsid w:val="000C63E2"/>
    <w:rsid w:val="000C6EEE"/>
    <w:rsid w:val="000C7E6E"/>
    <w:rsid w:val="000D1113"/>
    <w:rsid w:val="000D2977"/>
    <w:rsid w:val="000D34CA"/>
    <w:rsid w:val="000D4D6B"/>
    <w:rsid w:val="000D4E0A"/>
    <w:rsid w:val="000D4F30"/>
    <w:rsid w:val="000D52A9"/>
    <w:rsid w:val="000D68A4"/>
    <w:rsid w:val="000D6968"/>
    <w:rsid w:val="000D723A"/>
    <w:rsid w:val="000D7A6A"/>
    <w:rsid w:val="000D7F87"/>
    <w:rsid w:val="000E0473"/>
    <w:rsid w:val="000E1808"/>
    <w:rsid w:val="000E1DBD"/>
    <w:rsid w:val="000E1F7C"/>
    <w:rsid w:val="000E327D"/>
    <w:rsid w:val="000E3EC0"/>
    <w:rsid w:val="000E53B0"/>
    <w:rsid w:val="000E5FA6"/>
    <w:rsid w:val="000E6AAD"/>
    <w:rsid w:val="000E6E33"/>
    <w:rsid w:val="000E7415"/>
    <w:rsid w:val="000F1DF6"/>
    <w:rsid w:val="000F314A"/>
    <w:rsid w:val="000F32BE"/>
    <w:rsid w:val="000F3890"/>
    <w:rsid w:val="000F3ACD"/>
    <w:rsid w:val="000F5804"/>
    <w:rsid w:val="000F58D7"/>
    <w:rsid w:val="000F5CAE"/>
    <w:rsid w:val="000F62F7"/>
    <w:rsid w:val="000F6AE1"/>
    <w:rsid w:val="000F6E09"/>
    <w:rsid w:val="000F7E30"/>
    <w:rsid w:val="00100165"/>
    <w:rsid w:val="0010216E"/>
    <w:rsid w:val="001026DF"/>
    <w:rsid w:val="00103B79"/>
    <w:rsid w:val="0010506D"/>
    <w:rsid w:val="00106512"/>
    <w:rsid w:val="001100D9"/>
    <w:rsid w:val="0011183A"/>
    <w:rsid w:val="00112F21"/>
    <w:rsid w:val="001144E2"/>
    <w:rsid w:val="00114C76"/>
    <w:rsid w:val="001150DA"/>
    <w:rsid w:val="00115E41"/>
    <w:rsid w:val="00116820"/>
    <w:rsid w:val="00117187"/>
    <w:rsid w:val="00117538"/>
    <w:rsid w:val="00117B2D"/>
    <w:rsid w:val="0012028C"/>
    <w:rsid w:val="0012115C"/>
    <w:rsid w:val="00121573"/>
    <w:rsid w:val="001223B2"/>
    <w:rsid w:val="00122D30"/>
    <w:rsid w:val="00123157"/>
    <w:rsid w:val="001242A0"/>
    <w:rsid w:val="00124710"/>
    <w:rsid w:val="001249B3"/>
    <w:rsid w:val="00124BEF"/>
    <w:rsid w:val="00125275"/>
    <w:rsid w:val="00125D70"/>
    <w:rsid w:val="00125F3F"/>
    <w:rsid w:val="001268FA"/>
    <w:rsid w:val="00126CF0"/>
    <w:rsid w:val="00126DDD"/>
    <w:rsid w:val="0013067B"/>
    <w:rsid w:val="00130A85"/>
    <w:rsid w:val="00130B3F"/>
    <w:rsid w:val="00130C40"/>
    <w:rsid w:val="00131E20"/>
    <w:rsid w:val="00132532"/>
    <w:rsid w:val="00134A7D"/>
    <w:rsid w:val="00134FF4"/>
    <w:rsid w:val="0013511E"/>
    <w:rsid w:val="00135345"/>
    <w:rsid w:val="001364D2"/>
    <w:rsid w:val="001368A5"/>
    <w:rsid w:val="0013696B"/>
    <w:rsid w:val="00136CA9"/>
    <w:rsid w:val="00137207"/>
    <w:rsid w:val="001378E4"/>
    <w:rsid w:val="00141E72"/>
    <w:rsid w:val="001426A6"/>
    <w:rsid w:val="00143D0A"/>
    <w:rsid w:val="001454A2"/>
    <w:rsid w:val="00146DA1"/>
    <w:rsid w:val="00147893"/>
    <w:rsid w:val="00150CF9"/>
    <w:rsid w:val="00150F4C"/>
    <w:rsid w:val="00151539"/>
    <w:rsid w:val="001515D2"/>
    <w:rsid w:val="001519F5"/>
    <w:rsid w:val="00151DB2"/>
    <w:rsid w:val="0015231C"/>
    <w:rsid w:val="001529F4"/>
    <w:rsid w:val="00156D58"/>
    <w:rsid w:val="00160601"/>
    <w:rsid w:val="00160B41"/>
    <w:rsid w:val="001610FF"/>
    <w:rsid w:val="001611EB"/>
    <w:rsid w:val="00161326"/>
    <w:rsid w:val="00161CD4"/>
    <w:rsid w:val="001636E7"/>
    <w:rsid w:val="001639A1"/>
    <w:rsid w:val="00164B15"/>
    <w:rsid w:val="00165460"/>
    <w:rsid w:val="00165D86"/>
    <w:rsid w:val="00166194"/>
    <w:rsid w:val="00166690"/>
    <w:rsid w:val="001676FE"/>
    <w:rsid w:val="0017086E"/>
    <w:rsid w:val="00170951"/>
    <w:rsid w:val="001715F0"/>
    <w:rsid w:val="0017180E"/>
    <w:rsid w:val="00171DA1"/>
    <w:rsid w:val="00172C57"/>
    <w:rsid w:val="00172F44"/>
    <w:rsid w:val="00173742"/>
    <w:rsid w:val="00173C39"/>
    <w:rsid w:val="00174345"/>
    <w:rsid w:val="00175295"/>
    <w:rsid w:val="00176351"/>
    <w:rsid w:val="00180327"/>
    <w:rsid w:val="00180B6A"/>
    <w:rsid w:val="0018164D"/>
    <w:rsid w:val="00181DD5"/>
    <w:rsid w:val="00182E36"/>
    <w:rsid w:val="00183909"/>
    <w:rsid w:val="001847DE"/>
    <w:rsid w:val="00184963"/>
    <w:rsid w:val="00185A9B"/>
    <w:rsid w:val="00185FF5"/>
    <w:rsid w:val="001871C8"/>
    <w:rsid w:val="001908FB"/>
    <w:rsid w:val="00191156"/>
    <w:rsid w:val="001917C1"/>
    <w:rsid w:val="00192F2E"/>
    <w:rsid w:val="00193407"/>
    <w:rsid w:val="001934C5"/>
    <w:rsid w:val="00193872"/>
    <w:rsid w:val="00194B13"/>
    <w:rsid w:val="00194F12"/>
    <w:rsid w:val="00195813"/>
    <w:rsid w:val="0019662A"/>
    <w:rsid w:val="00196CD7"/>
    <w:rsid w:val="00196F98"/>
    <w:rsid w:val="00197618"/>
    <w:rsid w:val="00197846"/>
    <w:rsid w:val="001A11A0"/>
    <w:rsid w:val="001A20B6"/>
    <w:rsid w:val="001A283D"/>
    <w:rsid w:val="001A30A5"/>
    <w:rsid w:val="001A50C0"/>
    <w:rsid w:val="001A5DC3"/>
    <w:rsid w:val="001A7367"/>
    <w:rsid w:val="001A7C93"/>
    <w:rsid w:val="001B13B7"/>
    <w:rsid w:val="001B161D"/>
    <w:rsid w:val="001B3007"/>
    <w:rsid w:val="001B35E2"/>
    <w:rsid w:val="001B4B3C"/>
    <w:rsid w:val="001B5754"/>
    <w:rsid w:val="001B5AB9"/>
    <w:rsid w:val="001B5DE6"/>
    <w:rsid w:val="001B67D2"/>
    <w:rsid w:val="001B6BAA"/>
    <w:rsid w:val="001B7060"/>
    <w:rsid w:val="001B769D"/>
    <w:rsid w:val="001C0A75"/>
    <w:rsid w:val="001C1289"/>
    <w:rsid w:val="001C1797"/>
    <w:rsid w:val="001C1F3F"/>
    <w:rsid w:val="001C259B"/>
    <w:rsid w:val="001C2869"/>
    <w:rsid w:val="001C2F21"/>
    <w:rsid w:val="001C3CA4"/>
    <w:rsid w:val="001C3D8F"/>
    <w:rsid w:val="001C535D"/>
    <w:rsid w:val="001C7DEB"/>
    <w:rsid w:val="001D06BB"/>
    <w:rsid w:val="001D0D9F"/>
    <w:rsid w:val="001D0EC8"/>
    <w:rsid w:val="001D1180"/>
    <w:rsid w:val="001D190D"/>
    <w:rsid w:val="001D23B8"/>
    <w:rsid w:val="001D24C5"/>
    <w:rsid w:val="001D34FB"/>
    <w:rsid w:val="001D4473"/>
    <w:rsid w:val="001D469C"/>
    <w:rsid w:val="001D62C2"/>
    <w:rsid w:val="001D6FAF"/>
    <w:rsid w:val="001E032D"/>
    <w:rsid w:val="001E1395"/>
    <w:rsid w:val="001E17DD"/>
    <w:rsid w:val="001E27E9"/>
    <w:rsid w:val="001E40F8"/>
    <w:rsid w:val="001E5021"/>
    <w:rsid w:val="001E526D"/>
    <w:rsid w:val="001E568B"/>
    <w:rsid w:val="001E5C4E"/>
    <w:rsid w:val="001E7221"/>
    <w:rsid w:val="001F07CD"/>
    <w:rsid w:val="001F09F6"/>
    <w:rsid w:val="001F0A4D"/>
    <w:rsid w:val="001F1205"/>
    <w:rsid w:val="001F37F9"/>
    <w:rsid w:val="001F4A62"/>
    <w:rsid w:val="001F6B4E"/>
    <w:rsid w:val="001F72E7"/>
    <w:rsid w:val="001F7301"/>
    <w:rsid w:val="001F7446"/>
    <w:rsid w:val="001F7BB4"/>
    <w:rsid w:val="002005A1"/>
    <w:rsid w:val="00200782"/>
    <w:rsid w:val="002008BA"/>
    <w:rsid w:val="00201AFC"/>
    <w:rsid w:val="00203484"/>
    <w:rsid w:val="002037EA"/>
    <w:rsid w:val="00203CF7"/>
    <w:rsid w:val="00205DD9"/>
    <w:rsid w:val="00206176"/>
    <w:rsid w:val="00206388"/>
    <w:rsid w:val="00207518"/>
    <w:rsid w:val="00207C22"/>
    <w:rsid w:val="00207CA6"/>
    <w:rsid w:val="00210556"/>
    <w:rsid w:val="00211146"/>
    <w:rsid w:val="00212945"/>
    <w:rsid w:val="00214BB9"/>
    <w:rsid w:val="002163A4"/>
    <w:rsid w:val="002164D8"/>
    <w:rsid w:val="00216518"/>
    <w:rsid w:val="00216DE5"/>
    <w:rsid w:val="00222DE5"/>
    <w:rsid w:val="002240D6"/>
    <w:rsid w:val="00224FCC"/>
    <w:rsid w:val="0022516A"/>
    <w:rsid w:val="002252E7"/>
    <w:rsid w:val="002316E0"/>
    <w:rsid w:val="00231869"/>
    <w:rsid w:val="00231BB9"/>
    <w:rsid w:val="00231D13"/>
    <w:rsid w:val="00232275"/>
    <w:rsid w:val="00232B89"/>
    <w:rsid w:val="002357A6"/>
    <w:rsid w:val="00236133"/>
    <w:rsid w:val="0023622C"/>
    <w:rsid w:val="00236257"/>
    <w:rsid w:val="002364E3"/>
    <w:rsid w:val="00236567"/>
    <w:rsid w:val="00237997"/>
    <w:rsid w:val="002403D6"/>
    <w:rsid w:val="0024084C"/>
    <w:rsid w:val="002419DC"/>
    <w:rsid w:val="002424E3"/>
    <w:rsid w:val="00242990"/>
    <w:rsid w:val="002430E8"/>
    <w:rsid w:val="002437A2"/>
    <w:rsid w:val="002444D7"/>
    <w:rsid w:val="002457B5"/>
    <w:rsid w:val="002459EE"/>
    <w:rsid w:val="00246B3D"/>
    <w:rsid w:val="002472D3"/>
    <w:rsid w:val="0024769C"/>
    <w:rsid w:val="00247F8E"/>
    <w:rsid w:val="0025190D"/>
    <w:rsid w:val="00252736"/>
    <w:rsid w:val="00252F95"/>
    <w:rsid w:val="00253730"/>
    <w:rsid w:val="00254147"/>
    <w:rsid w:val="00255017"/>
    <w:rsid w:val="002571F0"/>
    <w:rsid w:val="002606A7"/>
    <w:rsid w:val="00260C68"/>
    <w:rsid w:val="002612AC"/>
    <w:rsid w:val="00262593"/>
    <w:rsid w:val="00262DB3"/>
    <w:rsid w:val="002635BE"/>
    <w:rsid w:val="00263721"/>
    <w:rsid w:val="00264D3B"/>
    <w:rsid w:val="002656D4"/>
    <w:rsid w:val="00267461"/>
    <w:rsid w:val="00267660"/>
    <w:rsid w:val="00270474"/>
    <w:rsid w:val="0027053E"/>
    <w:rsid w:val="002706F9"/>
    <w:rsid w:val="0027194E"/>
    <w:rsid w:val="00272416"/>
    <w:rsid w:val="0027242F"/>
    <w:rsid w:val="00273FB7"/>
    <w:rsid w:val="002745A2"/>
    <w:rsid w:val="00274C1F"/>
    <w:rsid w:val="002753A9"/>
    <w:rsid w:val="00277E52"/>
    <w:rsid w:val="002805BD"/>
    <w:rsid w:val="00280952"/>
    <w:rsid w:val="00281600"/>
    <w:rsid w:val="00281A4C"/>
    <w:rsid w:val="00282AF4"/>
    <w:rsid w:val="00282B22"/>
    <w:rsid w:val="00282C64"/>
    <w:rsid w:val="00285343"/>
    <w:rsid w:val="00286CC4"/>
    <w:rsid w:val="00290E25"/>
    <w:rsid w:val="00291024"/>
    <w:rsid w:val="0029160B"/>
    <w:rsid w:val="0029205C"/>
    <w:rsid w:val="00293679"/>
    <w:rsid w:val="00293973"/>
    <w:rsid w:val="00294E00"/>
    <w:rsid w:val="00294EE7"/>
    <w:rsid w:val="00295488"/>
    <w:rsid w:val="002956AE"/>
    <w:rsid w:val="002957C3"/>
    <w:rsid w:val="002960C8"/>
    <w:rsid w:val="0029706A"/>
    <w:rsid w:val="002A0911"/>
    <w:rsid w:val="002A139E"/>
    <w:rsid w:val="002A34EF"/>
    <w:rsid w:val="002A367F"/>
    <w:rsid w:val="002A3B51"/>
    <w:rsid w:val="002A4B3A"/>
    <w:rsid w:val="002A5966"/>
    <w:rsid w:val="002A5D69"/>
    <w:rsid w:val="002A6E2E"/>
    <w:rsid w:val="002A7BBB"/>
    <w:rsid w:val="002B0490"/>
    <w:rsid w:val="002B072D"/>
    <w:rsid w:val="002B08BD"/>
    <w:rsid w:val="002B0BB9"/>
    <w:rsid w:val="002B14E1"/>
    <w:rsid w:val="002B1880"/>
    <w:rsid w:val="002B215F"/>
    <w:rsid w:val="002B39BF"/>
    <w:rsid w:val="002B4FE4"/>
    <w:rsid w:val="002B5795"/>
    <w:rsid w:val="002B6358"/>
    <w:rsid w:val="002B6A7B"/>
    <w:rsid w:val="002B7763"/>
    <w:rsid w:val="002B7954"/>
    <w:rsid w:val="002B79FC"/>
    <w:rsid w:val="002B7BC8"/>
    <w:rsid w:val="002C07EE"/>
    <w:rsid w:val="002C188F"/>
    <w:rsid w:val="002C1B5A"/>
    <w:rsid w:val="002C1C6F"/>
    <w:rsid w:val="002C2EED"/>
    <w:rsid w:val="002C3246"/>
    <w:rsid w:val="002C3497"/>
    <w:rsid w:val="002C34FF"/>
    <w:rsid w:val="002C42BB"/>
    <w:rsid w:val="002C54BF"/>
    <w:rsid w:val="002C5534"/>
    <w:rsid w:val="002C73EC"/>
    <w:rsid w:val="002C741D"/>
    <w:rsid w:val="002C7733"/>
    <w:rsid w:val="002C7868"/>
    <w:rsid w:val="002D181E"/>
    <w:rsid w:val="002D185C"/>
    <w:rsid w:val="002D2111"/>
    <w:rsid w:val="002D24D5"/>
    <w:rsid w:val="002D26E0"/>
    <w:rsid w:val="002D2AED"/>
    <w:rsid w:val="002D2DA3"/>
    <w:rsid w:val="002D3256"/>
    <w:rsid w:val="002D3DED"/>
    <w:rsid w:val="002D4B26"/>
    <w:rsid w:val="002D5D16"/>
    <w:rsid w:val="002D7814"/>
    <w:rsid w:val="002D7EE8"/>
    <w:rsid w:val="002E03AC"/>
    <w:rsid w:val="002E0967"/>
    <w:rsid w:val="002E0B08"/>
    <w:rsid w:val="002E18D0"/>
    <w:rsid w:val="002E2283"/>
    <w:rsid w:val="002E2F1F"/>
    <w:rsid w:val="002E312F"/>
    <w:rsid w:val="002E367E"/>
    <w:rsid w:val="002E3C95"/>
    <w:rsid w:val="002E4EEF"/>
    <w:rsid w:val="002E57BE"/>
    <w:rsid w:val="002E67ED"/>
    <w:rsid w:val="002E6DAF"/>
    <w:rsid w:val="002E7798"/>
    <w:rsid w:val="002E789C"/>
    <w:rsid w:val="002F1FF1"/>
    <w:rsid w:val="002F2FC6"/>
    <w:rsid w:val="002F36B9"/>
    <w:rsid w:val="002F39CE"/>
    <w:rsid w:val="002F4980"/>
    <w:rsid w:val="002F4A76"/>
    <w:rsid w:val="002F4B0C"/>
    <w:rsid w:val="002F5458"/>
    <w:rsid w:val="002F5894"/>
    <w:rsid w:val="002F6603"/>
    <w:rsid w:val="002F6BEC"/>
    <w:rsid w:val="002F6C3B"/>
    <w:rsid w:val="00300299"/>
    <w:rsid w:val="003008FF"/>
    <w:rsid w:val="00301492"/>
    <w:rsid w:val="003014C9"/>
    <w:rsid w:val="003018C1"/>
    <w:rsid w:val="003037B5"/>
    <w:rsid w:val="003045F1"/>
    <w:rsid w:val="00304A8B"/>
    <w:rsid w:val="00307952"/>
    <w:rsid w:val="00307B58"/>
    <w:rsid w:val="00307C13"/>
    <w:rsid w:val="00310CFE"/>
    <w:rsid w:val="00311A99"/>
    <w:rsid w:val="00311C24"/>
    <w:rsid w:val="003122A1"/>
    <w:rsid w:val="00312505"/>
    <w:rsid w:val="003150DF"/>
    <w:rsid w:val="00315169"/>
    <w:rsid w:val="00316784"/>
    <w:rsid w:val="00316C83"/>
    <w:rsid w:val="00322213"/>
    <w:rsid w:val="0032396F"/>
    <w:rsid w:val="003245CF"/>
    <w:rsid w:val="00324D7E"/>
    <w:rsid w:val="003252A7"/>
    <w:rsid w:val="003272E3"/>
    <w:rsid w:val="00330965"/>
    <w:rsid w:val="00332364"/>
    <w:rsid w:val="003341CA"/>
    <w:rsid w:val="00334DE2"/>
    <w:rsid w:val="003356EC"/>
    <w:rsid w:val="00335A00"/>
    <w:rsid w:val="00335F9E"/>
    <w:rsid w:val="00335FD4"/>
    <w:rsid w:val="003365FC"/>
    <w:rsid w:val="003379A1"/>
    <w:rsid w:val="00340FF2"/>
    <w:rsid w:val="00341F72"/>
    <w:rsid w:val="0034283D"/>
    <w:rsid w:val="00343370"/>
    <w:rsid w:val="0034414B"/>
    <w:rsid w:val="003443AC"/>
    <w:rsid w:val="00344BEF"/>
    <w:rsid w:val="0034696D"/>
    <w:rsid w:val="00347516"/>
    <w:rsid w:val="00347E4E"/>
    <w:rsid w:val="003501D5"/>
    <w:rsid w:val="003507A1"/>
    <w:rsid w:val="00351698"/>
    <w:rsid w:val="00352312"/>
    <w:rsid w:val="00352585"/>
    <w:rsid w:val="0035378C"/>
    <w:rsid w:val="00353DBA"/>
    <w:rsid w:val="00354209"/>
    <w:rsid w:val="003544A1"/>
    <w:rsid w:val="00354E14"/>
    <w:rsid w:val="00355163"/>
    <w:rsid w:val="0035530B"/>
    <w:rsid w:val="00357460"/>
    <w:rsid w:val="00360E0A"/>
    <w:rsid w:val="00362E1F"/>
    <w:rsid w:val="0036688C"/>
    <w:rsid w:val="00367EDF"/>
    <w:rsid w:val="00370B97"/>
    <w:rsid w:val="003716B9"/>
    <w:rsid w:val="003718F4"/>
    <w:rsid w:val="00372782"/>
    <w:rsid w:val="00372B54"/>
    <w:rsid w:val="003742A7"/>
    <w:rsid w:val="00375627"/>
    <w:rsid w:val="003800AA"/>
    <w:rsid w:val="00381B3B"/>
    <w:rsid w:val="003831DE"/>
    <w:rsid w:val="00383464"/>
    <w:rsid w:val="00384880"/>
    <w:rsid w:val="00384F8F"/>
    <w:rsid w:val="0038676A"/>
    <w:rsid w:val="0038724F"/>
    <w:rsid w:val="00391793"/>
    <w:rsid w:val="00391798"/>
    <w:rsid w:val="003919F7"/>
    <w:rsid w:val="003926E9"/>
    <w:rsid w:val="0039424F"/>
    <w:rsid w:val="00394470"/>
    <w:rsid w:val="00396152"/>
    <w:rsid w:val="003966AD"/>
    <w:rsid w:val="00396AA8"/>
    <w:rsid w:val="00397089"/>
    <w:rsid w:val="003A17C6"/>
    <w:rsid w:val="003A3102"/>
    <w:rsid w:val="003A355B"/>
    <w:rsid w:val="003A3DE6"/>
    <w:rsid w:val="003A4531"/>
    <w:rsid w:val="003A5C0C"/>
    <w:rsid w:val="003A6AA8"/>
    <w:rsid w:val="003A6AD6"/>
    <w:rsid w:val="003A7728"/>
    <w:rsid w:val="003B1A2C"/>
    <w:rsid w:val="003B1D33"/>
    <w:rsid w:val="003B2032"/>
    <w:rsid w:val="003B22D4"/>
    <w:rsid w:val="003B2E65"/>
    <w:rsid w:val="003B4ECC"/>
    <w:rsid w:val="003B62AD"/>
    <w:rsid w:val="003C0759"/>
    <w:rsid w:val="003C12F0"/>
    <w:rsid w:val="003C16B6"/>
    <w:rsid w:val="003C2654"/>
    <w:rsid w:val="003C3EFC"/>
    <w:rsid w:val="003C43A6"/>
    <w:rsid w:val="003C5AF9"/>
    <w:rsid w:val="003C7703"/>
    <w:rsid w:val="003C7DC4"/>
    <w:rsid w:val="003D01EA"/>
    <w:rsid w:val="003D078D"/>
    <w:rsid w:val="003D1189"/>
    <w:rsid w:val="003D17D2"/>
    <w:rsid w:val="003D1ACB"/>
    <w:rsid w:val="003D22FC"/>
    <w:rsid w:val="003D264A"/>
    <w:rsid w:val="003D3B0F"/>
    <w:rsid w:val="003D4F28"/>
    <w:rsid w:val="003D50D7"/>
    <w:rsid w:val="003D73D2"/>
    <w:rsid w:val="003D7695"/>
    <w:rsid w:val="003E107E"/>
    <w:rsid w:val="003E2615"/>
    <w:rsid w:val="003E3D00"/>
    <w:rsid w:val="003E439B"/>
    <w:rsid w:val="003E486D"/>
    <w:rsid w:val="003E4A23"/>
    <w:rsid w:val="003E5AA8"/>
    <w:rsid w:val="003E5B2A"/>
    <w:rsid w:val="003F08D7"/>
    <w:rsid w:val="003F1629"/>
    <w:rsid w:val="003F1AF1"/>
    <w:rsid w:val="003F1CE2"/>
    <w:rsid w:val="003F20C9"/>
    <w:rsid w:val="003F33A8"/>
    <w:rsid w:val="003F36C9"/>
    <w:rsid w:val="003F4793"/>
    <w:rsid w:val="003F66E7"/>
    <w:rsid w:val="004003D6"/>
    <w:rsid w:val="00400B86"/>
    <w:rsid w:val="00401FC3"/>
    <w:rsid w:val="00403AD7"/>
    <w:rsid w:val="00403FA2"/>
    <w:rsid w:val="004042F9"/>
    <w:rsid w:val="0040582D"/>
    <w:rsid w:val="0040602D"/>
    <w:rsid w:val="00407212"/>
    <w:rsid w:val="00411820"/>
    <w:rsid w:val="00412DA0"/>
    <w:rsid w:val="0041433A"/>
    <w:rsid w:val="00415D36"/>
    <w:rsid w:val="00415EC0"/>
    <w:rsid w:val="00417142"/>
    <w:rsid w:val="00417846"/>
    <w:rsid w:val="00417D47"/>
    <w:rsid w:val="0042039E"/>
    <w:rsid w:val="00421A11"/>
    <w:rsid w:val="00421F87"/>
    <w:rsid w:val="00422169"/>
    <w:rsid w:val="00422FEC"/>
    <w:rsid w:val="004236CA"/>
    <w:rsid w:val="00423D6A"/>
    <w:rsid w:val="004240BE"/>
    <w:rsid w:val="004243CA"/>
    <w:rsid w:val="00425578"/>
    <w:rsid w:val="0043067C"/>
    <w:rsid w:val="00430820"/>
    <w:rsid w:val="00430FC8"/>
    <w:rsid w:val="0043151A"/>
    <w:rsid w:val="004319A9"/>
    <w:rsid w:val="0043284C"/>
    <w:rsid w:val="0043316C"/>
    <w:rsid w:val="00433233"/>
    <w:rsid w:val="0043340D"/>
    <w:rsid w:val="004359B0"/>
    <w:rsid w:val="00435D6B"/>
    <w:rsid w:val="00435F34"/>
    <w:rsid w:val="00436F5D"/>
    <w:rsid w:val="0043754F"/>
    <w:rsid w:val="00437BE8"/>
    <w:rsid w:val="00443714"/>
    <w:rsid w:val="00444D28"/>
    <w:rsid w:val="00445201"/>
    <w:rsid w:val="004453DB"/>
    <w:rsid w:val="004454DD"/>
    <w:rsid w:val="00445550"/>
    <w:rsid w:val="004458C3"/>
    <w:rsid w:val="004458DD"/>
    <w:rsid w:val="00445E7B"/>
    <w:rsid w:val="00446345"/>
    <w:rsid w:val="0044715E"/>
    <w:rsid w:val="00447549"/>
    <w:rsid w:val="00447ADF"/>
    <w:rsid w:val="0045005B"/>
    <w:rsid w:val="004500D9"/>
    <w:rsid w:val="00450296"/>
    <w:rsid w:val="004503F6"/>
    <w:rsid w:val="00450B50"/>
    <w:rsid w:val="00450E7B"/>
    <w:rsid w:val="004517A2"/>
    <w:rsid w:val="00451CB0"/>
    <w:rsid w:val="00452278"/>
    <w:rsid w:val="00452D1C"/>
    <w:rsid w:val="00453D47"/>
    <w:rsid w:val="00455918"/>
    <w:rsid w:val="00456902"/>
    <w:rsid w:val="004574AD"/>
    <w:rsid w:val="0046026A"/>
    <w:rsid w:val="004614B7"/>
    <w:rsid w:val="00463061"/>
    <w:rsid w:val="004637C1"/>
    <w:rsid w:val="00463827"/>
    <w:rsid w:val="00463C50"/>
    <w:rsid w:val="004644B6"/>
    <w:rsid w:val="00467985"/>
    <w:rsid w:val="0047087C"/>
    <w:rsid w:val="00472C3F"/>
    <w:rsid w:val="00473CDC"/>
    <w:rsid w:val="00476A19"/>
    <w:rsid w:val="00477BB4"/>
    <w:rsid w:val="004800BE"/>
    <w:rsid w:val="00480811"/>
    <w:rsid w:val="00480C1A"/>
    <w:rsid w:val="004815C7"/>
    <w:rsid w:val="00483A02"/>
    <w:rsid w:val="00485CC2"/>
    <w:rsid w:val="00486A21"/>
    <w:rsid w:val="00487650"/>
    <w:rsid w:val="00487E96"/>
    <w:rsid w:val="00487EA5"/>
    <w:rsid w:val="0049056E"/>
    <w:rsid w:val="00491004"/>
    <w:rsid w:val="004924DA"/>
    <w:rsid w:val="00492C8A"/>
    <w:rsid w:val="004931BD"/>
    <w:rsid w:val="004936C1"/>
    <w:rsid w:val="00494B9C"/>
    <w:rsid w:val="00494E4A"/>
    <w:rsid w:val="00496C4A"/>
    <w:rsid w:val="00496EEB"/>
    <w:rsid w:val="004979B2"/>
    <w:rsid w:val="004A02CF"/>
    <w:rsid w:val="004A0613"/>
    <w:rsid w:val="004A07A4"/>
    <w:rsid w:val="004A18F0"/>
    <w:rsid w:val="004A1B7F"/>
    <w:rsid w:val="004A271D"/>
    <w:rsid w:val="004A28DC"/>
    <w:rsid w:val="004A2C49"/>
    <w:rsid w:val="004A3806"/>
    <w:rsid w:val="004A3E12"/>
    <w:rsid w:val="004A46B8"/>
    <w:rsid w:val="004A4F2C"/>
    <w:rsid w:val="004A54B2"/>
    <w:rsid w:val="004A640B"/>
    <w:rsid w:val="004A67F5"/>
    <w:rsid w:val="004A7E28"/>
    <w:rsid w:val="004B06D1"/>
    <w:rsid w:val="004B10C0"/>
    <w:rsid w:val="004B19E7"/>
    <w:rsid w:val="004B1D9B"/>
    <w:rsid w:val="004B354D"/>
    <w:rsid w:val="004B6A3C"/>
    <w:rsid w:val="004B72B6"/>
    <w:rsid w:val="004C0D52"/>
    <w:rsid w:val="004C0F4B"/>
    <w:rsid w:val="004C18AD"/>
    <w:rsid w:val="004C1A2F"/>
    <w:rsid w:val="004C1C0F"/>
    <w:rsid w:val="004C307A"/>
    <w:rsid w:val="004C35F8"/>
    <w:rsid w:val="004C3A71"/>
    <w:rsid w:val="004C750C"/>
    <w:rsid w:val="004D0244"/>
    <w:rsid w:val="004D03AF"/>
    <w:rsid w:val="004D0DDA"/>
    <w:rsid w:val="004D101A"/>
    <w:rsid w:val="004D176F"/>
    <w:rsid w:val="004D2D2B"/>
    <w:rsid w:val="004D2FA5"/>
    <w:rsid w:val="004D3FEC"/>
    <w:rsid w:val="004D408C"/>
    <w:rsid w:val="004D48F1"/>
    <w:rsid w:val="004D5262"/>
    <w:rsid w:val="004D52DA"/>
    <w:rsid w:val="004D57CB"/>
    <w:rsid w:val="004D5A36"/>
    <w:rsid w:val="004D6F48"/>
    <w:rsid w:val="004D718B"/>
    <w:rsid w:val="004E0872"/>
    <w:rsid w:val="004E29EB"/>
    <w:rsid w:val="004E2A9D"/>
    <w:rsid w:val="004E3781"/>
    <w:rsid w:val="004E3854"/>
    <w:rsid w:val="004E3B73"/>
    <w:rsid w:val="004E3C46"/>
    <w:rsid w:val="004E3FFF"/>
    <w:rsid w:val="004E42A3"/>
    <w:rsid w:val="004E479F"/>
    <w:rsid w:val="004F1AA4"/>
    <w:rsid w:val="004F1F06"/>
    <w:rsid w:val="004F353D"/>
    <w:rsid w:val="004F38BE"/>
    <w:rsid w:val="004F43EB"/>
    <w:rsid w:val="004F44C5"/>
    <w:rsid w:val="004F4B05"/>
    <w:rsid w:val="004F5929"/>
    <w:rsid w:val="004F5C85"/>
    <w:rsid w:val="004F647B"/>
    <w:rsid w:val="004F6E29"/>
    <w:rsid w:val="004F71FD"/>
    <w:rsid w:val="004F7247"/>
    <w:rsid w:val="00500CC2"/>
    <w:rsid w:val="00500D46"/>
    <w:rsid w:val="00500EF1"/>
    <w:rsid w:val="005014C0"/>
    <w:rsid w:val="00503563"/>
    <w:rsid w:val="005037A3"/>
    <w:rsid w:val="00503A44"/>
    <w:rsid w:val="005049C9"/>
    <w:rsid w:val="00506820"/>
    <w:rsid w:val="00506E93"/>
    <w:rsid w:val="0050730E"/>
    <w:rsid w:val="005078CD"/>
    <w:rsid w:val="005105A2"/>
    <w:rsid w:val="0051089C"/>
    <w:rsid w:val="00510AD9"/>
    <w:rsid w:val="00510EC6"/>
    <w:rsid w:val="00513E71"/>
    <w:rsid w:val="00514065"/>
    <w:rsid w:val="00514D61"/>
    <w:rsid w:val="0051656D"/>
    <w:rsid w:val="00516BBC"/>
    <w:rsid w:val="00520155"/>
    <w:rsid w:val="00520C28"/>
    <w:rsid w:val="005217D8"/>
    <w:rsid w:val="00522796"/>
    <w:rsid w:val="00523A42"/>
    <w:rsid w:val="00524259"/>
    <w:rsid w:val="0052496C"/>
    <w:rsid w:val="00524D22"/>
    <w:rsid w:val="005253AB"/>
    <w:rsid w:val="005254E2"/>
    <w:rsid w:val="0052690C"/>
    <w:rsid w:val="00526DB9"/>
    <w:rsid w:val="005270A3"/>
    <w:rsid w:val="00527F3E"/>
    <w:rsid w:val="00530D78"/>
    <w:rsid w:val="00531696"/>
    <w:rsid w:val="0053305A"/>
    <w:rsid w:val="0053468F"/>
    <w:rsid w:val="00535E09"/>
    <w:rsid w:val="005373E5"/>
    <w:rsid w:val="00540D66"/>
    <w:rsid w:val="00542578"/>
    <w:rsid w:val="0054310B"/>
    <w:rsid w:val="00543C5F"/>
    <w:rsid w:val="00544D08"/>
    <w:rsid w:val="00544FCA"/>
    <w:rsid w:val="00545D83"/>
    <w:rsid w:val="00547440"/>
    <w:rsid w:val="00551F4F"/>
    <w:rsid w:val="00552326"/>
    <w:rsid w:val="00552368"/>
    <w:rsid w:val="00552B8D"/>
    <w:rsid w:val="00552E3B"/>
    <w:rsid w:val="00554339"/>
    <w:rsid w:val="00554F43"/>
    <w:rsid w:val="005553F8"/>
    <w:rsid w:val="0055562D"/>
    <w:rsid w:val="0055568F"/>
    <w:rsid w:val="00556D87"/>
    <w:rsid w:val="00562346"/>
    <w:rsid w:val="00563E95"/>
    <w:rsid w:val="005645CA"/>
    <w:rsid w:val="00564EE3"/>
    <w:rsid w:val="0056611A"/>
    <w:rsid w:val="005663B9"/>
    <w:rsid w:val="00570E14"/>
    <w:rsid w:val="0057102E"/>
    <w:rsid w:val="005711E6"/>
    <w:rsid w:val="005729B8"/>
    <w:rsid w:val="00573245"/>
    <w:rsid w:val="0057561B"/>
    <w:rsid w:val="00576F0F"/>
    <w:rsid w:val="005779F8"/>
    <w:rsid w:val="00577EFA"/>
    <w:rsid w:val="005802D9"/>
    <w:rsid w:val="005817B1"/>
    <w:rsid w:val="00581C02"/>
    <w:rsid w:val="00581D1C"/>
    <w:rsid w:val="00582AD9"/>
    <w:rsid w:val="005839F9"/>
    <w:rsid w:val="00586EBA"/>
    <w:rsid w:val="00587211"/>
    <w:rsid w:val="00587291"/>
    <w:rsid w:val="00587A6B"/>
    <w:rsid w:val="0059044C"/>
    <w:rsid w:val="00590E2C"/>
    <w:rsid w:val="0059138A"/>
    <w:rsid w:val="005917E2"/>
    <w:rsid w:val="00591C1D"/>
    <w:rsid w:val="00592860"/>
    <w:rsid w:val="00593040"/>
    <w:rsid w:val="00593B5D"/>
    <w:rsid w:val="00594188"/>
    <w:rsid w:val="005941FE"/>
    <w:rsid w:val="0059523F"/>
    <w:rsid w:val="00596F03"/>
    <w:rsid w:val="00597DC9"/>
    <w:rsid w:val="005A21AC"/>
    <w:rsid w:val="005A31C0"/>
    <w:rsid w:val="005A413F"/>
    <w:rsid w:val="005A4974"/>
    <w:rsid w:val="005A552A"/>
    <w:rsid w:val="005A57A3"/>
    <w:rsid w:val="005A7188"/>
    <w:rsid w:val="005A71B5"/>
    <w:rsid w:val="005A7F65"/>
    <w:rsid w:val="005B06E0"/>
    <w:rsid w:val="005B172D"/>
    <w:rsid w:val="005B2B15"/>
    <w:rsid w:val="005B2BD1"/>
    <w:rsid w:val="005B3E37"/>
    <w:rsid w:val="005B4939"/>
    <w:rsid w:val="005C104F"/>
    <w:rsid w:val="005C3EAE"/>
    <w:rsid w:val="005C6C90"/>
    <w:rsid w:val="005C7015"/>
    <w:rsid w:val="005D022F"/>
    <w:rsid w:val="005D0403"/>
    <w:rsid w:val="005D1727"/>
    <w:rsid w:val="005D3021"/>
    <w:rsid w:val="005D3961"/>
    <w:rsid w:val="005D3C01"/>
    <w:rsid w:val="005D485D"/>
    <w:rsid w:val="005D4B51"/>
    <w:rsid w:val="005D5614"/>
    <w:rsid w:val="005D5839"/>
    <w:rsid w:val="005D5B14"/>
    <w:rsid w:val="005D6CE8"/>
    <w:rsid w:val="005E0456"/>
    <w:rsid w:val="005E063C"/>
    <w:rsid w:val="005E0B3C"/>
    <w:rsid w:val="005E19A4"/>
    <w:rsid w:val="005E2008"/>
    <w:rsid w:val="005E3282"/>
    <w:rsid w:val="005E3AB3"/>
    <w:rsid w:val="005E3F6F"/>
    <w:rsid w:val="005E471A"/>
    <w:rsid w:val="005E48AC"/>
    <w:rsid w:val="005E4F1F"/>
    <w:rsid w:val="005E55A3"/>
    <w:rsid w:val="005E5AA2"/>
    <w:rsid w:val="005E6640"/>
    <w:rsid w:val="005E669C"/>
    <w:rsid w:val="005E68C8"/>
    <w:rsid w:val="005E6B3B"/>
    <w:rsid w:val="005E79CB"/>
    <w:rsid w:val="005E7F73"/>
    <w:rsid w:val="005F0370"/>
    <w:rsid w:val="005F0AA5"/>
    <w:rsid w:val="005F0B74"/>
    <w:rsid w:val="005F0F76"/>
    <w:rsid w:val="005F18E6"/>
    <w:rsid w:val="005F218A"/>
    <w:rsid w:val="005F357E"/>
    <w:rsid w:val="005F4CBC"/>
    <w:rsid w:val="005F679E"/>
    <w:rsid w:val="005F6E76"/>
    <w:rsid w:val="005F741E"/>
    <w:rsid w:val="005F7FFE"/>
    <w:rsid w:val="006001C7"/>
    <w:rsid w:val="0060095E"/>
    <w:rsid w:val="0060118E"/>
    <w:rsid w:val="0060220D"/>
    <w:rsid w:val="006022C7"/>
    <w:rsid w:val="006025E4"/>
    <w:rsid w:val="00606546"/>
    <w:rsid w:val="0061030B"/>
    <w:rsid w:val="0061071F"/>
    <w:rsid w:val="00610A39"/>
    <w:rsid w:val="00610D8A"/>
    <w:rsid w:val="00612D8B"/>
    <w:rsid w:val="006147CC"/>
    <w:rsid w:val="00616025"/>
    <w:rsid w:val="00616050"/>
    <w:rsid w:val="0061634F"/>
    <w:rsid w:val="006168F0"/>
    <w:rsid w:val="0062034C"/>
    <w:rsid w:val="00620577"/>
    <w:rsid w:val="00620F57"/>
    <w:rsid w:val="006212DE"/>
    <w:rsid w:val="0062253A"/>
    <w:rsid w:val="00622BBA"/>
    <w:rsid w:val="00622E81"/>
    <w:rsid w:val="00622FE6"/>
    <w:rsid w:val="00623148"/>
    <w:rsid w:val="00623C23"/>
    <w:rsid w:val="00626E9B"/>
    <w:rsid w:val="0062752F"/>
    <w:rsid w:val="00630CBD"/>
    <w:rsid w:val="00631032"/>
    <w:rsid w:val="0063323F"/>
    <w:rsid w:val="00633BB1"/>
    <w:rsid w:val="00633F13"/>
    <w:rsid w:val="0063586E"/>
    <w:rsid w:val="006360F9"/>
    <w:rsid w:val="00637F0A"/>
    <w:rsid w:val="006415E6"/>
    <w:rsid w:val="006432E9"/>
    <w:rsid w:val="00643CC2"/>
    <w:rsid w:val="00643E89"/>
    <w:rsid w:val="00644868"/>
    <w:rsid w:val="006449BB"/>
    <w:rsid w:val="00644A79"/>
    <w:rsid w:val="00646710"/>
    <w:rsid w:val="006475EC"/>
    <w:rsid w:val="006506EA"/>
    <w:rsid w:val="00650F8C"/>
    <w:rsid w:val="006516CD"/>
    <w:rsid w:val="00652C99"/>
    <w:rsid w:val="0065311A"/>
    <w:rsid w:val="00655285"/>
    <w:rsid w:val="00655E88"/>
    <w:rsid w:val="006570E0"/>
    <w:rsid w:val="006603D2"/>
    <w:rsid w:val="006607C9"/>
    <w:rsid w:val="00661289"/>
    <w:rsid w:val="006615C5"/>
    <w:rsid w:val="00663BDB"/>
    <w:rsid w:val="00663EE3"/>
    <w:rsid w:val="0066432E"/>
    <w:rsid w:val="00664DB1"/>
    <w:rsid w:val="00665C2D"/>
    <w:rsid w:val="00666450"/>
    <w:rsid w:val="006672BD"/>
    <w:rsid w:val="00671064"/>
    <w:rsid w:val="00671540"/>
    <w:rsid w:val="00671BD2"/>
    <w:rsid w:val="00672C21"/>
    <w:rsid w:val="00672CC2"/>
    <w:rsid w:val="006736F9"/>
    <w:rsid w:val="00674BDE"/>
    <w:rsid w:val="00674F75"/>
    <w:rsid w:val="00674FDE"/>
    <w:rsid w:val="00676A85"/>
    <w:rsid w:val="00681556"/>
    <w:rsid w:val="00681D41"/>
    <w:rsid w:val="00682221"/>
    <w:rsid w:val="00682362"/>
    <w:rsid w:val="006830BC"/>
    <w:rsid w:val="006846A4"/>
    <w:rsid w:val="00685B28"/>
    <w:rsid w:val="0068637B"/>
    <w:rsid w:val="006869E5"/>
    <w:rsid w:val="00687B9B"/>
    <w:rsid w:val="00687C1E"/>
    <w:rsid w:val="00690213"/>
    <w:rsid w:val="006906FE"/>
    <w:rsid w:val="006910A9"/>
    <w:rsid w:val="00691724"/>
    <w:rsid w:val="00691BB4"/>
    <w:rsid w:val="0069310B"/>
    <w:rsid w:val="00693F8B"/>
    <w:rsid w:val="00694118"/>
    <w:rsid w:val="006941FB"/>
    <w:rsid w:val="00696A9A"/>
    <w:rsid w:val="00696BB8"/>
    <w:rsid w:val="00696F1A"/>
    <w:rsid w:val="006A02F0"/>
    <w:rsid w:val="006A15E8"/>
    <w:rsid w:val="006A1865"/>
    <w:rsid w:val="006A1B14"/>
    <w:rsid w:val="006A2469"/>
    <w:rsid w:val="006A29C0"/>
    <w:rsid w:val="006A3A5B"/>
    <w:rsid w:val="006A4B45"/>
    <w:rsid w:val="006A55DE"/>
    <w:rsid w:val="006A5647"/>
    <w:rsid w:val="006A60A6"/>
    <w:rsid w:val="006A683F"/>
    <w:rsid w:val="006A6C2B"/>
    <w:rsid w:val="006A75CE"/>
    <w:rsid w:val="006A7BD5"/>
    <w:rsid w:val="006B00A2"/>
    <w:rsid w:val="006B11AC"/>
    <w:rsid w:val="006B19E1"/>
    <w:rsid w:val="006B22D8"/>
    <w:rsid w:val="006B3038"/>
    <w:rsid w:val="006B4090"/>
    <w:rsid w:val="006B435E"/>
    <w:rsid w:val="006B4519"/>
    <w:rsid w:val="006B4D7B"/>
    <w:rsid w:val="006B79B7"/>
    <w:rsid w:val="006B7E7E"/>
    <w:rsid w:val="006C21FC"/>
    <w:rsid w:val="006C2FBD"/>
    <w:rsid w:val="006C4BA7"/>
    <w:rsid w:val="006C60E9"/>
    <w:rsid w:val="006C63FD"/>
    <w:rsid w:val="006C65B4"/>
    <w:rsid w:val="006C666E"/>
    <w:rsid w:val="006C68AB"/>
    <w:rsid w:val="006D0183"/>
    <w:rsid w:val="006D0CD0"/>
    <w:rsid w:val="006D0D90"/>
    <w:rsid w:val="006D56B9"/>
    <w:rsid w:val="006D57D6"/>
    <w:rsid w:val="006D5B9A"/>
    <w:rsid w:val="006D614B"/>
    <w:rsid w:val="006D6554"/>
    <w:rsid w:val="006D7B27"/>
    <w:rsid w:val="006D7E8C"/>
    <w:rsid w:val="006E0EE7"/>
    <w:rsid w:val="006E152F"/>
    <w:rsid w:val="006E17C7"/>
    <w:rsid w:val="006E39E7"/>
    <w:rsid w:val="006E3F08"/>
    <w:rsid w:val="006E402B"/>
    <w:rsid w:val="006E429F"/>
    <w:rsid w:val="006E4F1E"/>
    <w:rsid w:val="006E53B5"/>
    <w:rsid w:val="006E66CC"/>
    <w:rsid w:val="006E6933"/>
    <w:rsid w:val="006F0A6F"/>
    <w:rsid w:val="006F24E2"/>
    <w:rsid w:val="006F2BAF"/>
    <w:rsid w:val="006F4628"/>
    <w:rsid w:val="006F4D34"/>
    <w:rsid w:val="006F4F97"/>
    <w:rsid w:val="006F502D"/>
    <w:rsid w:val="006F6C7D"/>
    <w:rsid w:val="006F76B0"/>
    <w:rsid w:val="006F7800"/>
    <w:rsid w:val="00700373"/>
    <w:rsid w:val="00700A24"/>
    <w:rsid w:val="00705807"/>
    <w:rsid w:val="00705B47"/>
    <w:rsid w:val="00705DB2"/>
    <w:rsid w:val="0071090E"/>
    <w:rsid w:val="007111E5"/>
    <w:rsid w:val="00711F52"/>
    <w:rsid w:val="00712F73"/>
    <w:rsid w:val="00714417"/>
    <w:rsid w:val="00714812"/>
    <w:rsid w:val="00714B79"/>
    <w:rsid w:val="00714F08"/>
    <w:rsid w:val="00722BFE"/>
    <w:rsid w:val="00722F3C"/>
    <w:rsid w:val="007237C4"/>
    <w:rsid w:val="00723AE4"/>
    <w:rsid w:val="00723CA4"/>
    <w:rsid w:val="00725E69"/>
    <w:rsid w:val="00726CD9"/>
    <w:rsid w:val="00727049"/>
    <w:rsid w:val="0072777E"/>
    <w:rsid w:val="00727D3B"/>
    <w:rsid w:val="00731652"/>
    <w:rsid w:val="00731777"/>
    <w:rsid w:val="00731C61"/>
    <w:rsid w:val="00732C60"/>
    <w:rsid w:val="00732F62"/>
    <w:rsid w:val="007331E3"/>
    <w:rsid w:val="00734E22"/>
    <w:rsid w:val="00735234"/>
    <w:rsid w:val="00735648"/>
    <w:rsid w:val="00737261"/>
    <w:rsid w:val="0073732D"/>
    <w:rsid w:val="007378D1"/>
    <w:rsid w:val="00737A9E"/>
    <w:rsid w:val="00740645"/>
    <w:rsid w:val="00740CCD"/>
    <w:rsid w:val="00741945"/>
    <w:rsid w:val="00741999"/>
    <w:rsid w:val="0074244F"/>
    <w:rsid w:val="0074318D"/>
    <w:rsid w:val="007431DA"/>
    <w:rsid w:val="00743AE7"/>
    <w:rsid w:val="00743F18"/>
    <w:rsid w:val="0074507B"/>
    <w:rsid w:val="0074660C"/>
    <w:rsid w:val="00747C94"/>
    <w:rsid w:val="00747FF9"/>
    <w:rsid w:val="00747FFE"/>
    <w:rsid w:val="007529BD"/>
    <w:rsid w:val="007535AC"/>
    <w:rsid w:val="00753D12"/>
    <w:rsid w:val="0075431E"/>
    <w:rsid w:val="00754B80"/>
    <w:rsid w:val="00754FDF"/>
    <w:rsid w:val="007555DB"/>
    <w:rsid w:val="00755774"/>
    <w:rsid w:val="00755E3A"/>
    <w:rsid w:val="0075622A"/>
    <w:rsid w:val="007565E0"/>
    <w:rsid w:val="00756C9D"/>
    <w:rsid w:val="007570AC"/>
    <w:rsid w:val="00757150"/>
    <w:rsid w:val="007575EE"/>
    <w:rsid w:val="00757671"/>
    <w:rsid w:val="00760CDC"/>
    <w:rsid w:val="00763981"/>
    <w:rsid w:val="00764BAA"/>
    <w:rsid w:val="00764BD7"/>
    <w:rsid w:val="00764CDD"/>
    <w:rsid w:val="00764D41"/>
    <w:rsid w:val="00765897"/>
    <w:rsid w:val="007709A5"/>
    <w:rsid w:val="00771847"/>
    <w:rsid w:val="00771A3E"/>
    <w:rsid w:val="00771B05"/>
    <w:rsid w:val="00772153"/>
    <w:rsid w:val="007723FD"/>
    <w:rsid w:val="00773EA0"/>
    <w:rsid w:val="00774AB1"/>
    <w:rsid w:val="007759E3"/>
    <w:rsid w:val="00775B38"/>
    <w:rsid w:val="0077732B"/>
    <w:rsid w:val="007809DC"/>
    <w:rsid w:val="0078268B"/>
    <w:rsid w:val="00783742"/>
    <w:rsid w:val="00783A6D"/>
    <w:rsid w:val="0078445A"/>
    <w:rsid w:val="00784DC2"/>
    <w:rsid w:val="00786497"/>
    <w:rsid w:val="00786615"/>
    <w:rsid w:val="007870BD"/>
    <w:rsid w:val="0078754D"/>
    <w:rsid w:val="00787EE0"/>
    <w:rsid w:val="00791745"/>
    <w:rsid w:val="00791C1D"/>
    <w:rsid w:val="0079214E"/>
    <w:rsid w:val="0079221C"/>
    <w:rsid w:val="00792626"/>
    <w:rsid w:val="00792914"/>
    <w:rsid w:val="0079459B"/>
    <w:rsid w:val="007945DC"/>
    <w:rsid w:val="00794654"/>
    <w:rsid w:val="007948DB"/>
    <w:rsid w:val="00794CA8"/>
    <w:rsid w:val="007A04B4"/>
    <w:rsid w:val="007A0EAE"/>
    <w:rsid w:val="007A1233"/>
    <w:rsid w:val="007A15FF"/>
    <w:rsid w:val="007A1EEF"/>
    <w:rsid w:val="007A2277"/>
    <w:rsid w:val="007A424B"/>
    <w:rsid w:val="007A6EB0"/>
    <w:rsid w:val="007A704C"/>
    <w:rsid w:val="007A78F1"/>
    <w:rsid w:val="007B3A20"/>
    <w:rsid w:val="007B544E"/>
    <w:rsid w:val="007B5B1F"/>
    <w:rsid w:val="007B5F02"/>
    <w:rsid w:val="007B6C1E"/>
    <w:rsid w:val="007B7891"/>
    <w:rsid w:val="007C1B51"/>
    <w:rsid w:val="007C308C"/>
    <w:rsid w:val="007C3EC3"/>
    <w:rsid w:val="007C51DA"/>
    <w:rsid w:val="007C683A"/>
    <w:rsid w:val="007C7784"/>
    <w:rsid w:val="007C791F"/>
    <w:rsid w:val="007C7DE8"/>
    <w:rsid w:val="007D0679"/>
    <w:rsid w:val="007D0E46"/>
    <w:rsid w:val="007D1A51"/>
    <w:rsid w:val="007D1B61"/>
    <w:rsid w:val="007D20BF"/>
    <w:rsid w:val="007D2152"/>
    <w:rsid w:val="007D349C"/>
    <w:rsid w:val="007D34EB"/>
    <w:rsid w:val="007D42F6"/>
    <w:rsid w:val="007D4D8E"/>
    <w:rsid w:val="007D4E1D"/>
    <w:rsid w:val="007D6730"/>
    <w:rsid w:val="007D79F5"/>
    <w:rsid w:val="007E0476"/>
    <w:rsid w:val="007E0B48"/>
    <w:rsid w:val="007E151E"/>
    <w:rsid w:val="007E19BF"/>
    <w:rsid w:val="007E216F"/>
    <w:rsid w:val="007E2202"/>
    <w:rsid w:val="007E253D"/>
    <w:rsid w:val="007E256A"/>
    <w:rsid w:val="007E25ED"/>
    <w:rsid w:val="007E2F0C"/>
    <w:rsid w:val="007E343D"/>
    <w:rsid w:val="007E37E8"/>
    <w:rsid w:val="007E5105"/>
    <w:rsid w:val="007E6AAF"/>
    <w:rsid w:val="007E703A"/>
    <w:rsid w:val="007E7DB5"/>
    <w:rsid w:val="007E7EBE"/>
    <w:rsid w:val="007F285E"/>
    <w:rsid w:val="007F2906"/>
    <w:rsid w:val="007F3658"/>
    <w:rsid w:val="007F48C3"/>
    <w:rsid w:val="007F4F39"/>
    <w:rsid w:val="007F5442"/>
    <w:rsid w:val="007F7AAA"/>
    <w:rsid w:val="0080009E"/>
    <w:rsid w:val="00800C14"/>
    <w:rsid w:val="00800D1F"/>
    <w:rsid w:val="00801131"/>
    <w:rsid w:val="00801BD1"/>
    <w:rsid w:val="00801F3B"/>
    <w:rsid w:val="008023FD"/>
    <w:rsid w:val="00802D2B"/>
    <w:rsid w:val="008035C4"/>
    <w:rsid w:val="00803978"/>
    <w:rsid w:val="00804195"/>
    <w:rsid w:val="00804F00"/>
    <w:rsid w:val="008056E3"/>
    <w:rsid w:val="008066AC"/>
    <w:rsid w:val="008078C7"/>
    <w:rsid w:val="00807B5A"/>
    <w:rsid w:val="00810F70"/>
    <w:rsid w:val="00811989"/>
    <w:rsid w:val="00812222"/>
    <w:rsid w:val="00813603"/>
    <w:rsid w:val="00814577"/>
    <w:rsid w:val="00814894"/>
    <w:rsid w:val="00814D8D"/>
    <w:rsid w:val="00814F4B"/>
    <w:rsid w:val="00816A46"/>
    <w:rsid w:val="00820A62"/>
    <w:rsid w:val="00821A39"/>
    <w:rsid w:val="00821A7D"/>
    <w:rsid w:val="00822687"/>
    <w:rsid w:val="008228B4"/>
    <w:rsid w:val="00823286"/>
    <w:rsid w:val="008232E0"/>
    <w:rsid w:val="00824A85"/>
    <w:rsid w:val="00825752"/>
    <w:rsid w:val="00827A6D"/>
    <w:rsid w:val="00831096"/>
    <w:rsid w:val="00831C0F"/>
    <w:rsid w:val="00835117"/>
    <w:rsid w:val="008354C8"/>
    <w:rsid w:val="008358EE"/>
    <w:rsid w:val="00835E95"/>
    <w:rsid w:val="00836299"/>
    <w:rsid w:val="00836FAC"/>
    <w:rsid w:val="008409C5"/>
    <w:rsid w:val="00841CB4"/>
    <w:rsid w:val="00841DDF"/>
    <w:rsid w:val="00842A89"/>
    <w:rsid w:val="008430B7"/>
    <w:rsid w:val="00844D83"/>
    <w:rsid w:val="00845747"/>
    <w:rsid w:val="00845C1B"/>
    <w:rsid w:val="00846A49"/>
    <w:rsid w:val="00846B77"/>
    <w:rsid w:val="00847A4E"/>
    <w:rsid w:val="0085012D"/>
    <w:rsid w:val="008501C2"/>
    <w:rsid w:val="008508CA"/>
    <w:rsid w:val="00851900"/>
    <w:rsid w:val="00852C2F"/>
    <w:rsid w:val="00852F2C"/>
    <w:rsid w:val="00853BA6"/>
    <w:rsid w:val="00853E37"/>
    <w:rsid w:val="00854609"/>
    <w:rsid w:val="00854F30"/>
    <w:rsid w:val="00855162"/>
    <w:rsid w:val="008552F4"/>
    <w:rsid w:val="00860415"/>
    <w:rsid w:val="008605F1"/>
    <w:rsid w:val="00860C25"/>
    <w:rsid w:val="008612E1"/>
    <w:rsid w:val="00862C8E"/>
    <w:rsid w:val="00863C9F"/>
    <w:rsid w:val="0086528E"/>
    <w:rsid w:val="00866769"/>
    <w:rsid w:val="00866BF7"/>
    <w:rsid w:val="00866EDA"/>
    <w:rsid w:val="008675D8"/>
    <w:rsid w:val="008700C3"/>
    <w:rsid w:val="00871ACD"/>
    <w:rsid w:val="00873D23"/>
    <w:rsid w:val="008740EA"/>
    <w:rsid w:val="00876718"/>
    <w:rsid w:val="0087774D"/>
    <w:rsid w:val="00880CD9"/>
    <w:rsid w:val="00881E5C"/>
    <w:rsid w:val="008828D8"/>
    <w:rsid w:val="008830AD"/>
    <w:rsid w:val="00883856"/>
    <w:rsid w:val="00884005"/>
    <w:rsid w:val="00884189"/>
    <w:rsid w:val="00884B7A"/>
    <w:rsid w:val="008855DD"/>
    <w:rsid w:val="00885EC3"/>
    <w:rsid w:val="008863F5"/>
    <w:rsid w:val="0088730E"/>
    <w:rsid w:val="00887F58"/>
    <w:rsid w:val="00890023"/>
    <w:rsid w:val="008906AE"/>
    <w:rsid w:val="00890EE6"/>
    <w:rsid w:val="00891784"/>
    <w:rsid w:val="00891D41"/>
    <w:rsid w:val="00891E80"/>
    <w:rsid w:val="0089290D"/>
    <w:rsid w:val="0089326F"/>
    <w:rsid w:val="00895356"/>
    <w:rsid w:val="00896842"/>
    <w:rsid w:val="008971DB"/>
    <w:rsid w:val="008A0CC0"/>
    <w:rsid w:val="008A0F9C"/>
    <w:rsid w:val="008A209B"/>
    <w:rsid w:val="008A21A1"/>
    <w:rsid w:val="008A31AF"/>
    <w:rsid w:val="008A5CB7"/>
    <w:rsid w:val="008A618C"/>
    <w:rsid w:val="008A69EE"/>
    <w:rsid w:val="008A7484"/>
    <w:rsid w:val="008B117F"/>
    <w:rsid w:val="008B14FF"/>
    <w:rsid w:val="008B15EE"/>
    <w:rsid w:val="008B38E1"/>
    <w:rsid w:val="008B5F0A"/>
    <w:rsid w:val="008B5F92"/>
    <w:rsid w:val="008B61B0"/>
    <w:rsid w:val="008B67AD"/>
    <w:rsid w:val="008B7FDD"/>
    <w:rsid w:val="008C04FD"/>
    <w:rsid w:val="008C0F12"/>
    <w:rsid w:val="008C101B"/>
    <w:rsid w:val="008C3AD3"/>
    <w:rsid w:val="008C41E1"/>
    <w:rsid w:val="008C42C3"/>
    <w:rsid w:val="008C4AEC"/>
    <w:rsid w:val="008C5C88"/>
    <w:rsid w:val="008C6485"/>
    <w:rsid w:val="008C71BA"/>
    <w:rsid w:val="008C7570"/>
    <w:rsid w:val="008C7A3F"/>
    <w:rsid w:val="008C7B4B"/>
    <w:rsid w:val="008C7BA4"/>
    <w:rsid w:val="008D1188"/>
    <w:rsid w:val="008D29CF"/>
    <w:rsid w:val="008D2ED3"/>
    <w:rsid w:val="008D44A4"/>
    <w:rsid w:val="008D4D22"/>
    <w:rsid w:val="008D5358"/>
    <w:rsid w:val="008D55B5"/>
    <w:rsid w:val="008D666C"/>
    <w:rsid w:val="008D6B4A"/>
    <w:rsid w:val="008D76AF"/>
    <w:rsid w:val="008E31CC"/>
    <w:rsid w:val="008E367F"/>
    <w:rsid w:val="008E3C97"/>
    <w:rsid w:val="008E4B8A"/>
    <w:rsid w:val="008E4FF4"/>
    <w:rsid w:val="008E5426"/>
    <w:rsid w:val="008E570B"/>
    <w:rsid w:val="008E5C01"/>
    <w:rsid w:val="008E6395"/>
    <w:rsid w:val="008E6D15"/>
    <w:rsid w:val="008E7A77"/>
    <w:rsid w:val="008F094E"/>
    <w:rsid w:val="008F0D2A"/>
    <w:rsid w:val="008F1084"/>
    <w:rsid w:val="008F2439"/>
    <w:rsid w:val="008F302F"/>
    <w:rsid w:val="008F3259"/>
    <w:rsid w:val="008F405B"/>
    <w:rsid w:val="008F43FE"/>
    <w:rsid w:val="008F445B"/>
    <w:rsid w:val="008F4646"/>
    <w:rsid w:val="008F542C"/>
    <w:rsid w:val="008F6D80"/>
    <w:rsid w:val="008F72CC"/>
    <w:rsid w:val="009007D9"/>
    <w:rsid w:val="0090102A"/>
    <w:rsid w:val="00901DE3"/>
    <w:rsid w:val="00902131"/>
    <w:rsid w:val="00903142"/>
    <w:rsid w:val="009039EE"/>
    <w:rsid w:val="00904ABE"/>
    <w:rsid w:val="00904C75"/>
    <w:rsid w:val="0090740F"/>
    <w:rsid w:val="009110C9"/>
    <w:rsid w:val="00911F46"/>
    <w:rsid w:val="00912412"/>
    <w:rsid w:val="00912F0A"/>
    <w:rsid w:val="00912FA3"/>
    <w:rsid w:val="00913279"/>
    <w:rsid w:val="009134DD"/>
    <w:rsid w:val="00913754"/>
    <w:rsid w:val="009147BC"/>
    <w:rsid w:val="00914C23"/>
    <w:rsid w:val="0091685A"/>
    <w:rsid w:val="00917C2E"/>
    <w:rsid w:val="00917CA6"/>
    <w:rsid w:val="0092091B"/>
    <w:rsid w:val="00921D14"/>
    <w:rsid w:val="00922504"/>
    <w:rsid w:val="00923304"/>
    <w:rsid w:val="009236AA"/>
    <w:rsid w:val="009252C6"/>
    <w:rsid w:val="009257FF"/>
    <w:rsid w:val="009269C8"/>
    <w:rsid w:val="009270EB"/>
    <w:rsid w:val="00930B66"/>
    <w:rsid w:val="00931178"/>
    <w:rsid w:val="00933400"/>
    <w:rsid w:val="009347AA"/>
    <w:rsid w:val="00936DB4"/>
    <w:rsid w:val="0093758C"/>
    <w:rsid w:val="00940332"/>
    <w:rsid w:val="0094090D"/>
    <w:rsid w:val="00940B53"/>
    <w:rsid w:val="00941C4E"/>
    <w:rsid w:val="00943B7D"/>
    <w:rsid w:val="00943CCB"/>
    <w:rsid w:val="00943FF8"/>
    <w:rsid w:val="0094495D"/>
    <w:rsid w:val="00945057"/>
    <w:rsid w:val="00945CA4"/>
    <w:rsid w:val="0094766C"/>
    <w:rsid w:val="00950BFF"/>
    <w:rsid w:val="00951C31"/>
    <w:rsid w:val="00952900"/>
    <w:rsid w:val="009535FC"/>
    <w:rsid w:val="0095388F"/>
    <w:rsid w:val="009541F8"/>
    <w:rsid w:val="00957874"/>
    <w:rsid w:val="00960E42"/>
    <w:rsid w:val="00961201"/>
    <w:rsid w:val="0096121D"/>
    <w:rsid w:val="009615E5"/>
    <w:rsid w:val="009619CE"/>
    <w:rsid w:val="0096337F"/>
    <w:rsid w:val="009637D5"/>
    <w:rsid w:val="0096481E"/>
    <w:rsid w:val="00965D4E"/>
    <w:rsid w:val="00966841"/>
    <w:rsid w:val="00966970"/>
    <w:rsid w:val="00970856"/>
    <w:rsid w:val="00971338"/>
    <w:rsid w:val="00971587"/>
    <w:rsid w:val="0097354C"/>
    <w:rsid w:val="009748B1"/>
    <w:rsid w:val="00975B56"/>
    <w:rsid w:val="00977F21"/>
    <w:rsid w:val="009808BF"/>
    <w:rsid w:val="0098127A"/>
    <w:rsid w:val="00981BFD"/>
    <w:rsid w:val="00982F0F"/>
    <w:rsid w:val="0098521D"/>
    <w:rsid w:val="00986E83"/>
    <w:rsid w:val="00986EC0"/>
    <w:rsid w:val="00987F3F"/>
    <w:rsid w:val="00991D1F"/>
    <w:rsid w:val="00993C82"/>
    <w:rsid w:val="009949F1"/>
    <w:rsid w:val="00996196"/>
    <w:rsid w:val="009967E0"/>
    <w:rsid w:val="009970F3"/>
    <w:rsid w:val="00997F3C"/>
    <w:rsid w:val="009A17CB"/>
    <w:rsid w:val="009A1D06"/>
    <w:rsid w:val="009A2014"/>
    <w:rsid w:val="009A2330"/>
    <w:rsid w:val="009A4B63"/>
    <w:rsid w:val="009A5535"/>
    <w:rsid w:val="009A6CE1"/>
    <w:rsid w:val="009A6FE0"/>
    <w:rsid w:val="009A71D0"/>
    <w:rsid w:val="009A7D26"/>
    <w:rsid w:val="009B0E87"/>
    <w:rsid w:val="009B1CF3"/>
    <w:rsid w:val="009B1D72"/>
    <w:rsid w:val="009B3004"/>
    <w:rsid w:val="009B3EDA"/>
    <w:rsid w:val="009B3F9C"/>
    <w:rsid w:val="009B419C"/>
    <w:rsid w:val="009B47C0"/>
    <w:rsid w:val="009B51E2"/>
    <w:rsid w:val="009B58F8"/>
    <w:rsid w:val="009C0E92"/>
    <w:rsid w:val="009C16AB"/>
    <w:rsid w:val="009C199D"/>
    <w:rsid w:val="009C21B2"/>
    <w:rsid w:val="009C27A8"/>
    <w:rsid w:val="009C38C9"/>
    <w:rsid w:val="009C3F54"/>
    <w:rsid w:val="009C4C17"/>
    <w:rsid w:val="009C5D24"/>
    <w:rsid w:val="009D095A"/>
    <w:rsid w:val="009D0E33"/>
    <w:rsid w:val="009D1DFE"/>
    <w:rsid w:val="009D1F9E"/>
    <w:rsid w:val="009D2AF8"/>
    <w:rsid w:val="009D300C"/>
    <w:rsid w:val="009D3A16"/>
    <w:rsid w:val="009D5439"/>
    <w:rsid w:val="009D779F"/>
    <w:rsid w:val="009E1893"/>
    <w:rsid w:val="009E2F18"/>
    <w:rsid w:val="009E30D4"/>
    <w:rsid w:val="009E393E"/>
    <w:rsid w:val="009E4C18"/>
    <w:rsid w:val="009E51C2"/>
    <w:rsid w:val="009E6432"/>
    <w:rsid w:val="009E7862"/>
    <w:rsid w:val="009F0E04"/>
    <w:rsid w:val="009F1667"/>
    <w:rsid w:val="009F19F6"/>
    <w:rsid w:val="009F20E9"/>
    <w:rsid w:val="009F2663"/>
    <w:rsid w:val="009F359D"/>
    <w:rsid w:val="009F4AB5"/>
    <w:rsid w:val="009F6730"/>
    <w:rsid w:val="00A0182A"/>
    <w:rsid w:val="00A034FA"/>
    <w:rsid w:val="00A0382B"/>
    <w:rsid w:val="00A03D9B"/>
    <w:rsid w:val="00A04021"/>
    <w:rsid w:val="00A0432B"/>
    <w:rsid w:val="00A045C7"/>
    <w:rsid w:val="00A04AEF"/>
    <w:rsid w:val="00A05721"/>
    <w:rsid w:val="00A066F0"/>
    <w:rsid w:val="00A075F1"/>
    <w:rsid w:val="00A07C10"/>
    <w:rsid w:val="00A10F74"/>
    <w:rsid w:val="00A1138E"/>
    <w:rsid w:val="00A11FF2"/>
    <w:rsid w:val="00A12C77"/>
    <w:rsid w:val="00A12FAF"/>
    <w:rsid w:val="00A13815"/>
    <w:rsid w:val="00A14D3E"/>
    <w:rsid w:val="00A15820"/>
    <w:rsid w:val="00A16048"/>
    <w:rsid w:val="00A161D5"/>
    <w:rsid w:val="00A16AA6"/>
    <w:rsid w:val="00A16B8C"/>
    <w:rsid w:val="00A1732A"/>
    <w:rsid w:val="00A20467"/>
    <w:rsid w:val="00A218E7"/>
    <w:rsid w:val="00A21E89"/>
    <w:rsid w:val="00A302F0"/>
    <w:rsid w:val="00A31857"/>
    <w:rsid w:val="00A318CF"/>
    <w:rsid w:val="00A31FF3"/>
    <w:rsid w:val="00A32653"/>
    <w:rsid w:val="00A329F5"/>
    <w:rsid w:val="00A33A01"/>
    <w:rsid w:val="00A34426"/>
    <w:rsid w:val="00A34454"/>
    <w:rsid w:val="00A35076"/>
    <w:rsid w:val="00A35307"/>
    <w:rsid w:val="00A3546F"/>
    <w:rsid w:val="00A3681E"/>
    <w:rsid w:val="00A37E5B"/>
    <w:rsid w:val="00A403B1"/>
    <w:rsid w:val="00A4127E"/>
    <w:rsid w:val="00A42967"/>
    <w:rsid w:val="00A44A39"/>
    <w:rsid w:val="00A44B4A"/>
    <w:rsid w:val="00A45346"/>
    <w:rsid w:val="00A52C82"/>
    <w:rsid w:val="00A5369F"/>
    <w:rsid w:val="00A539B6"/>
    <w:rsid w:val="00A53B83"/>
    <w:rsid w:val="00A55492"/>
    <w:rsid w:val="00A55D33"/>
    <w:rsid w:val="00A55E7E"/>
    <w:rsid w:val="00A5627F"/>
    <w:rsid w:val="00A57E24"/>
    <w:rsid w:val="00A606D8"/>
    <w:rsid w:val="00A609F7"/>
    <w:rsid w:val="00A615CF"/>
    <w:rsid w:val="00A61831"/>
    <w:rsid w:val="00A64B32"/>
    <w:rsid w:val="00A66336"/>
    <w:rsid w:val="00A669DD"/>
    <w:rsid w:val="00A678A7"/>
    <w:rsid w:val="00A71A08"/>
    <w:rsid w:val="00A72199"/>
    <w:rsid w:val="00A72AB3"/>
    <w:rsid w:val="00A72F34"/>
    <w:rsid w:val="00A73DB3"/>
    <w:rsid w:val="00A747D5"/>
    <w:rsid w:val="00A7531B"/>
    <w:rsid w:val="00A76034"/>
    <w:rsid w:val="00A7797F"/>
    <w:rsid w:val="00A77BF7"/>
    <w:rsid w:val="00A80003"/>
    <w:rsid w:val="00A80F49"/>
    <w:rsid w:val="00A82F3A"/>
    <w:rsid w:val="00A839C0"/>
    <w:rsid w:val="00A8417D"/>
    <w:rsid w:val="00A84AD1"/>
    <w:rsid w:val="00A854F3"/>
    <w:rsid w:val="00A858EC"/>
    <w:rsid w:val="00A92C47"/>
    <w:rsid w:val="00A9397B"/>
    <w:rsid w:val="00A93C31"/>
    <w:rsid w:val="00A93F05"/>
    <w:rsid w:val="00A94160"/>
    <w:rsid w:val="00A94B51"/>
    <w:rsid w:val="00A96C5C"/>
    <w:rsid w:val="00A978F7"/>
    <w:rsid w:val="00A97936"/>
    <w:rsid w:val="00A97BDB"/>
    <w:rsid w:val="00AA3410"/>
    <w:rsid w:val="00AA40E5"/>
    <w:rsid w:val="00AA5419"/>
    <w:rsid w:val="00AA5760"/>
    <w:rsid w:val="00AA57E6"/>
    <w:rsid w:val="00AA5A87"/>
    <w:rsid w:val="00AA5FBE"/>
    <w:rsid w:val="00AA65E8"/>
    <w:rsid w:val="00AA6813"/>
    <w:rsid w:val="00AA70DE"/>
    <w:rsid w:val="00AA7662"/>
    <w:rsid w:val="00AA7FBD"/>
    <w:rsid w:val="00AB07DD"/>
    <w:rsid w:val="00AB0E24"/>
    <w:rsid w:val="00AB14F9"/>
    <w:rsid w:val="00AB19AE"/>
    <w:rsid w:val="00AB20DB"/>
    <w:rsid w:val="00AB2B0D"/>
    <w:rsid w:val="00AB4AFA"/>
    <w:rsid w:val="00AB5C70"/>
    <w:rsid w:val="00AB5F5B"/>
    <w:rsid w:val="00AB5FB0"/>
    <w:rsid w:val="00AB6178"/>
    <w:rsid w:val="00AB6839"/>
    <w:rsid w:val="00AB6FD4"/>
    <w:rsid w:val="00AB7FE2"/>
    <w:rsid w:val="00AC0092"/>
    <w:rsid w:val="00AC0B10"/>
    <w:rsid w:val="00AC161F"/>
    <w:rsid w:val="00AC19C6"/>
    <w:rsid w:val="00AC1C0F"/>
    <w:rsid w:val="00AC1C1A"/>
    <w:rsid w:val="00AC2318"/>
    <w:rsid w:val="00AC24C1"/>
    <w:rsid w:val="00AC335F"/>
    <w:rsid w:val="00AC3E3C"/>
    <w:rsid w:val="00AC4993"/>
    <w:rsid w:val="00AC55A2"/>
    <w:rsid w:val="00AC6AE5"/>
    <w:rsid w:val="00AC7211"/>
    <w:rsid w:val="00AD155F"/>
    <w:rsid w:val="00AD1856"/>
    <w:rsid w:val="00AD1897"/>
    <w:rsid w:val="00AD415C"/>
    <w:rsid w:val="00AD494A"/>
    <w:rsid w:val="00AD496D"/>
    <w:rsid w:val="00AD52D3"/>
    <w:rsid w:val="00AD555A"/>
    <w:rsid w:val="00AD5E21"/>
    <w:rsid w:val="00AD601C"/>
    <w:rsid w:val="00AE0735"/>
    <w:rsid w:val="00AE208F"/>
    <w:rsid w:val="00AE261C"/>
    <w:rsid w:val="00AE3033"/>
    <w:rsid w:val="00AE30F3"/>
    <w:rsid w:val="00AE35F0"/>
    <w:rsid w:val="00AE4FA6"/>
    <w:rsid w:val="00AF31E3"/>
    <w:rsid w:val="00AF3477"/>
    <w:rsid w:val="00AF3F45"/>
    <w:rsid w:val="00AF4220"/>
    <w:rsid w:val="00AF47CE"/>
    <w:rsid w:val="00AF5EB6"/>
    <w:rsid w:val="00AF787B"/>
    <w:rsid w:val="00B0057D"/>
    <w:rsid w:val="00B00972"/>
    <w:rsid w:val="00B01149"/>
    <w:rsid w:val="00B01182"/>
    <w:rsid w:val="00B02564"/>
    <w:rsid w:val="00B02AAE"/>
    <w:rsid w:val="00B0311A"/>
    <w:rsid w:val="00B037F2"/>
    <w:rsid w:val="00B05250"/>
    <w:rsid w:val="00B05FD2"/>
    <w:rsid w:val="00B060A8"/>
    <w:rsid w:val="00B10126"/>
    <w:rsid w:val="00B11974"/>
    <w:rsid w:val="00B11D53"/>
    <w:rsid w:val="00B13BC9"/>
    <w:rsid w:val="00B14963"/>
    <w:rsid w:val="00B15126"/>
    <w:rsid w:val="00B1621E"/>
    <w:rsid w:val="00B1660B"/>
    <w:rsid w:val="00B16876"/>
    <w:rsid w:val="00B16AF4"/>
    <w:rsid w:val="00B177B3"/>
    <w:rsid w:val="00B20D0C"/>
    <w:rsid w:val="00B2245F"/>
    <w:rsid w:val="00B22BFD"/>
    <w:rsid w:val="00B22DDB"/>
    <w:rsid w:val="00B22E57"/>
    <w:rsid w:val="00B235C1"/>
    <w:rsid w:val="00B241F3"/>
    <w:rsid w:val="00B24DCE"/>
    <w:rsid w:val="00B25ABE"/>
    <w:rsid w:val="00B25B1A"/>
    <w:rsid w:val="00B275D9"/>
    <w:rsid w:val="00B278EE"/>
    <w:rsid w:val="00B30234"/>
    <w:rsid w:val="00B312D8"/>
    <w:rsid w:val="00B31364"/>
    <w:rsid w:val="00B31EE2"/>
    <w:rsid w:val="00B3251B"/>
    <w:rsid w:val="00B33C8E"/>
    <w:rsid w:val="00B36F9C"/>
    <w:rsid w:val="00B370B7"/>
    <w:rsid w:val="00B37A1E"/>
    <w:rsid w:val="00B43A52"/>
    <w:rsid w:val="00B45BC9"/>
    <w:rsid w:val="00B468B1"/>
    <w:rsid w:val="00B46DEF"/>
    <w:rsid w:val="00B46F6A"/>
    <w:rsid w:val="00B470FC"/>
    <w:rsid w:val="00B47FCC"/>
    <w:rsid w:val="00B50252"/>
    <w:rsid w:val="00B50CAA"/>
    <w:rsid w:val="00B5251D"/>
    <w:rsid w:val="00B528B1"/>
    <w:rsid w:val="00B541AF"/>
    <w:rsid w:val="00B54617"/>
    <w:rsid w:val="00B54BD6"/>
    <w:rsid w:val="00B54D6E"/>
    <w:rsid w:val="00B55D13"/>
    <w:rsid w:val="00B55D87"/>
    <w:rsid w:val="00B56A1F"/>
    <w:rsid w:val="00B56F3D"/>
    <w:rsid w:val="00B5707F"/>
    <w:rsid w:val="00B601D5"/>
    <w:rsid w:val="00B608BD"/>
    <w:rsid w:val="00B608C4"/>
    <w:rsid w:val="00B609EF"/>
    <w:rsid w:val="00B6196C"/>
    <w:rsid w:val="00B6364B"/>
    <w:rsid w:val="00B637ED"/>
    <w:rsid w:val="00B64B6B"/>
    <w:rsid w:val="00B64E70"/>
    <w:rsid w:val="00B66AA9"/>
    <w:rsid w:val="00B672D1"/>
    <w:rsid w:val="00B6775A"/>
    <w:rsid w:val="00B67817"/>
    <w:rsid w:val="00B71573"/>
    <w:rsid w:val="00B7261D"/>
    <w:rsid w:val="00B728E4"/>
    <w:rsid w:val="00B72DE1"/>
    <w:rsid w:val="00B734D9"/>
    <w:rsid w:val="00B74A77"/>
    <w:rsid w:val="00B75DD8"/>
    <w:rsid w:val="00B75F59"/>
    <w:rsid w:val="00B8004A"/>
    <w:rsid w:val="00B8005D"/>
    <w:rsid w:val="00B822B7"/>
    <w:rsid w:val="00B83985"/>
    <w:rsid w:val="00B83F73"/>
    <w:rsid w:val="00B8404B"/>
    <w:rsid w:val="00B85776"/>
    <w:rsid w:val="00B85BB3"/>
    <w:rsid w:val="00B870D1"/>
    <w:rsid w:val="00B87D6A"/>
    <w:rsid w:val="00B90952"/>
    <w:rsid w:val="00B90B0C"/>
    <w:rsid w:val="00B92F52"/>
    <w:rsid w:val="00B9389C"/>
    <w:rsid w:val="00B941E6"/>
    <w:rsid w:val="00B95B76"/>
    <w:rsid w:val="00B96102"/>
    <w:rsid w:val="00B961C4"/>
    <w:rsid w:val="00B966AA"/>
    <w:rsid w:val="00BA066B"/>
    <w:rsid w:val="00BA0829"/>
    <w:rsid w:val="00BA0850"/>
    <w:rsid w:val="00BA383A"/>
    <w:rsid w:val="00BA3C0F"/>
    <w:rsid w:val="00BA4B1D"/>
    <w:rsid w:val="00BA4FA0"/>
    <w:rsid w:val="00BB05CA"/>
    <w:rsid w:val="00BB09E2"/>
    <w:rsid w:val="00BB164F"/>
    <w:rsid w:val="00BB1891"/>
    <w:rsid w:val="00BB191B"/>
    <w:rsid w:val="00BB317D"/>
    <w:rsid w:val="00BB4A73"/>
    <w:rsid w:val="00BB5C06"/>
    <w:rsid w:val="00BB62A1"/>
    <w:rsid w:val="00BC1816"/>
    <w:rsid w:val="00BC28F2"/>
    <w:rsid w:val="00BC2F41"/>
    <w:rsid w:val="00BC3055"/>
    <w:rsid w:val="00BC3185"/>
    <w:rsid w:val="00BC3C4A"/>
    <w:rsid w:val="00BC5A89"/>
    <w:rsid w:val="00BC75E2"/>
    <w:rsid w:val="00BD083A"/>
    <w:rsid w:val="00BD0D20"/>
    <w:rsid w:val="00BD192C"/>
    <w:rsid w:val="00BD3DC0"/>
    <w:rsid w:val="00BD4759"/>
    <w:rsid w:val="00BD4E94"/>
    <w:rsid w:val="00BD548B"/>
    <w:rsid w:val="00BD589D"/>
    <w:rsid w:val="00BD5F02"/>
    <w:rsid w:val="00BD6302"/>
    <w:rsid w:val="00BD6481"/>
    <w:rsid w:val="00BE0EE6"/>
    <w:rsid w:val="00BE1F9E"/>
    <w:rsid w:val="00BE224E"/>
    <w:rsid w:val="00BE23C4"/>
    <w:rsid w:val="00BE2E7B"/>
    <w:rsid w:val="00BE446B"/>
    <w:rsid w:val="00BE5FC9"/>
    <w:rsid w:val="00BE61A2"/>
    <w:rsid w:val="00BE626E"/>
    <w:rsid w:val="00BE63AD"/>
    <w:rsid w:val="00BE663C"/>
    <w:rsid w:val="00BE67A9"/>
    <w:rsid w:val="00BE68E4"/>
    <w:rsid w:val="00BE6C6A"/>
    <w:rsid w:val="00BE75DE"/>
    <w:rsid w:val="00BF03E3"/>
    <w:rsid w:val="00BF0422"/>
    <w:rsid w:val="00BF219C"/>
    <w:rsid w:val="00BF24AD"/>
    <w:rsid w:val="00BF3652"/>
    <w:rsid w:val="00BF6CD9"/>
    <w:rsid w:val="00BF6F48"/>
    <w:rsid w:val="00BF741D"/>
    <w:rsid w:val="00BF7C68"/>
    <w:rsid w:val="00C00474"/>
    <w:rsid w:val="00C0167E"/>
    <w:rsid w:val="00C018F3"/>
    <w:rsid w:val="00C031EF"/>
    <w:rsid w:val="00C042EB"/>
    <w:rsid w:val="00C044B9"/>
    <w:rsid w:val="00C058A5"/>
    <w:rsid w:val="00C05E07"/>
    <w:rsid w:val="00C064DA"/>
    <w:rsid w:val="00C06CAA"/>
    <w:rsid w:val="00C079B6"/>
    <w:rsid w:val="00C10AC0"/>
    <w:rsid w:val="00C119BF"/>
    <w:rsid w:val="00C11CB9"/>
    <w:rsid w:val="00C12F81"/>
    <w:rsid w:val="00C136CE"/>
    <w:rsid w:val="00C139CD"/>
    <w:rsid w:val="00C13C0A"/>
    <w:rsid w:val="00C13C41"/>
    <w:rsid w:val="00C13E8E"/>
    <w:rsid w:val="00C15887"/>
    <w:rsid w:val="00C15D89"/>
    <w:rsid w:val="00C1600F"/>
    <w:rsid w:val="00C16037"/>
    <w:rsid w:val="00C20E96"/>
    <w:rsid w:val="00C218CC"/>
    <w:rsid w:val="00C2226B"/>
    <w:rsid w:val="00C228DF"/>
    <w:rsid w:val="00C22DCF"/>
    <w:rsid w:val="00C23F85"/>
    <w:rsid w:val="00C24041"/>
    <w:rsid w:val="00C2503E"/>
    <w:rsid w:val="00C255DF"/>
    <w:rsid w:val="00C2607E"/>
    <w:rsid w:val="00C276A8"/>
    <w:rsid w:val="00C301DC"/>
    <w:rsid w:val="00C304ED"/>
    <w:rsid w:val="00C30E24"/>
    <w:rsid w:val="00C33F8F"/>
    <w:rsid w:val="00C3616D"/>
    <w:rsid w:val="00C363E6"/>
    <w:rsid w:val="00C40160"/>
    <w:rsid w:val="00C40F2C"/>
    <w:rsid w:val="00C41111"/>
    <w:rsid w:val="00C4149F"/>
    <w:rsid w:val="00C41EB9"/>
    <w:rsid w:val="00C42D38"/>
    <w:rsid w:val="00C42E08"/>
    <w:rsid w:val="00C44775"/>
    <w:rsid w:val="00C4700D"/>
    <w:rsid w:val="00C47C0B"/>
    <w:rsid w:val="00C5217B"/>
    <w:rsid w:val="00C5412A"/>
    <w:rsid w:val="00C547F6"/>
    <w:rsid w:val="00C54C18"/>
    <w:rsid w:val="00C561AB"/>
    <w:rsid w:val="00C56A26"/>
    <w:rsid w:val="00C57948"/>
    <w:rsid w:val="00C57C06"/>
    <w:rsid w:val="00C60C90"/>
    <w:rsid w:val="00C60EFC"/>
    <w:rsid w:val="00C62075"/>
    <w:rsid w:val="00C63131"/>
    <w:rsid w:val="00C63540"/>
    <w:rsid w:val="00C63713"/>
    <w:rsid w:val="00C638A3"/>
    <w:rsid w:val="00C63C62"/>
    <w:rsid w:val="00C6502A"/>
    <w:rsid w:val="00C6578A"/>
    <w:rsid w:val="00C67788"/>
    <w:rsid w:val="00C67948"/>
    <w:rsid w:val="00C70CB5"/>
    <w:rsid w:val="00C71A9D"/>
    <w:rsid w:val="00C72F4B"/>
    <w:rsid w:val="00C732D4"/>
    <w:rsid w:val="00C7455B"/>
    <w:rsid w:val="00C748DB"/>
    <w:rsid w:val="00C7492F"/>
    <w:rsid w:val="00C75395"/>
    <w:rsid w:val="00C75B2D"/>
    <w:rsid w:val="00C7605A"/>
    <w:rsid w:val="00C77801"/>
    <w:rsid w:val="00C77907"/>
    <w:rsid w:val="00C77BB6"/>
    <w:rsid w:val="00C77C4A"/>
    <w:rsid w:val="00C80013"/>
    <w:rsid w:val="00C8011C"/>
    <w:rsid w:val="00C82303"/>
    <w:rsid w:val="00C82366"/>
    <w:rsid w:val="00C862E7"/>
    <w:rsid w:val="00C86C3B"/>
    <w:rsid w:val="00C87265"/>
    <w:rsid w:val="00C876C4"/>
    <w:rsid w:val="00C90C02"/>
    <w:rsid w:val="00C91FE0"/>
    <w:rsid w:val="00C93908"/>
    <w:rsid w:val="00C942BC"/>
    <w:rsid w:val="00C9518A"/>
    <w:rsid w:val="00C955CF"/>
    <w:rsid w:val="00C9581E"/>
    <w:rsid w:val="00C95AF8"/>
    <w:rsid w:val="00C95C1B"/>
    <w:rsid w:val="00C96B74"/>
    <w:rsid w:val="00C97D53"/>
    <w:rsid w:val="00CA0054"/>
    <w:rsid w:val="00CA1D88"/>
    <w:rsid w:val="00CA2939"/>
    <w:rsid w:val="00CA2BC3"/>
    <w:rsid w:val="00CA2C57"/>
    <w:rsid w:val="00CA3B02"/>
    <w:rsid w:val="00CA4A61"/>
    <w:rsid w:val="00CA5868"/>
    <w:rsid w:val="00CA5E54"/>
    <w:rsid w:val="00CA6A8A"/>
    <w:rsid w:val="00CA7133"/>
    <w:rsid w:val="00CB0D93"/>
    <w:rsid w:val="00CB0EEA"/>
    <w:rsid w:val="00CB3503"/>
    <w:rsid w:val="00CB379C"/>
    <w:rsid w:val="00CB38F1"/>
    <w:rsid w:val="00CB391A"/>
    <w:rsid w:val="00CB4782"/>
    <w:rsid w:val="00CB4CBF"/>
    <w:rsid w:val="00CB51B0"/>
    <w:rsid w:val="00CB5315"/>
    <w:rsid w:val="00CB5607"/>
    <w:rsid w:val="00CB5CE5"/>
    <w:rsid w:val="00CB68F3"/>
    <w:rsid w:val="00CB6C84"/>
    <w:rsid w:val="00CB6E0D"/>
    <w:rsid w:val="00CB7B55"/>
    <w:rsid w:val="00CC0266"/>
    <w:rsid w:val="00CC07B7"/>
    <w:rsid w:val="00CC09FD"/>
    <w:rsid w:val="00CC1426"/>
    <w:rsid w:val="00CC17B1"/>
    <w:rsid w:val="00CC28A2"/>
    <w:rsid w:val="00CC3831"/>
    <w:rsid w:val="00CC3C2B"/>
    <w:rsid w:val="00CC40F5"/>
    <w:rsid w:val="00CC6CE7"/>
    <w:rsid w:val="00CC6F8E"/>
    <w:rsid w:val="00CC7503"/>
    <w:rsid w:val="00CC7763"/>
    <w:rsid w:val="00CD02CA"/>
    <w:rsid w:val="00CD058A"/>
    <w:rsid w:val="00CD0941"/>
    <w:rsid w:val="00CD0B9A"/>
    <w:rsid w:val="00CD4173"/>
    <w:rsid w:val="00CD4345"/>
    <w:rsid w:val="00CD44F0"/>
    <w:rsid w:val="00CD5A09"/>
    <w:rsid w:val="00CD73D9"/>
    <w:rsid w:val="00CE0908"/>
    <w:rsid w:val="00CE22FC"/>
    <w:rsid w:val="00CE2EA8"/>
    <w:rsid w:val="00CE3AB5"/>
    <w:rsid w:val="00CE567F"/>
    <w:rsid w:val="00CE5880"/>
    <w:rsid w:val="00CE68DF"/>
    <w:rsid w:val="00CE7680"/>
    <w:rsid w:val="00CF0ED9"/>
    <w:rsid w:val="00CF1F62"/>
    <w:rsid w:val="00CF2626"/>
    <w:rsid w:val="00CF288F"/>
    <w:rsid w:val="00CF3272"/>
    <w:rsid w:val="00CF381B"/>
    <w:rsid w:val="00CF387C"/>
    <w:rsid w:val="00CF3B76"/>
    <w:rsid w:val="00CF3FDB"/>
    <w:rsid w:val="00CF42A1"/>
    <w:rsid w:val="00CF4A18"/>
    <w:rsid w:val="00CF53B0"/>
    <w:rsid w:val="00CF5FDF"/>
    <w:rsid w:val="00CF63EC"/>
    <w:rsid w:val="00D003C1"/>
    <w:rsid w:val="00D01206"/>
    <w:rsid w:val="00D03B19"/>
    <w:rsid w:val="00D03DF5"/>
    <w:rsid w:val="00D03E76"/>
    <w:rsid w:val="00D046FD"/>
    <w:rsid w:val="00D04710"/>
    <w:rsid w:val="00D04D77"/>
    <w:rsid w:val="00D07993"/>
    <w:rsid w:val="00D07BA2"/>
    <w:rsid w:val="00D11D9C"/>
    <w:rsid w:val="00D1258E"/>
    <w:rsid w:val="00D12A08"/>
    <w:rsid w:val="00D12B99"/>
    <w:rsid w:val="00D14E42"/>
    <w:rsid w:val="00D15BA5"/>
    <w:rsid w:val="00D16F10"/>
    <w:rsid w:val="00D17065"/>
    <w:rsid w:val="00D17D70"/>
    <w:rsid w:val="00D20746"/>
    <w:rsid w:val="00D217EE"/>
    <w:rsid w:val="00D217EF"/>
    <w:rsid w:val="00D225D2"/>
    <w:rsid w:val="00D22F47"/>
    <w:rsid w:val="00D22FB5"/>
    <w:rsid w:val="00D244AC"/>
    <w:rsid w:val="00D25697"/>
    <w:rsid w:val="00D25BE5"/>
    <w:rsid w:val="00D26456"/>
    <w:rsid w:val="00D2685D"/>
    <w:rsid w:val="00D26D2D"/>
    <w:rsid w:val="00D30093"/>
    <w:rsid w:val="00D30485"/>
    <w:rsid w:val="00D307F6"/>
    <w:rsid w:val="00D314E7"/>
    <w:rsid w:val="00D31551"/>
    <w:rsid w:val="00D3170B"/>
    <w:rsid w:val="00D31E50"/>
    <w:rsid w:val="00D3211A"/>
    <w:rsid w:val="00D32983"/>
    <w:rsid w:val="00D32E70"/>
    <w:rsid w:val="00D33032"/>
    <w:rsid w:val="00D33850"/>
    <w:rsid w:val="00D3389B"/>
    <w:rsid w:val="00D33CE0"/>
    <w:rsid w:val="00D34260"/>
    <w:rsid w:val="00D34505"/>
    <w:rsid w:val="00D36061"/>
    <w:rsid w:val="00D361A4"/>
    <w:rsid w:val="00D376DB"/>
    <w:rsid w:val="00D378A3"/>
    <w:rsid w:val="00D37B23"/>
    <w:rsid w:val="00D37BA6"/>
    <w:rsid w:val="00D37C07"/>
    <w:rsid w:val="00D4006E"/>
    <w:rsid w:val="00D40FBE"/>
    <w:rsid w:val="00D41DED"/>
    <w:rsid w:val="00D421C9"/>
    <w:rsid w:val="00D42D86"/>
    <w:rsid w:val="00D44B12"/>
    <w:rsid w:val="00D45BA2"/>
    <w:rsid w:val="00D46EA6"/>
    <w:rsid w:val="00D47570"/>
    <w:rsid w:val="00D47B0E"/>
    <w:rsid w:val="00D50661"/>
    <w:rsid w:val="00D50899"/>
    <w:rsid w:val="00D51A1D"/>
    <w:rsid w:val="00D52D0C"/>
    <w:rsid w:val="00D52DD1"/>
    <w:rsid w:val="00D540A4"/>
    <w:rsid w:val="00D54B63"/>
    <w:rsid w:val="00D5641C"/>
    <w:rsid w:val="00D5703D"/>
    <w:rsid w:val="00D57E3C"/>
    <w:rsid w:val="00D57ECC"/>
    <w:rsid w:val="00D6356F"/>
    <w:rsid w:val="00D64F53"/>
    <w:rsid w:val="00D65D49"/>
    <w:rsid w:val="00D70736"/>
    <w:rsid w:val="00D70E49"/>
    <w:rsid w:val="00D70FE1"/>
    <w:rsid w:val="00D71ED0"/>
    <w:rsid w:val="00D73523"/>
    <w:rsid w:val="00D73E9F"/>
    <w:rsid w:val="00D74636"/>
    <w:rsid w:val="00D74A1A"/>
    <w:rsid w:val="00D74A88"/>
    <w:rsid w:val="00D74AE1"/>
    <w:rsid w:val="00D759F7"/>
    <w:rsid w:val="00D75BB4"/>
    <w:rsid w:val="00D76538"/>
    <w:rsid w:val="00D767C9"/>
    <w:rsid w:val="00D813CA"/>
    <w:rsid w:val="00D8290F"/>
    <w:rsid w:val="00D83BD9"/>
    <w:rsid w:val="00D840E6"/>
    <w:rsid w:val="00D8434E"/>
    <w:rsid w:val="00D861AE"/>
    <w:rsid w:val="00D8637F"/>
    <w:rsid w:val="00D863A5"/>
    <w:rsid w:val="00D86821"/>
    <w:rsid w:val="00D879E3"/>
    <w:rsid w:val="00D910D4"/>
    <w:rsid w:val="00D917EA"/>
    <w:rsid w:val="00D9466A"/>
    <w:rsid w:val="00D953E3"/>
    <w:rsid w:val="00D957AF"/>
    <w:rsid w:val="00D95822"/>
    <w:rsid w:val="00D96068"/>
    <w:rsid w:val="00D967A1"/>
    <w:rsid w:val="00D96EC8"/>
    <w:rsid w:val="00D973E5"/>
    <w:rsid w:val="00D97A80"/>
    <w:rsid w:val="00D97FEF"/>
    <w:rsid w:val="00DA0313"/>
    <w:rsid w:val="00DA0696"/>
    <w:rsid w:val="00DA22AB"/>
    <w:rsid w:val="00DA2DE7"/>
    <w:rsid w:val="00DA4E5B"/>
    <w:rsid w:val="00DA543A"/>
    <w:rsid w:val="00DA5AAB"/>
    <w:rsid w:val="00DA64A1"/>
    <w:rsid w:val="00DA6893"/>
    <w:rsid w:val="00DA6DE9"/>
    <w:rsid w:val="00DA78BE"/>
    <w:rsid w:val="00DA79B5"/>
    <w:rsid w:val="00DA7EA8"/>
    <w:rsid w:val="00DB04BB"/>
    <w:rsid w:val="00DB0735"/>
    <w:rsid w:val="00DB13AD"/>
    <w:rsid w:val="00DB3675"/>
    <w:rsid w:val="00DB3BCF"/>
    <w:rsid w:val="00DB454F"/>
    <w:rsid w:val="00DB4C4E"/>
    <w:rsid w:val="00DB561D"/>
    <w:rsid w:val="00DB5C37"/>
    <w:rsid w:val="00DB5FDD"/>
    <w:rsid w:val="00DB6CCA"/>
    <w:rsid w:val="00DB7726"/>
    <w:rsid w:val="00DC06F6"/>
    <w:rsid w:val="00DC0AA9"/>
    <w:rsid w:val="00DC0B6F"/>
    <w:rsid w:val="00DC1471"/>
    <w:rsid w:val="00DC2C16"/>
    <w:rsid w:val="00DC2EF2"/>
    <w:rsid w:val="00DC6103"/>
    <w:rsid w:val="00DC759F"/>
    <w:rsid w:val="00DD06CC"/>
    <w:rsid w:val="00DD1D13"/>
    <w:rsid w:val="00DD2498"/>
    <w:rsid w:val="00DD3A8F"/>
    <w:rsid w:val="00DD47B6"/>
    <w:rsid w:val="00DD4D83"/>
    <w:rsid w:val="00DD4E97"/>
    <w:rsid w:val="00DD4EC2"/>
    <w:rsid w:val="00DD6FF4"/>
    <w:rsid w:val="00DD7483"/>
    <w:rsid w:val="00DD7894"/>
    <w:rsid w:val="00DE0238"/>
    <w:rsid w:val="00DE20BE"/>
    <w:rsid w:val="00DE26C8"/>
    <w:rsid w:val="00DE3EC7"/>
    <w:rsid w:val="00DE4E83"/>
    <w:rsid w:val="00DE5510"/>
    <w:rsid w:val="00DE78E5"/>
    <w:rsid w:val="00DE7A17"/>
    <w:rsid w:val="00DE7BA3"/>
    <w:rsid w:val="00DE7E95"/>
    <w:rsid w:val="00DF1313"/>
    <w:rsid w:val="00DF1C96"/>
    <w:rsid w:val="00DF346E"/>
    <w:rsid w:val="00DF5D36"/>
    <w:rsid w:val="00DF5D99"/>
    <w:rsid w:val="00DF7124"/>
    <w:rsid w:val="00E0138C"/>
    <w:rsid w:val="00E01720"/>
    <w:rsid w:val="00E01908"/>
    <w:rsid w:val="00E01D9E"/>
    <w:rsid w:val="00E026D0"/>
    <w:rsid w:val="00E03590"/>
    <w:rsid w:val="00E042DD"/>
    <w:rsid w:val="00E04CC9"/>
    <w:rsid w:val="00E05507"/>
    <w:rsid w:val="00E05A95"/>
    <w:rsid w:val="00E05D65"/>
    <w:rsid w:val="00E061B3"/>
    <w:rsid w:val="00E062D6"/>
    <w:rsid w:val="00E06CB0"/>
    <w:rsid w:val="00E076CD"/>
    <w:rsid w:val="00E0780F"/>
    <w:rsid w:val="00E10A3D"/>
    <w:rsid w:val="00E1153C"/>
    <w:rsid w:val="00E11B0E"/>
    <w:rsid w:val="00E12241"/>
    <w:rsid w:val="00E1258E"/>
    <w:rsid w:val="00E12F8C"/>
    <w:rsid w:val="00E13B41"/>
    <w:rsid w:val="00E14D14"/>
    <w:rsid w:val="00E153F4"/>
    <w:rsid w:val="00E163CC"/>
    <w:rsid w:val="00E16FD0"/>
    <w:rsid w:val="00E17FA5"/>
    <w:rsid w:val="00E212EC"/>
    <w:rsid w:val="00E21621"/>
    <w:rsid w:val="00E22784"/>
    <w:rsid w:val="00E248A3"/>
    <w:rsid w:val="00E24D1B"/>
    <w:rsid w:val="00E26C63"/>
    <w:rsid w:val="00E26DC1"/>
    <w:rsid w:val="00E27331"/>
    <w:rsid w:val="00E3002A"/>
    <w:rsid w:val="00E313FC"/>
    <w:rsid w:val="00E32A7F"/>
    <w:rsid w:val="00E34790"/>
    <w:rsid w:val="00E349F7"/>
    <w:rsid w:val="00E34D2B"/>
    <w:rsid w:val="00E35045"/>
    <w:rsid w:val="00E35555"/>
    <w:rsid w:val="00E35A9A"/>
    <w:rsid w:val="00E35F84"/>
    <w:rsid w:val="00E36171"/>
    <w:rsid w:val="00E362F5"/>
    <w:rsid w:val="00E3769B"/>
    <w:rsid w:val="00E42A74"/>
    <w:rsid w:val="00E4331B"/>
    <w:rsid w:val="00E43EEA"/>
    <w:rsid w:val="00E44065"/>
    <w:rsid w:val="00E458C2"/>
    <w:rsid w:val="00E463E1"/>
    <w:rsid w:val="00E477C6"/>
    <w:rsid w:val="00E5052E"/>
    <w:rsid w:val="00E50C04"/>
    <w:rsid w:val="00E50D07"/>
    <w:rsid w:val="00E50DD6"/>
    <w:rsid w:val="00E51457"/>
    <w:rsid w:val="00E51963"/>
    <w:rsid w:val="00E52D0F"/>
    <w:rsid w:val="00E52DB7"/>
    <w:rsid w:val="00E53093"/>
    <w:rsid w:val="00E538E3"/>
    <w:rsid w:val="00E54252"/>
    <w:rsid w:val="00E54A02"/>
    <w:rsid w:val="00E54D52"/>
    <w:rsid w:val="00E55924"/>
    <w:rsid w:val="00E6002E"/>
    <w:rsid w:val="00E60F86"/>
    <w:rsid w:val="00E61581"/>
    <w:rsid w:val="00E6319E"/>
    <w:rsid w:val="00E63296"/>
    <w:rsid w:val="00E649AA"/>
    <w:rsid w:val="00E64C5A"/>
    <w:rsid w:val="00E65A1E"/>
    <w:rsid w:val="00E65D64"/>
    <w:rsid w:val="00E70D12"/>
    <w:rsid w:val="00E70EC1"/>
    <w:rsid w:val="00E71074"/>
    <w:rsid w:val="00E728DA"/>
    <w:rsid w:val="00E74F2B"/>
    <w:rsid w:val="00E756E3"/>
    <w:rsid w:val="00E768CF"/>
    <w:rsid w:val="00E76E52"/>
    <w:rsid w:val="00E76F11"/>
    <w:rsid w:val="00E76F95"/>
    <w:rsid w:val="00E77DC7"/>
    <w:rsid w:val="00E77DD2"/>
    <w:rsid w:val="00E809AF"/>
    <w:rsid w:val="00E82993"/>
    <w:rsid w:val="00E83336"/>
    <w:rsid w:val="00E84190"/>
    <w:rsid w:val="00E842D5"/>
    <w:rsid w:val="00E8498F"/>
    <w:rsid w:val="00E84EFD"/>
    <w:rsid w:val="00E85190"/>
    <w:rsid w:val="00E8601E"/>
    <w:rsid w:val="00E860F8"/>
    <w:rsid w:val="00E87F41"/>
    <w:rsid w:val="00E90CCD"/>
    <w:rsid w:val="00E90D55"/>
    <w:rsid w:val="00E91858"/>
    <w:rsid w:val="00E918A3"/>
    <w:rsid w:val="00E93D47"/>
    <w:rsid w:val="00E94A27"/>
    <w:rsid w:val="00E96561"/>
    <w:rsid w:val="00E96AD2"/>
    <w:rsid w:val="00E97EB6"/>
    <w:rsid w:val="00E97FBF"/>
    <w:rsid w:val="00EA02C4"/>
    <w:rsid w:val="00EA0E56"/>
    <w:rsid w:val="00EA13BF"/>
    <w:rsid w:val="00EA23BD"/>
    <w:rsid w:val="00EA2DBA"/>
    <w:rsid w:val="00EA43CC"/>
    <w:rsid w:val="00EA5340"/>
    <w:rsid w:val="00EA6A9C"/>
    <w:rsid w:val="00EA78AF"/>
    <w:rsid w:val="00EB0F64"/>
    <w:rsid w:val="00EB137E"/>
    <w:rsid w:val="00EB15BA"/>
    <w:rsid w:val="00EB2790"/>
    <w:rsid w:val="00EB37C4"/>
    <w:rsid w:val="00EB3B91"/>
    <w:rsid w:val="00EB5AAA"/>
    <w:rsid w:val="00EB7349"/>
    <w:rsid w:val="00EB7BD0"/>
    <w:rsid w:val="00EB7EEF"/>
    <w:rsid w:val="00EC0425"/>
    <w:rsid w:val="00EC0CA8"/>
    <w:rsid w:val="00EC19CF"/>
    <w:rsid w:val="00EC220F"/>
    <w:rsid w:val="00EC4FEB"/>
    <w:rsid w:val="00EC5468"/>
    <w:rsid w:val="00EC65A3"/>
    <w:rsid w:val="00EC6922"/>
    <w:rsid w:val="00EC7144"/>
    <w:rsid w:val="00ED08E1"/>
    <w:rsid w:val="00ED18D0"/>
    <w:rsid w:val="00ED2A61"/>
    <w:rsid w:val="00ED5141"/>
    <w:rsid w:val="00ED6844"/>
    <w:rsid w:val="00EE0B01"/>
    <w:rsid w:val="00EE0B3D"/>
    <w:rsid w:val="00EE15BA"/>
    <w:rsid w:val="00EE1699"/>
    <w:rsid w:val="00EE3176"/>
    <w:rsid w:val="00EE3373"/>
    <w:rsid w:val="00EE7486"/>
    <w:rsid w:val="00EF292C"/>
    <w:rsid w:val="00EF2D94"/>
    <w:rsid w:val="00EF3A08"/>
    <w:rsid w:val="00EF435A"/>
    <w:rsid w:val="00EF51C1"/>
    <w:rsid w:val="00EF6DED"/>
    <w:rsid w:val="00EF798A"/>
    <w:rsid w:val="00F00477"/>
    <w:rsid w:val="00F019EA"/>
    <w:rsid w:val="00F0287B"/>
    <w:rsid w:val="00F02CA2"/>
    <w:rsid w:val="00F02D03"/>
    <w:rsid w:val="00F0380A"/>
    <w:rsid w:val="00F03B9C"/>
    <w:rsid w:val="00F04B0A"/>
    <w:rsid w:val="00F04CFB"/>
    <w:rsid w:val="00F04E1C"/>
    <w:rsid w:val="00F055AE"/>
    <w:rsid w:val="00F075E8"/>
    <w:rsid w:val="00F079AA"/>
    <w:rsid w:val="00F07E10"/>
    <w:rsid w:val="00F07EBA"/>
    <w:rsid w:val="00F11685"/>
    <w:rsid w:val="00F134F7"/>
    <w:rsid w:val="00F1359A"/>
    <w:rsid w:val="00F13B39"/>
    <w:rsid w:val="00F14222"/>
    <w:rsid w:val="00F14CC1"/>
    <w:rsid w:val="00F15A81"/>
    <w:rsid w:val="00F16B03"/>
    <w:rsid w:val="00F16B3B"/>
    <w:rsid w:val="00F172A9"/>
    <w:rsid w:val="00F172B0"/>
    <w:rsid w:val="00F2048F"/>
    <w:rsid w:val="00F20A74"/>
    <w:rsid w:val="00F20E34"/>
    <w:rsid w:val="00F21270"/>
    <w:rsid w:val="00F225B5"/>
    <w:rsid w:val="00F22EE5"/>
    <w:rsid w:val="00F24654"/>
    <w:rsid w:val="00F26A12"/>
    <w:rsid w:val="00F27A1A"/>
    <w:rsid w:val="00F27DB7"/>
    <w:rsid w:val="00F27EB3"/>
    <w:rsid w:val="00F301E7"/>
    <w:rsid w:val="00F30A79"/>
    <w:rsid w:val="00F32B97"/>
    <w:rsid w:val="00F32BDF"/>
    <w:rsid w:val="00F3441F"/>
    <w:rsid w:val="00F371D0"/>
    <w:rsid w:val="00F40A93"/>
    <w:rsid w:val="00F41345"/>
    <w:rsid w:val="00F415A5"/>
    <w:rsid w:val="00F429C4"/>
    <w:rsid w:val="00F42D9D"/>
    <w:rsid w:val="00F42EE5"/>
    <w:rsid w:val="00F437B4"/>
    <w:rsid w:val="00F43D67"/>
    <w:rsid w:val="00F44626"/>
    <w:rsid w:val="00F468A2"/>
    <w:rsid w:val="00F5026F"/>
    <w:rsid w:val="00F51A50"/>
    <w:rsid w:val="00F51C2F"/>
    <w:rsid w:val="00F52429"/>
    <w:rsid w:val="00F5273B"/>
    <w:rsid w:val="00F53044"/>
    <w:rsid w:val="00F53864"/>
    <w:rsid w:val="00F53ACE"/>
    <w:rsid w:val="00F53F75"/>
    <w:rsid w:val="00F548B2"/>
    <w:rsid w:val="00F5598D"/>
    <w:rsid w:val="00F55AA0"/>
    <w:rsid w:val="00F55C21"/>
    <w:rsid w:val="00F560CD"/>
    <w:rsid w:val="00F5709A"/>
    <w:rsid w:val="00F57860"/>
    <w:rsid w:val="00F60467"/>
    <w:rsid w:val="00F605C4"/>
    <w:rsid w:val="00F61D60"/>
    <w:rsid w:val="00F62275"/>
    <w:rsid w:val="00F623D1"/>
    <w:rsid w:val="00F62A67"/>
    <w:rsid w:val="00F62D02"/>
    <w:rsid w:val="00F6354C"/>
    <w:rsid w:val="00F63937"/>
    <w:rsid w:val="00F639B2"/>
    <w:rsid w:val="00F64AC8"/>
    <w:rsid w:val="00F64D30"/>
    <w:rsid w:val="00F652F2"/>
    <w:rsid w:val="00F657B4"/>
    <w:rsid w:val="00F66B52"/>
    <w:rsid w:val="00F702A9"/>
    <w:rsid w:val="00F70D05"/>
    <w:rsid w:val="00F72B32"/>
    <w:rsid w:val="00F73D25"/>
    <w:rsid w:val="00F741CE"/>
    <w:rsid w:val="00F744FF"/>
    <w:rsid w:val="00F748BC"/>
    <w:rsid w:val="00F75760"/>
    <w:rsid w:val="00F75B32"/>
    <w:rsid w:val="00F75B3A"/>
    <w:rsid w:val="00F76B05"/>
    <w:rsid w:val="00F77B7F"/>
    <w:rsid w:val="00F77BE6"/>
    <w:rsid w:val="00F81A86"/>
    <w:rsid w:val="00F830E8"/>
    <w:rsid w:val="00F85845"/>
    <w:rsid w:val="00F86D72"/>
    <w:rsid w:val="00F86F3A"/>
    <w:rsid w:val="00F87F8A"/>
    <w:rsid w:val="00F9267D"/>
    <w:rsid w:val="00F93251"/>
    <w:rsid w:val="00F9475D"/>
    <w:rsid w:val="00F947FF"/>
    <w:rsid w:val="00FA0224"/>
    <w:rsid w:val="00FA15BB"/>
    <w:rsid w:val="00FA15EA"/>
    <w:rsid w:val="00FA1D14"/>
    <w:rsid w:val="00FA2279"/>
    <w:rsid w:val="00FA63D2"/>
    <w:rsid w:val="00FA6601"/>
    <w:rsid w:val="00FA7155"/>
    <w:rsid w:val="00FA7795"/>
    <w:rsid w:val="00FA7BE5"/>
    <w:rsid w:val="00FB28DA"/>
    <w:rsid w:val="00FB3136"/>
    <w:rsid w:val="00FB39B8"/>
    <w:rsid w:val="00FB487B"/>
    <w:rsid w:val="00FB51A5"/>
    <w:rsid w:val="00FB764B"/>
    <w:rsid w:val="00FB78D2"/>
    <w:rsid w:val="00FC0741"/>
    <w:rsid w:val="00FC0C3E"/>
    <w:rsid w:val="00FC1DA2"/>
    <w:rsid w:val="00FC342D"/>
    <w:rsid w:val="00FC39FF"/>
    <w:rsid w:val="00FC4568"/>
    <w:rsid w:val="00FC4C4C"/>
    <w:rsid w:val="00FC55E3"/>
    <w:rsid w:val="00FC5B63"/>
    <w:rsid w:val="00FC7801"/>
    <w:rsid w:val="00FC7D07"/>
    <w:rsid w:val="00FD0C27"/>
    <w:rsid w:val="00FD1943"/>
    <w:rsid w:val="00FD2154"/>
    <w:rsid w:val="00FD3C81"/>
    <w:rsid w:val="00FD4325"/>
    <w:rsid w:val="00FD47D8"/>
    <w:rsid w:val="00FD5951"/>
    <w:rsid w:val="00FD5B62"/>
    <w:rsid w:val="00FD6CA1"/>
    <w:rsid w:val="00FD75B3"/>
    <w:rsid w:val="00FD783B"/>
    <w:rsid w:val="00FD794F"/>
    <w:rsid w:val="00FE000B"/>
    <w:rsid w:val="00FE0632"/>
    <w:rsid w:val="00FE08EC"/>
    <w:rsid w:val="00FE1A9C"/>
    <w:rsid w:val="00FE1C4C"/>
    <w:rsid w:val="00FE296D"/>
    <w:rsid w:val="00FE357F"/>
    <w:rsid w:val="00FE38AA"/>
    <w:rsid w:val="00FE3D04"/>
    <w:rsid w:val="00FE6892"/>
    <w:rsid w:val="00FE6C56"/>
    <w:rsid w:val="00FF005D"/>
    <w:rsid w:val="00FF2C3E"/>
    <w:rsid w:val="00FF2D91"/>
    <w:rsid w:val="00FF2F1C"/>
    <w:rsid w:val="00FF44C8"/>
    <w:rsid w:val="00FF49F3"/>
    <w:rsid w:val="00FF6163"/>
    <w:rsid w:val="00FF65E8"/>
    <w:rsid w:val="00FF66A7"/>
    <w:rsid w:val="00FF6E85"/>
    <w:rsid w:val="00FF7356"/>
    <w:rsid w:val="00FF7442"/>
    <w:rsid w:val="00FF783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9C11F2"/>
  <w15:chartTrackingRefBased/>
  <w15:docId w15:val="{7355022F-CC70-475B-8895-90F700DD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3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2635BE"/>
    <w:pPr>
      <w:numPr>
        <w:numId w:val="20"/>
      </w:numPr>
      <w:spacing w:line="480" w:lineRule="auto"/>
      <w:contextualSpacing/>
      <w:outlineLvl w:val="0"/>
    </w:pPr>
    <w:rPr>
      <w:rFonts w:ascii="Arial" w:hAnsi="Arial" w:cs="Arial"/>
      <w:bCs/>
      <w:lang w:eastAsia="x-none"/>
    </w:rPr>
  </w:style>
  <w:style w:type="paragraph" w:styleId="Heading2">
    <w:name w:val="heading 2"/>
    <w:basedOn w:val="Normal"/>
    <w:next w:val="Normal"/>
    <w:link w:val="Heading2Char"/>
    <w:uiPriority w:val="9"/>
    <w:semiHidden/>
    <w:unhideWhenUsed/>
    <w:qFormat/>
    <w:rsid w:val="00BD0D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5BE"/>
    <w:rPr>
      <w:rFonts w:eastAsia="Times New Roman"/>
      <w:bCs/>
      <w:sz w:val="24"/>
      <w:szCs w:val="24"/>
      <w:lang w:eastAsia="x-none"/>
    </w:rPr>
  </w:style>
  <w:style w:type="character" w:customStyle="1" w:styleId="Heading2Char">
    <w:name w:val="Heading 2 Char"/>
    <w:basedOn w:val="DefaultParagraphFont"/>
    <w:link w:val="Heading2"/>
    <w:uiPriority w:val="9"/>
    <w:semiHidden/>
    <w:rsid w:val="00BD0D20"/>
    <w:rPr>
      <w:rFonts w:asciiTheme="majorHAnsi" w:eastAsiaTheme="majorEastAsia" w:hAnsiTheme="majorHAnsi" w:cstheme="majorBidi"/>
      <w:color w:val="365F91" w:themeColor="accent1" w:themeShade="BF"/>
      <w:sz w:val="26"/>
      <w:szCs w:val="26"/>
    </w:rPr>
  </w:style>
  <w:style w:type="paragraph" w:styleId="CommentText">
    <w:name w:val="annotation text"/>
    <w:basedOn w:val="Normal"/>
    <w:link w:val="CommentTextChar"/>
    <w:uiPriority w:val="99"/>
    <w:unhideWhenUsed/>
    <w:rsid w:val="005E79CB"/>
    <w:rPr>
      <w:szCs w:val="20"/>
    </w:rPr>
  </w:style>
  <w:style w:type="character" w:customStyle="1" w:styleId="CommentTextChar">
    <w:name w:val="Comment Text Char"/>
    <w:basedOn w:val="DefaultParagraphFont"/>
    <w:link w:val="CommentText"/>
    <w:uiPriority w:val="99"/>
    <w:rsid w:val="005E79CB"/>
    <w:rPr>
      <w:sz w:val="22"/>
      <w:szCs w:val="20"/>
    </w:rPr>
  </w:style>
  <w:style w:type="paragraph" w:customStyle="1" w:styleId="BodyText12">
    <w:name w:val="Body Text12"/>
    <w:basedOn w:val="Normal"/>
    <w:rsid w:val="005C3EAE"/>
    <w:pPr>
      <w:spacing w:after="120" w:line="480" w:lineRule="auto"/>
      <w:ind w:left="850"/>
    </w:pPr>
    <w:rPr>
      <w:szCs w:val="20"/>
      <w:lang w:val="en-GB" w:bidi="hi-IN"/>
    </w:rPr>
  </w:style>
  <w:style w:type="paragraph" w:customStyle="1" w:styleId="StyleBodyText12Left0">
    <w:name w:val="Style Body Text12 + Left:  0&quot;"/>
    <w:basedOn w:val="BodyText12"/>
    <w:rsid w:val="005C3EAE"/>
    <w:pPr>
      <w:ind w:left="0"/>
    </w:pPr>
  </w:style>
  <w:style w:type="character" w:styleId="Hyperlink">
    <w:name w:val="Hyperlink"/>
    <w:basedOn w:val="DefaultParagraphFont"/>
    <w:uiPriority w:val="99"/>
    <w:unhideWhenUsed/>
    <w:rsid w:val="005C3EAE"/>
    <w:rPr>
      <w:color w:val="0000FF" w:themeColor="hyperlink"/>
      <w:u w:val="single"/>
    </w:rPr>
  </w:style>
  <w:style w:type="character" w:styleId="CommentReference">
    <w:name w:val="annotation reference"/>
    <w:basedOn w:val="DefaultParagraphFont"/>
    <w:uiPriority w:val="99"/>
    <w:semiHidden/>
    <w:unhideWhenUsed/>
    <w:rsid w:val="000F3890"/>
    <w:rPr>
      <w:sz w:val="16"/>
      <w:szCs w:val="16"/>
    </w:rPr>
  </w:style>
  <w:style w:type="paragraph" w:styleId="CommentSubject">
    <w:name w:val="annotation subject"/>
    <w:basedOn w:val="CommentText"/>
    <w:next w:val="CommentText"/>
    <w:link w:val="CommentSubjectChar"/>
    <w:uiPriority w:val="99"/>
    <w:semiHidden/>
    <w:unhideWhenUsed/>
    <w:rsid w:val="000F3890"/>
    <w:rPr>
      <w:b/>
      <w:bCs/>
      <w:sz w:val="20"/>
    </w:rPr>
  </w:style>
  <w:style w:type="character" w:customStyle="1" w:styleId="CommentSubjectChar">
    <w:name w:val="Comment Subject Char"/>
    <w:basedOn w:val="CommentTextChar"/>
    <w:link w:val="CommentSubject"/>
    <w:uiPriority w:val="99"/>
    <w:semiHidden/>
    <w:rsid w:val="000F3890"/>
    <w:rPr>
      <w:rFonts w:ascii="Calibri" w:hAnsi="Calibri" w:cstheme="minorBidi"/>
      <w:b/>
      <w:bCs/>
      <w:sz w:val="20"/>
      <w:szCs w:val="20"/>
    </w:rPr>
  </w:style>
  <w:style w:type="paragraph" w:styleId="BalloonText">
    <w:name w:val="Balloon Text"/>
    <w:basedOn w:val="Normal"/>
    <w:link w:val="BalloonTextChar"/>
    <w:uiPriority w:val="99"/>
    <w:semiHidden/>
    <w:unhideWhenUsed/>
    <w:rsid w:val="000F3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890"/>
    <w:rPr>
      <w:rFonts w:ascii="Segoe UI" w:hAnsi="Segoe UI" w:cs="Segoe UI"/>
      <w:sz w:val="18"/>
      <w:szCs w:val="18"/>
    </w:rPr>
  </w:style>
  <w:style w:type="paragraph" w:styleId="ListParagraph">
    <w:name w:val="List Paragraph"/>
    <w:basedOn w:val="Normal"/>
    <w:link w:val="ListParagraphChar"/>
    <w:uiPriority w:val="34"/>
    <w:qFormat/>
    <w:rsid w:val="007D4D8E"/>
    <w:pPr>
      <w:ind w:left="720"/>
      <w:contextualSpacing/>
    </w:pPr>
  </w:style>
  <w:style w:type="character" w:customStyle="1" w:styleId="ListParagraphChar">
    <w:name w:val="List Paragraph Char"/>
    <w:basedOn w:val="DefaultParagraphFont"/>
    <w:link w:val="ListParagraph"/>
    <w:uiPriority w:val="34"/>
    <w:rsid w:val="0055562D"/>
    <w:rPr>
      <w:rFonts w:ascii="Calibri" w:hAnsi="Calibri" w:cstheme="minorBidi"/>
      <w:sz w:val="24"/>
    </w:rPr>
  </w:style>
  <w:style w:type="paragraph" w:styleId="NormalWeb">
    <w:name w:val="Normal (Web)"/>
    <w:basedOn w:val="Normal"/>
    <w:uiPriority w:val="99"/>
    <w:semiHidden/>
    <w:unhideWhenUsed/>
    <w:rsid w:val="00AC24C1"/>
    <w:pPr>
      <w:spacing w:before="100" w:beforeAutospacing="1" w:after="100" w:afterAutospacing="1"/>
    </w:pPr>
    <w:rPr>
      <w:rFonts w:eastAsiaTheme="minorEastAsia"/>
    </w:rPr>
  </w:style>
  <w:style w:type="paragraph" w:customStyle="1" w:styleId="EndNoteBibliographyTitle">
    <w:name w:val="EndNote Bibliography Title"/>
    <w:basedOn w:val="Normal"/>
    <w:link w:val="EndNoteBibliographyTitleChar"/>
    <w:rsid w:val="0055562D"/>
    <w:pPr>
      <w:jc w:val="center"/>
    </w:pPr>
    <w:rPr>
      <w:noProof/>
    </w:rPr>
  </w:style>
  <w:style w:type="character" w:customStyle="1" w:styleId="EndNoteBibliographyTitleChar">
    <w:name w:val="EndNote Bibliography Title Char"/>
    <w:basedOn w:val="ListParagraphChar"/>
    <w:link w:val="EndNoteBibliographyTitle"/>
    <w:rsid w:val="0055562D"/>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55562D"/>
    <w:pPr>
      <w:spacing w:line="480" w:lineRule="auto"/>
    </w:pPr>
    <w:rPr>
      <w:noProof/>
    </w:rPr>
  </w:style>
  <w:style w:type="character" w:customStyle="1" w:styleId="EndNoteBibliographyChar">
    <w:name w:val="EndNote Bibliography Char"/>
    <w:basedOn w:val="ListParagraphChar"/>
    <w:link w:val="EndNoteBibliography"/>
    <w:rsid w:val="0055562D"/>
    <w:rPr>
      <w:rFonts w:ascii="Times New Roman" w:eastAsia="Times New Roman" w:hAnsi="Times New Roman" w:cs="Times New Roman"/>
      <w:noProof/>
      <w:sz w:val="24"/>
      <w:szCs w:val="24"/>
    </w:rPr>
  </w:style>
  <w:style w:type="character" w:styleId="UnresolvedMention">
    <w:name w:val="Unresolved Mention"/>
    <w:basedOn w:val="DefaultParagraphFont"/>
    <w:uiPriority w:val="99"/>
    <w:semiHidden/>
    <w:unhideWhenUsed/>
    <w:rsid w:val="005E063C"/>
    <w:rPr>
      <w:color w:val="605E5C"/>
      <w:shd w:val="clear" w:color="auto" w:fill="E1DFDD"/>
    </w:rPr>
  </w:style>
  <w:style w:type="character" w:customStyle="1" w:styleId="Bodytext2">
    <w:name w:val="Body text (2)_"/>
    <w:link w:val="Bodytext21"/>
    <w:uiPriority w:val="99"/>
    <w:rsid w:val="00BD0D20"/>
    <w:rPr>
      <w:shd w:val="clear" w:color="auto" w:fill="FFFFFF"/>
    </w:rPr>
  </w:style>
  <w:style w:type="paragraph" w:customStyle="1" w:styleId="Bodytext21">
    <w:name w:val="Body text (2)1"/>
    <w:basedOn w:val="Normal"/>
    <w:link w:val="Bodytext2"/>
    <w:uiPriority w:val="99"/>
    <w:rsid w:val="00BD0D20"/>
    <w:pPr>
      <w:widowControl w:val="0"/>
      <w:shd w:val="clear" w:color="auto" w:fill="FFFFFF"/>
      <w:spacing w:line="379" w:lineRule="exact"/>
      <w:ind w:hanging="364"/>
    </w:pPr>
    <w:rPr>
      <w:rFonts w:ascii="Arial" w:hAnsi="Arial" w:cs="Arial"/>
      <w:sz w:val="22"/>
    </w:rPr>
  </w:style>
  <w:style w:type="paragraph" w:styleId="EndnoteText">
    <w:name w:val="endnote text"/>
    <w:basedOn w:val="Normal"/>
    <w:link w:val="EndnoteTextChar"/>
    <w:uiPriority w:val="99"/>
    <w:semiHidden/>
    <w:unhideWhenUsed/>
    <w:rsid w:val="00175295"/>
    <w:rPr>
      <w:sz w:val="20"/>
      <w:szCs w:val="20"/>
    </w:rPr>
  </w:style>
  <w:style w:type="character" w:customStyle="1" w:styleId="EndnoteTextChar">
    <w:name w:val="Endnote Text Char"/>
    <w:basedOn w:val="DefaultParagraphFont"/>
    <w:link w:val="EndnoteText"/>
    <w:uiPriority w:val="99"/>
    <w:semiHidden/>
    <w:rsid w:val="00175295"/>
    <w:rPr>
      <w:rFonts w:ascii="Calibri" w:hAnsi="Calibri" w:cstheme="minorBidi"/>
      <w:sz w:val="20"/>
      <w:szCs w:val="20"/>
    </w:rPr>
  </w:style>
  <w:style w:type="character" w:styleId="EndnoteReference">
    <w:name w:val="endnote reference"/>
    <w:basedOn w:val="DefaultParagraphFont"/>
    <w:uiPriority w:val="99"/>
    <w:semiHidden/>
    <w:unhideWhenUsed/>
    <w:rsid w:val="00175295"/>
    <w:rPr>
      <w:vertAlign w:val="superscript"/>
    </w:rPr>
  </w:style>
  <w:style w:type="character" w:customStyle="1" w:styleId="apple-converted-space">
    <w:name w:val="apple-converted-space"/>
    <w:basedOn w:val="DefaultParagraphFont"/>
    <w:rsid w:val="002B1880"/>
  </w:style>
  <w:style w:type="character" w:customStyle="1" w:styleId="highwire-citation-authors">
    <w:name w:val="highwire-citation-authors"/>
    <w:basedOn w:val="DefaultParagraphFont"/>
    <w:rsid w:val="00DA5AAB"/>
  </w:style>
  <w:style w:type="character" w:customStyle="1" w:styleId="nlm-given-names">
    <w:name w:val="nlm-given-names"/>
    <w:basedOn w:val="DefaultParagraphFont"/>
    <w:rsid w:val="00DA5AAB"/>
  </w:style>
  <w:style w:type="character" w:customStyle="1" w:styleId="nlm-surname">
    <w:name w:val="nlm-surname"/>
    <w:basedOn w:val="DefaultParagraphFont"/>
    <w:rsid w:val="00DA5AAB"/>
  </w:style>
  <w:style w:type="paragraph" w:customStyle="1" w:styleId="author">
    <w:name w:val="author"/>
    <w:basedOn w:val="Normal"/>
    <w:rsid w:val="00DA5AAB"/>
    <w:pPr>
      <w:spacing w:before="100" w:beforeAutospacing="1" w:after="100" w:afterAutospacing="1"/>
    </w:pPr>
  </w:style>
  <w:style w:type="character" w:customStyle="1" w:styleId="authorname">
    <w:name w:val="authorname"/>
    <w:basedOn w:val="DefaultParagraphFont"/>
    <w:rsid w:val="00DA5AAB"/>
  </w:style>
  <w:style w:type="paragraph" w:styleId="Header">
    <w:name w:val="header"/>
    <w:basedOn w:val="Normal"/>
    <w:link w:val="HeaderChar"/>
    <w:uiPriority w:val="99"/>
    <w:unhideWhenUsed/>
    <w:rsid w:val="00B56F3D"/>
    <w:pPr>
      <w:tabs>
        <w:tab w:val="center" w:pos="4680"/>
        <w:tab w:val="right" w:pos="9360"/>
      </w:tabs>
    </w:pPr>
  </w:style>
  <w:style w:type="character" w:customStyle="1" w:styleId="HeaderChar">
    <w:name w:val="Header Char"/>
    <w:basedOn w:val="DefaultParagraphFont"/>
    <w:link w:val="Header"/>
    <w:uiPriority w:val="99"/>
    <w:rsid w:val="00B56F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6F3D"/>
    <w:pPr>
      <w:tabs>
        <w:tab w:val="center" w:pos="4680"/>
        <w:tab w:val="right" w:pos="9360"/>
      </w:tabs>
    </w:pPr>
  </w:style>
  <w:style w:type="character" w:customStyle="1" w:styleId="FooterChar">
    <w:name w:val="Footer Char"/>
    <w:basedOn w:val="DefaultParagraphFont"/>
    <w:link w:val="Footer"/>
    <w:uiPriority w:val="99"/>
    <w:rsid w:val="00B56F3D"/>
    <w:rPr>
      <w:rFonts w:ascii="Times New Roman" w:eastAsia="Times New Roman" w:hAnsi="Times New Roman" w:cs="Times New Roman"/>
      <w:sz w:val="24"/>
      <w:szCs w:val="24"/>
    </w:rPr>
  </w:style>
  <w:style w:type="paragraph" w:styleId="ListBullet">
    <w:name w:val="List Bullet"/>
    <w:basedOn w:val="Normal"/>
    <w:uiPriority w:val="99"/>
    <w:unhideWhenUsed/>
    <w:rsid w:val="004D101A"/>
    <w:pPr>
      <w:numPr>
        <w:numId w:val="39"/>
      </w:numPr>
      <w:contextualSpacing/>
    </w:pPr>
  </w:style>
  <w:style w:type="paragraph" w:styleId="Revision">
    <w:name w:val="Revision"/>
    <w:hidden/>
    <w:uiPriority w:val="99"/>
    <w:semiHidden/>
    <w:rsid w:val="00453D47"/>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D655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1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14684">
      <w:bodyDiv w:val="1"/>
      <w:marLeft w:val="0"/>
      <w:marRight w:val="0"/>
      <w:marTop w:val="0"/>
      <w:marBottom w:val="0"/>
      <w:divBdr>
        <w:top w:val="none" w:sz="0" w:space="0" w:color="auto"/>
        <w:left w:val="none" w:sz="0" w:space="0" w:color="auto"/>
        <w:bottom w:val="none" w:sz="0" w:space="0" w:color="auto"/>
        <w:right w:val="none" w:sz="0" w:space="0" w:color="auto"/>
      </w:divBdr>
      <w:divsChild>
        <w:div w:id="1298531011">
          <w:marLeft w:val="0"/>
          <w:marRight w:val="0"/>
          <w:marTop w:val="0"/>
          <w:marBottom w:val="0"/>
          <w:divBdr>
            <w:top w:val="none" w:sz="0" w:space="0" w:color="auto"/>
            <w:left w:val="none" w:sz="0" w:space="0" w:color="auto"/>
            <w:bottom w:val="none" w:sz="0" w:space="0" w:color="auto"/>
            <w:right w:val="none" w:sz="0" w:space="0" w:color="auto"/>
          </w:divBdr>
          <w:divsChild>
            <w:div w:id="154424088">
              <w:marLeft w:val="0"/>
              <w:marRight w:val="0"/>
              <w:marTop w:val="0"/>
              <w:marBottom w:val="0"/>
              <w:divBdr>
                <w:top w:val="none" w:sz="0" w:space="0" w:color="auto"/>
                <w:left w:val="none" w:sz="0" w:space="0" w:color="auto"/>
                <w:bottom w:val="none" w:sz="0" w:space="0" w:color="auto"/>
                <w:right w:val="none" w:sz="0" w:space="0" w:color="auto"/>
              </w:divBdr>
              <w:divsChild>
                <w:div w:id="1682007538">
                  <w:marLeft w:val="0"/>
                  <w:marRight w:val="0"/>
                  <w:marTop w:val="0"/>
                  <w:marBottom w:val="0"/>
                  <w:divBdr>
                    <w:top w:val="none" w:sz="0" w:space="0" w:color="auto"/>
                    <w:left w:val="none" w:sz="0" w:space="0" w:color="auto"/>
                    <w:bottom w:val="none" w:sz="0" w:space="0" w:color="auto"/>
                    <w:right w:val="none" w:sz="0" w:space="0" w:color="auto"/>
                  </w:divBdr>
                </w:div>
              </w:divsChild>
            </w:div>
            <w:div w:id="728767662">
              <w:marLeft w:val="0"/>
              <w:marRight w:val="0"/>
              <w:marTop w:val="0"/>
              <w:marBottom w:val="0"/>
              <w:divBdr>
                <w:top w:val="none" w:sz="0" w:space="0" w:color="auto"/>
                <w:left w:val="none" w:sz="0" w:space="0" w:color="auto"/>
                <w:bottom w:val="none" w:sz="0" w:space="0" w:color="auto"/>
                <w:right w:val="none" w:sz="0" w:space="0" w:color="auto"/>
              </w:divBdr>
              <w:divsChild>
                <w:div w:id="1364674457">
                  <w:marLeft w:val="0"/>
                  <w:marRight w:val="0"/>
                  <w:marTop w:val="0"/>
                  <w:marBottom w:val="0"/>
                  <w:divBdr>
                    <w:top w:val="none" w:sz="0" w:space="0" w:color="auto"/>
                    <w:left w:val="none" w:sz="0" w:space="0" w:color="auto"/>
                    <w:bottom w:val="none" w:sz="0" w:space="0" w:color="auto"/>
                    <w:right w:val="none" w:sz="0" w:space="0" w:color="auto"/>
                  </w:divBdr>
                </w:div>
                <w:div w:id="12348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1350">
      <w:bodyDiv w:val="1"/>
      <w:marLeft w:val="0"/>
      <w:marRight w:val="0"/>
      <w:marTop w:val="0"/>
      <w:marBottom w:val="0"/>
      <w:divBdr>
        <w:top w:val="none" w:sz="0" w:space="0" w:color="auto"/>
        <w:left w:val="none" w:sz="0" w:space="0" w:color="auto"/>
        <w:bottom w:val="none" w:sz="0" w:space="0" w:color="auto"/>
        <w:right w:val="none" w:sz="0" w:space="0" w:color="auto"/>
      </w:divBdr>
    </w:div>
    <w:div w:id="286277014">
      <w:bodyDiv w:val="1"/>
      <w:marLeft w:val="0"/>
      <w:marRight w:val="0"/>
      <w:marTop w:val="0"/>
      <w:marBottom w:val="0"/>
      <w:divBdr>
        <w:top w:val="none" w:sz="0" w:space="0" w:color="auto"/>
        <w:left w:val="none" w:sz="0" w:space="0" w:color="auto"/>
        <w:bottom w:val="none" w:sz="0" w:space="0" w:color="auto"/>
        <w:right w:val="none" w:sz="0" w:space="0" w:color="auto"/>
      </w:divBdr>
    </w:div>
    <w:div w:id="497774960">
      <w:bodyDiv w:val="1"/>
      <w:marLeft w:val="0"/>
      <w:marRight w:val="0"/>
      <w:marTop w:val="0"/>
      <w:marBottom w:val="0"/>
      <w:divBdr>
        <w:top w:val="none" w:sz="0" w:space="0" w:color="auto"/>
        <w:left w:val="none" w:sz="0" w:space="0" w:color="auto"/>
        <w:bottom w:val="none" w:sz="0" w:space="0" w:color="auto"/>
        <w:right w:val="none" w:sz="0" w:space="0" w:color="auto"/>
      </w:divBdr>
    </w:div>
    <w:div w:id="607398046">
      <w:bodyDiv w:val="1"/>
      <w:marLeft w:val="0"/>
      <w:marRight w:val="0"/>
      <w:marTop w:val="0"/>
      <w:marBottom w:val="0"/>
      <w:divBdr>
        <w:top w:val="none" w:sz="0" w:space="0" w:color="auto"/>
        <w:left w:val="none" w:sz="0" w:space="0" w:color="auto"/>
        <w:bottom w:val="none" w:sz="0" w:space="0" w:color="auto"/>
        <w:right w:val="none" w:sz="0" w:space="0" w:color="auto"/>
      </w:divBdr>
      <w:divsChild>
        <w:div w:id="1901019417">
          <w:marLeft w:val="0"/>
          <w:marRight w:val="0"/>
          <w:marTop w:val="0"/>
          <w:marBottom w:val="0"/>
          <w:divBdr>
            <w:top w:val="none" w:sz="0" w:space="0" w:color="auto"/>
            <w:left w:val="none" w:sz="0" w:space="0" w:color="auto"/>
            <w:bottom w:val="none" w:sz="0" w:space="0" w:color="auto"/>
            <w:right w:val="none" w:sz="0" w:space="0" w:color="auto"/>
          </w:divBdr>
        </w:div>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651256574">
      <w:bodyDiv w:val="1"/>
      <w:marLeft w:val="0"/>
      <w:marRight w:val="0"/>
      <w:marTop w:val="0"/>
      <w:marBottom w:val="0"/>
      <w:divBdr>
        <w:top w:val="none" w:sz="0" w:space="0" w:color="auto"/>
        <w:left w:val="none" w:sz="0" w:space="0" w:color="auto"/>
        <w:bottom w:val="none" w:sz="0" w:space="0" w:color="auto"/>
        <w:right w:val="none" w:sz="0" w:space="0" w:color="auto"/>
      </w:divBdr>
    </w:div>
    <w:div w:id="737872042">
      <w:bodyDiv w:val="1"/>
      <w:marLeft w:val="0"/>
      <w:marRight w:val="0"/>
      <w:marTop w:val="0"/>
      <w:marBottom w:val="0"/>
      <w:divBdr>
        <w:top w:val="none" w:sz="0" w:space="0" w:color="auto"/>
        <w:left w:val="none" w:sz="0" w:space="0" w:color="auto"/>
        <w:bottom w:val="none" w:sz="0" w:space="0" w:color="auto"/>
        <w:right w:val="none" w:sz="0" w:space="0" w:color="auto"/>
      </w:divBdr>
      <w:divsChild>
        <w:div w:id="372845959">
          <w:marLeft w:val="0"/>
          <w:marRight w:val="0"/>
          <w:marTop w:val="0"/>
          <w:marBottom w:val="0"/>
          <w:divBdr>
            <w:top w:val="none" w:sz="0" w:space="0" w:color="auto"/>
            <w:left w:val="none" w:sz="0" w:space="0" w:color="auto"/>
            <w:bottom w:val="none" w:sz="0" w:space="0" w:color="auto"/>
            <w:right w:val="none" w:sz="0" w:space="0" w:color="auto"/>
          </w:divBdr>
          <w:divsChild>
            <w:div w:id="979845258">
              <w:marLeft w:val="0"/>
              <w:marRight w:val="0"/>
              <w:marTop w:val="0"/>
              <w:marBottom w:val="0"/>
              <w:divBdr>
                <w:top w:val="none" w:sz="0" w:space="0" w:color="auto"/>
                <w:left w:val="none" w:sz="0" w:space="0" w:color="auto"/>
                <w:bottom w:val="none" w:sz="0" w:space="0" w:color="auto"/>
                <w:right w:val="none" w:sz="0" w:space="0" w:color="auto"/>
              </w:divBdr>
              <w:divsChild>
                <w:div w:id="1448231859">
                  <w:marLeft w:val="0"/>
                  <w:marRight w:val="0"/>
                  <w:marTop w:val="0"/>
                  <w:marBottom w:val="0"/>
                  <w:divBdr>
                    <w:top w:val="none" w:sz="0" w:space="0" w:color="auto"/>
                    <w:left w:val="none" w:sz="0" w:space="0" w:color="auto"/>
                    <w:bottom w:val="none" w:sz="0" w:space="0" w:color="auto"/>
                    <w:right w:val="none" w:sz="0" w:space="0" w:color="auto"/>
                  </w:divBdr>
                </w:div>
              </w:divsChild>
            </w:div>
            <w:div w:id="1950578988">
              <w:marLeft w:val="0"/>
              <w:marRight w:val="0"/>
              <w:marTop w:val="0"/>
              <w:marBottom w:val="0"/>
              <w:divBdr>
                <w:top w:val="none" w:sz="0" w:space="0" w:color="auto"/>
                <w:left w:val="none" w:sz="0" w:space="0" w:color="auto"/>
                <w:bottom w:val="none" w:sz="0" w:space="0" w:color="auto"/>
                <w:right w:val="none" w:sz="0" w:space="0" w:color="auto"/>
              </w:divBdr>
              <w:divsChild>
                <w:div w:id="160629862">
                  <w:marLeft w:val="0"/>
                  <w:marRight w:val="0"/>
                  <w:marTop w:val="0"/>
                  <w:marBottom w:val="0"/>
                  <w:divBdr>
                    <w:top w:val="none" w:sz="0" w:space="0" w:color="auto"/>
                    <w:left w:val="none" w:sz="0" w:space="0" w:color="auto"/>
                    <w:bottom w:val="none" w:sz="0" w:space="0" w:color="auto"/>
                    <w:right w:val="none" w:sz="0" w:space="0" w:color="auto"/>
                  </w:divBdr>
                </w:div>
                <w:div w:id="1050882087">
                  <w:marLeft w:val="0"/>
                  <w:marRight w:val="0"/>
                  <w:marTop w:val="0"/>
                  <w:marBottom w:val="0"/>
                  <w:divBdr>
                    <w:top w:val="none" w:sz="0" w:space="0" w:color="auto"/>
                    <w:left w:val="none" w:sz="0" w:space="0" w:color="auto"/>
                    <w:bottom w:val="none" w:sz="0" w:space="0" w:color="auto"/>
                    <w:right w:val="none" w:sz="0" w:space="0" w:color="auto"/>
                  </w:divBdr>
                </w:div>
                <w:div w:id="1634170094">
                  <w:marLeft w:val="0"/>
                  <w:marRight w:val="0"/>
                  <w:marTop w:val="0"/>
                  <w:marBottom w:val="0"/>
                  <w:divBdr>
                    <w:top w:val="none" w:sz="0" w:space="0" w:color="auto"/>
                    <w:left w:val="none" w:sz="0" w:space="0" w:color="auto"/>
                    <w:bottom w:val="none" w:sz="0" w:space="0" w:color="auto"/>
                    <w:right w:val="none" w:sz="0" w:space="0" w:color="auto"/>
                  </w:divBdr>
                </w:div>
              </w:divsChild>
            </w:div>
            <w:div w:id="627325078">
              <w:marLeft w:val="0"/>
              <w:marRight w:val="0"/>
              <w:marTop w:val="0"/>
              <w:marBottom w:val="0"/>
              <w:divBdr>
                <w:top w:val="none" w:sz="0" w:space="0" w:color="auto"/>
                <w:left w:val="none" w:sz="0" w:space="0" w:color="auto"/>
                <w:bottom w:val="none" w:sz="0" w:space="0" w:color="auto"/>
                <w:right w:val="none" w:sz="0" w:space="0" w:color="auto"/>
              </w:divBdr>
              <w:divsChild>
                <w:div w:id="928462016">
                  <w:marLeft w:val="0"/>
                  <w:marRight w:val="0"/>
                  <w:marTop w:val="0"/>
                  <w:marBottom w:val="0"/>
                  <w:divBdr>
                    <w:top w:val="none" w:sz="0" w:space="0" w:color="auto"/>
                    <w:left w:val="none" w:sz="0" w:space="0" w:color="auto"/>
                    <w:bottom w:val="none" w:sz="0" w:space="0" w:color="auto"/>
                    <w:right w:val="none" w:sz="0" w:space="0" w:color="auto"/>
                  </w:divBdr>
                </w:div>
                <w:div w:id="970551531">
                  <w:marLeft w:val="0"/>
                  <w:marRight w:val="0"/>
                  <w:marTop w:val="0"/>
                  <w:marBottom w:val="0"/>
                  <w:divBdr>
                    <w:top w:val="none" w:sz="0" w:space="0" w:color="auto"/>
                    <w:left w:val="none" w:sz="0" w:space="0" w:color="auto"/>
                    <w:bottom w:val="none" w:sz="0" w:space="0" w:color="auto"/>
                    <w:right w:val="none" w:sz="0" w:space="0" w:color="auto"/>
                  </w:divBdr>
                </w:div>
                <w:div w:id="470098780">
                  <w:marLeft w:val="0"/>
                  <w:marRight w:val="0"/>
                  <w:marTop w:val="0"/>
                  <w:marBottom w:val="0"/>
                  <w:divBdr>
                    <w:top w:val="none" w:sz="0" w:space="0" w:color="auto"/>
                    <w:left w:val="none" w:sz="0" w:space="0" w:color="auto"/>
                    <w:bottom w:val="none" w:sz="0" w:space="0" w:color="auto"/>
                    <w:right w:val="none" w:sz="0" w:space="0" w:color="auto"/>
                  </w:divBdr>
                </w:div>
              </w:divsChild>
            </w:div>
            <w:div w:id="844629544">
              <w:marLeft w:val="0"/>
              <w:marRight w:val="0"/>
              <w:marTop w:val="0"/>
              <w:marBottom w:val="0"/>
              <w:divBdr>
                <w:top w:val="none" w:sz="0" w:space="0" w:color="auto"/>
                <w:left w:val="none" w:sz="0" w:space="0" w:color="auto"/>
                <w:bottom w:val="none" w:sz="0" w:space="0" w:color="auto"/>
                <w:right w:val="none" w:sz="0" w:space="0" w:color="auto"/>
              </w:divBdr>
              <w:divsChild>
                <w:div w:id="2009483941">
                  <w:marLeft w:val="0"/>
                  <w:marRight w:val="0"/>
                  <w:marTop w:val="0"/>
                  <w:marBottom w:val="0"/>
                  <w:divBdr>
                    <w:top w:val="none" w:sz="0" w:space="0" w:color="auto"/>
                    <w:left w:val="none" w:sz="0" w:space="0" w:color="auto"/>
                    <w:bottom w:val="none" w:sz="0" w:space="0" w:color="auto"/>
                    <w:right w:val="none" w:sz="0" w:space="0" w:color="auto"/>
                  </w:divBdr>
                </w:div>
                <w:div w:id="817650435">
                  <w:marLeft w:val="0"/>
                  <w:marRight w:val="0"/>
                  <w:marTop w:val="0"/>
                  <w:marBottom w:val="0"/>
                  <w:divBdr>
                    <w:top w:val="none" w:sz="0" w:space="0" w:color="auto"/>
                    <w:left w:val="none" w:sz="0" w:space="0" w:color="auto"/>
                    <w:bottom w:val="none" w:sz="0" w:space="0" w:color="auto"/>
                    <w:right w:val="none" w:sz="0" w:space="0" w:color="auto"/>
                  </w:divBdr>
                </w:div>
              </w:divsChild>
            </w:div>
            <w:div w:id="703676013">
              <w:marLeft w:val="0"/>
              <w:marRight w:val="0"/>
              <w:marTop w:val="0"/>
              <w:marBottom w:val="0"/>
              <w:divBdr>
                <w:top w:val="none" w:sz="0" w:space="0" w:color="auto"/>
                <w:left w:val="none" w:sz="0" w:space="0" w:color="auto"/>
                <w:bottom w:val="none" w:sz="0" w:space="0" w:color="auto"/>
                <w:right w:val="none" w:sz="0" w:space="0" w:color="auto"/>
              </w:divBdr>
              <w:divsChild>
                <w:div w:id="807936157">
                  <w:marLeft w:val="0"/>
                  <w:marRight w:val="0"/>
                  <w:marTop w:val="0"/>
                  <w:marBottom w:val="0"/>
                  <w:divBdr>
                    <w:top w:val="none" w:sz="0" w:space="0" w:color="auto"/>
                    <w:left w:val="none" w:sz="0" w:space="0" w:color="auto"/>
                    <w:bottom w:val="none" w:sz="0" w:space="0" w:color="auto"/>
                    <w:right w:val="none" w:sz="0" w:space="0" w:color="auto"/>
                  </w:divBdr>
                </w:div>
              </w:divsChild>
            </w:div>
            <w:div w:id="1818838208">
              <w:marLeft w:val="0"/>
              <w:marRight w:val="0"/>
              <w:marTop w:val="0"/>
              <w:marBottom w:val="0"/>
              <w:divBdr>
                <w:top w:val="none" w:sz="0" w:space="0" w:color="auto"/>
                <w:left w:val="none" w:sz="0" w:space="0" w:color="auto"/>
                <w:bottom w:val="none" w:sz="0" w:space="0" w:color="auto"/>
                <w:right w:val="none" w:sz="0" w:space="0" w:color="auto"/>
              </w:divBdr>
              <w:divsChild>
                <w:div w:id="12391395">
                  <w:marLeft w:val="0"/>
                  <w:marRight w:val="0"/>
                  <w:marTop w:val="0"/>
                  <w:marBottom w:val="0"/>
                  <w:divBdr>
                    <w:top w:val="none" w:sz="0" w:space="0" w:color="auto"/>
                    <w:left w:val="none" w:sz="0" w:space="0" w:color="auto"/>
                    <w:bottom w:val="none" w:sz="0" w:space="0" w:color="auto"/>
                    <w:right w:val="none" w:sz="0" w:space="0" w:color="auto"/>
                  </w:divBdr>
                </w:div>
                <w:div w:id="205485187">
                  <w:marLeft w:val="0"/>
                  <w:marRight w:val="0"/>
                  <w:marTop w:val="0"/>
                  <w:marBottom w:val="0"/>
                  <w:divBdr>
                    <w:top w:val="none" w:sz="0" w:space="0" w:color="auto"/>
                    <w:left w:val="none" w:sz="0" w:space="0" w:color="auto"/>
                    <w:bottom w:val="none" w:sz="0" w:space="0" w:color="auto"/>
                    <w:right w:val="none" w:sz="0" w:space="0" w:color="auto"/>
                  </w:divBdr>
                </w:div>
              </w:divsChild>
            </w:div>
            <w:div w:id="1628269084">
              <w:marLeft w:val="0"/>
              <w:marRight w:val="0"/>
              <w:marTop w:val="0"/>
              <w:marBottom w:val="0"/>
              <w:divBdr>
                <w:top w:val="none" w:sz="0" w:space="0" w:color="auto"/>
                <w:left w:val="none" w:sz="0" w:space="0" w:color="auto"/>
                <w:bottom w:val="none" w:sz="0" w:space="0" w:color="auto"/>
                <w:right w:val="none" w:sz="0" w:space="0" w:color="auto"/>
              </w:divBdr>
              <w:divsChild>
                <w:div w:id="363404491">
                  <w:marLeft w:val="0"/>
                  <w:marRight w:val="0"/>
                  <w:marTop w:val="0"/>
                  <w:marBottom w:val="0"/>
                  <w:divBdr>
                    <w:top w:val="none" w:sz="0" w:space="0" w:color="auto"/>
                    <w:left w:val="none" w:sz="0" w:space="0" w:color="auto"/>
                    <w:bottom w:val="none" w:sz="0" w:space="0" w:color="auto"/>
                    <w:right w:val="none" w:sz="0" w:space="0" w:color="auto"/>
                  </w:divBdr>
                </w:div>
                <w:div w:id="558397261">
                  <w:marLeft w:val="0"/>
                  <w:marRight w:val="0"/>
                  <w:marTop w:val="0"/>
                  <w:marBottom w:val="0"/>
                  <w:divBdr>
                    <w:top w:val="none" w:sz="0" w:space="0" w:color="auto"/>
                    <w:left w:val="none" w:sz="0" w:space="0" w:color="auto"/>
                    <w:bottom w:val="none" w:sz="0" w:space="0" w:color="auto"/>
                    <w:right w:val="none" w:sz="0" w:space="0" w:color="auto"/>
                  </w:divBdr>
                </w:div>
              </w:divsChild>
            </w:div>
            <w:div w:id="326323833">
              <w:marLeft w:val="0"/>
              <w:marRight w:val="0"/>
              <w:marTop w:val="0"/>
              <w:marBottom w:val="0"/>
              <w:divBdr>
                <w:top w:val="none" w:sz="0" w:space="0" w:color="auto"/>
                <w:left w:val="none" w:sz="0" w:space="0" w:color="auto"/>
                <w:bottom w:val="none" w:sz="0" w:space="0" w:color="auto"/>
                <w:right w:val="none" w:sz="0" w:space="0" w:color="auto"/>
              </w:divBdr>
              <w:divsChild>
                <w:div w:id="1339769377">
                  <w:marLeft w:val="0"/>
                  <w:marRight w:val="0"/>
                  <w:marTop w:val="0"/>
                  <w:marBottom w:val="0"/>
                  <w:divBdr>
                    <w:top w:val="none" w:sz="0" w:space="0" w:color="auto"/>
                    <w:left w:val="none" w:sz="0" w:space="0" w:color="auto"/>
                    <w:bottom w:val="none" w:sz="0" w:space="0" w:color="auto"/>
                    <w:right w:val="none" w:sz="0" w:space="0" w:color="auto"/>
                  </w:divBdr>
                </w:div>
              </w:divsChild>
            </w:div>
            <w:div w:id="2083260784">
              <w:marLeft w:val="0"/>
              <w:marRight w:val="0"/>
              <w:marTop w:val="0"/>
              <w:marBottom w:val="0"/>
              <w:divBdr>
                <w:top w:val="none" w:sz="0" w:space="0" w:color="auto"/>
                <w:left w:val="none" w:sz="0" w:space="0" w:color="auto"/>
                <w:bottom w:val="none" w:sz="0" w:space="0" w:color="auto"/>
                <w:right w:val="none" w:sz="0" w:space="0" w:color="auto"/>
              </w:divBdr>
              <w:divsChild>
                <w:div w:id="667056438">
                  <w:marLeft w:val="0"/>
                  <w:marRight w:val="0"/>
                  <w:marTop w:val="0"/>
                  <w:marBottom w:val="0"/>
                  <w:divBdr>
                    <w:top w:val="none" w:sz="0" w:space="0" w:color="auto"/>
                    <w:left w:val="none" w:sz="0" w:space="0" w:color="auto"/>
                    <w:bottom w:val="none" w:sz="0" w:space="0" w:color="auto"/>
                    <w:right w:val="none" w:sz="0" w:space="0" w:color="auto"/>
                  </w:divBdr>
                  <w:divsChild>
                    <w:div w:id="320086937">
                      <w:marLeft w:val="0"/>
                      <w:marRight w:val="0"/>
                      <w:marTop w:val="0"/>
                      <w:marBottom w:val="0"/>
                      <w:divBdr>
                        <w:top w:val="none" w:sz="0" w:space="0" w:color="auto"/>
                        <w:left w:val="none" w:sz="0" w:space="0" w:color="auto"/>
                        <w:bottom w:val="none" w:sz="0" w:space="0" w:color="auto"/>
                        <w:right w:val="none" w:sz="0" w:space="0" w:color="auto"/>
                      </w:divBdr>
                    </w:div>
                  </w:divsChild>
                </w:div>
                <w:div w:id="1767455911">
                  <w:marLeft w:val="0"/>
                  <w:marRight w:val="0"/>
                  <w:marTop w:val="0"/>
                  <w:marBottom w:val="0"/>
                  <w:divBdr>
                    <w:top w:val="none" w:sz="0" w:space="0" w:color="auto"/>
                    <w:left w:val="none" w:sz="0" w:space="0" w:color="auto"/>
                    <w:bottom w:val="none" w:sz="0" w:space="0" w:color="auto"/>
                    <w:right w:val="none" w:sz="0" w:space="0" w:color="auto"/>
                  </w:divBdr>
                  <w:divsChild>
                    <w:div w:id="1019962968">
                      <w:marLeft w:val="0"/>
                      <w:marRight w:val="0"/>
                      <w:marTop w:val="0"/>
                      <w:marBottom w:val="0"/>
                      <w:divBdr>
                        <w:top w:val="none" w:sz="0" w:space="0" w:color="auto"/>
                        <w:left w:val="none" w:sz="0" w:space="0" w:color="auto"/>
                        <w:bottom w:val="none" w:sz="0" w:space="0" w:color="auto"/>
                        <w:right w:val="none" w:sz="0" w:space="0" w:color="auto"/>
                      </w:divBdr>
                    </w:div>
                  </w:divsChild>
                </w:div>
                <w:div w:id="261105664">
                  <w:marLeft w:val="0"/>
                  <w:marRight w:val="0"/>
                  <w:marTop w:val="0"/>
                  <w:marBottom w:val="0"/>
                  <w:divBdr>
                    <w:top w:val="none" w:sz="0" w:space="0" w:color="auto"/>
                    <w:left w:val="none" w:sz="0" w:space="0" w:color="auto"/>
                    <w:bottom w:val="none" w:sz="0" w:space="0" w:color="auto"/>
                    <w:right w:val="none" w:sz="0" w:space="0" w:color="auto"/>
                  </w:divBdr>
                  <w:divsChild>
                    <w:div w:id="1747873663">
                      <w:marLeft w:val="0"/>
                      <w:marRight w:val="0"/>
                      <w:marTop w:val="0"/>
                      <w:marBottom w:val="0"/>
                      <w:divBdr>
                        <w:top w:val="none" w:sz="0" w:space="0" w:color="auto"/>
                        <w:left w:val="none" w:sz="0" w:space="0" w:color="auto"/>
                        <w:bottom w:val="none" w:sz="0" w:space="0" w:color="auto"/>
                        <w:right w:val="none" w:sz="0" w:space="0" w:color="auto"/>
                      </w:divBdr>
                    </w:div>
                  </w:divsChild>
                </w:div>
                <w:div w:id="1729839314">
                  <w:marLeft w:val="0"/>
                  <w:marRight w:val="0"/>
                  <w:marTop w:val="0"/>
                  <w:marBottom w:val="0"/>
                  <w:divBdr>
                    <w:top w:val="none" w:sz="0" w:space="0" w:color="auto"/>
                    <w:left w:val="none" w:sz="0" w:space="0" w:color="auto"/>
                    <w:bottom w:val="none" w:sz="0" w:space="0" w:color="auto"/>
                    <w:right w:val="none" w:sz="0" w:space="0" w:color="auto"/>
                  </w:divBdr>
                  <w:divsChild>
                    <w:div w:id="214321533">
                      <w:marLeft w:val="0"/>
                      <w:marRight w:val="0"/>
                      <w:marTop w:val="0"/>
                      <w:marBottom w:val="0"/>
                      <w:divBdr>
                        <w:top w:val="none" w:sz="0" w:space="0" w:color="auto"/>
                        <w:left w:val="none" w:sz="0" w:space="0" w:color="auto"/>
                        <w:bottom w:val="none" w:sz="0" w:space="0" w:color="auto"/>
                        <w:right w:val="none" w:sz="0" w:space="0" w:color="auto"/>
                      </w:divBdr>
                    </w:div>
                    <w:div w:id="1442215456">
                      <w:marLeft w:val="0"/>
                      <w:marRight w:val="0"/>
                      <w:marTop w:val="0"/>
                      <w:marBottom w:val="0"/>
                      <w:divBdr>
                        <w:top w:val="none" w:sz="0" w:space="0" w:color="auto"/>
                        <w:left w:val="none" w:sz="0" w:space="0" w:color="auto"/>
                        <w:bottom w:val="none" w:sz="0" w:space="0" w:color="auto"/>
                        <w:right w:val="none" w:sz="0" w:space="0" w:color="auto"/>
                      </w:divBdr>
                    </w:div>
                  </w:divsChild>
                </w:div>
                <w:div w:id="1330669734">
                  <w:marLeft w:val="0"/>
                  <w:marRight w:val="0"/>
                  <w:marTop w:val="0"/>
                  <w:marBottom w:val="0"/>
                  <w:divBdr>
                    <w:top w:val="none" w:sz="0" w:space="0" w:color="auto"/>
                    <w:left w:val="none" w:sz="0" w:space="0" w:color="auto"/>
                    <w:bottom w:val="none" w:sz="0" w:space="0" w:color="auto"/>
                    <w:right w:val="none" w:sz="0" w:space="0" w:color="auto"/>
                  </w:divBdr>
                  <w:divsChild>
                    <w:div w:id="1206989316">
                      <w:marLeft w:val="0"/>
                      <w:marRight w:val="0"/>
                      <w:marTop w:val="0"/>
                      <w:marBottom w:val="0"/>
                      <w:divBdr>
                        <w:top w:val="none" w:sz="0" w:space="0" w:color="auto"/>
                        <w:left w:val="none" w:sz="0" w:space="0" w:color="auto"/>
                        <w:bottom w:val="none" w:sz="0" w:space="0" w:color="auto"/>
                        <w:right w:val="none" w:sz="0" w:space="0" w:color="auto"/>
                      </w:divBdr>
                    </w:div>
                  </w:divsChild>
                </w:div>
                <w:div w:id="80420002">
                  <w:marLeft w:val="0"/>
                  <w:marRight w:val="0"/>
                  <w:marTop w:val="0"/>
                  <w:marBottom w:val="0"/>
                  <w:divBdr>
                    <w:top w:val="none" w:sz="0" w:space="0" w:color="auto"/>
                    <w:left w:val="none" w:sz="0" w:space="0" w:color="auto"/>
                    <w:bottom w:val="none" w:sz="0" w:space="0" w:color="auto"/>
                    <w:right w:val="none" w:sz="0" w:space="0" w:color="auto"/>
                  </w:divBdr>
                  <w:divsChild>
                    <w:div w:id="1165316609">
                      <w:marLeft w:val="0"/>
                      <w:marRight w:val="0"/>
                      <w:marTop w:val="0"/>
                      <w:marBottom w:val="0"/>
                      <w:divBdr>
                        <w:top w:val="none" w:sz="0" w:space="0" w:color="auto"/>
                        <w:left w:val="none" w:sz="0" w:space="0" w:color="auto"/>
                        <w:bottom w:val="none" w:sz="0" w:space="0" w:color="auto"/>
                        <w:right w:val="none" w:sz="0" w:space="0" w:color="auto"/>
                      </w:divBdr>
                    </w:div>
                  </w:divsChild>
                </w:div>
                <w:div w:id="1706635771">
                  <w:marLeft w:val="0"/>
                  <w:marRight w:val="0"/>
                  <w:marTop w:val="0"/>
                  <w:marBottom w:val="0"/>
                  <w:divBdr>
                    <w:top w:val="none" w:sz="0" w:space="0" w:color="auto"/>
                    <w:left w:val="none" w:sz="0" w:space="0" w:color="auto"/>
                    <w:bottom w:val="none" w:sz="0" w:space="0" w:color="auto"/>
                    <w:right w:val="none" w:sz="0" w:space="0" w:color="auto"/>
                  </w:divBdr>
                  <w:divsChild>
                    <w:div w:id="2076664721">
                      <w:marLeft w:val="0"/>
                      <w:marRight w:val="0"/>
                      <w:marTop w:val="0"/>
                      <w:marBottom w:val="0"/>
                      <w:divBdr>
                        <w:top w:val="none" w:sz="0" w:space="0" w:color="auto"/>
                        <w:left w:val="none" w:sz="0" w:space="0" w:color="auto"/>
                        <w:bottom w:val="none" w:sz="0" w:space="0" w:color="auto"/>
                        <w:right w:val="none" w:sz="0" w:space="0" w:color="auto"/>
                      </w:divBdr>
                    </w:div>
                  </w:divsChild>
                </w:div>
                <w:div w:id="1421681826">
                  <w:marLeft w:val="0"/>
                  <w:marRight w:val="0"/>
                  <w:marTop w:val="0"/>
                  <w:marBottom w:val="0"/>
                  <w:divBdr>
                    <w:top w:val="none" w:sz="0" w:space="0" w:color="auto"/>
                    <w:left w:val="none" w:sz="0" w:space="0" w:color="auto"/>
                    <w:bottom w:val="none" w:sz="0" w:space="0" w:color="auto"/>
                    <w:right w:val="none" w:sz="0" w:space="0" w:color="auto"/>
                  </w:divBdr>
                  <w:divsChild>
                    <w:div w:id="220866405">
                      <w:marLeft w:val="0"/>
                      <w:marRight w:val="0"/>
                      <w:marTop w:val="0"/>
                      <w:marBottom w:val="0"/>
                      <w:divBdr>
                        <w:top w:val="none" w:sz="0" w:space="0" w:color="auto"/>
                        <w:left w:val="none" w:sz="0" w:space="0" w:color="auto"/>
                        <w:bottom w:val="none" w:sz="0" w:space="0" w:color="auto"/>
                        <w:right w:val="none" w:sz="0" w:space="0" w:color="auto"/>
                      </w:divBdr>
                    </w:div>
                  </w:divsChild>
                </w:div>
                <w:div w:id="1597863674">
                  <w:marLeft w:val="0"/>
                  <w:marRight w:val="0"/>
                  <w:marTop w:val="0"/>
                  <w:marBottom w:val="0"/>
                  <w:divBdr>
                    <w:top w:val="none" w:sz="0" w:space="0" w:color="auto"/>
                    <w:left w:val="none" w:sz="0" w:space="0" w:color="auto"/>
                    <w:bottom w:val="none" w:sz="0" w:space="0" w:color="auto"/>
                    <w:right w:val="none" w:sz="0" w:space="0" w:color="auto"/>
                  </w:divBdr>
                  <w:divsChild>
                    <w:div w:id="19097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5550">
              <w:marLeft w:val="0"/>
              <w:marRight w:val="0"/>
              <w:marTop w:val="0"/>
              <w:marBottom w:val="0"/>
              <w:divBdr>
                <w:top w:val="none" w:sz="0" w:space="0" w:color="auto"/>
                <w:left w:val="none" w:sz="0" w:space="0" w:color="auto"/>
                <w:bottom w:val="none" w:sz="0" w:space="0" w:color="auto"/>
                <w:right w:val="none" w:sz="0" w:space="0" w:color="auto"/>
              </w:divBdr>
              <w:divsChild>
                <w:div w:id="589313269">
                  <w:marLeft w:val="0"/>
                  <w:marRight w:val="0"/>
                  <w:marTop w:val="0"/>
                  <w:marBottom w:val="0"/>
                  <w:divBdr>
                    <w:top w:val="none" w:sz="0" w:space="0" w:color="auto"/>
                    <w:left w:val="none" w:sz="0" w:space="0" w:color="auto"/>
                    <w:bottom w:val="none" w:sz="0" w:space="0" w:color="auto"/>
                    <w:right w:val="none" w:sz="0" w:space="0" w:color="auto"/>
                  </w:divBdr>
                  <w:divsChild>
                    <w:div w:id="591090391">
                      <w:marLeft w:val="0"/>
                      <w:marRight w:val="0"/>
                      <w:marTop w:val="0"/>
                      <w:marBottom w:val="0"/>
                      <w:divBdr>
                        <w:top w:val="none" w:sz="0" w:space="0" w:color="auto"/>
                        <w:left w:val="none" w:sz="0" w:space="0" w:color="auto"/>
                        <w:bottom w:val="none" w:sz="0" w:space="0" w:color="auto"/>
                        <w:right w:val="none" w:sz="0" w:space="0" w:color="auto"/>
                      </w:divBdr>
                    </w:div>
                  </w:divsChild>
                </w:div>
                <w:div w:id="755975363">
                  <w:marLeft w:val="0"/>
                  <w:marRight w:val="0"/>
                  <w:marTop w:val="0"/>
                  <w:marBottom w:val="0"/>
                  <w:divBdr>
                    <w:top w:val="none" w:sz="0" w:space="0" w:color="auto"/>
                    <w:left w:val="none" w:sz="0" w:space="0" w:color="auto"/>
                    <w:bottom w:val="none" w:sz="0" w:space="0" w:color="auto"/>
                    <w:right w:val="none" w:sz="0" w:space="0" w:color="auto"/>
                  </w:divBdr>
                  <w:divsChild>
                    <w:div w:id="742458493">
                      <w:marLeft w:val="0"/>
                      <w:marRight w:val="0"/>
                      <w:marTop w:val="0"/>
                      <w:marBottom w:val="0"/>
                      <w:divBdr>
                        <w:top w:val="none" w:sz="0" w:space="0" w:color="auto"/>
                        <w:left w:val="none" w:sz="0" w:space="0" w:color="auto"/>
                        <w:bottom w:val="none" w:sz="0" w:space="0" w:color="auto"/>
                        <w:right w:val="none" w:sz="0" w:space="0" w:color="auto"/>
                      </w:divBdr>
                    </w:div>
                  </w:divsChild>
                </w:div>
                <w:div w:id="538586308">
                  <w:marLeft w:val="0"/>
                  <w:marRight w:val="0"/>
                  <w:marTop w:val="0"/>
                  <w:marBottom w:val="0"/>
                  <w:divBdr>
                    <w:top w:val="none" w:sz="0" w:space="0" w:color="auto"/>
                    <w:left w:val="none" w:sz="0" w:space="0" w:color="auto"/>
                    <w:bottom w:val="none" w:sz="0" w:space="0" w:color="auto"/>
                    <w:right w:val="none" w:sz="0" w:space="0" w:color="auto"/>
                  </w:divBdr>
                  <w:divsChild>
                    <w:div w:id="391731851">
                      <w:marLeft w:val="0"/>
                      <w:marRight w:val="0"/>
                      <w:marTop w:val="0"/>
                      <w:marBottom w:val="0"/>
                      <w:divBdr>
                        <w:top w:val="none" w:sz="0" w:space="0" w:color="auto"/>
                        <w:left w:val="none" w:sz="0" w:space="0" w:color="auto"/>
                        <w:bottom w:val="none" w:sz="0" w:space="0" w:color="auto"/>
                        <w:right w:val="none" w:sz="0" w:space="0" w:color="auto"/>
                      </w:divBdr>
                    </w:div>
                  </w:divsChild>
                </w:div>
                <w:div w:id="972708535">
                  <w:marLeft w:val="0"/>
                  <w:marRight w:val="0"/>
                  <w:marTop w:val="0"/>
                  <w:marBottom w:val="0"/>
                  <w:divBdr>
                    <w:top w:val="none" w:sz="0" w:space="0" w:color="auto"/>
                    <w:left w:val="none" w:sz="0" w:space="0" w:color="auto"/>
                    <w:bottom w:val="none" w:sz="0" w:space="0" w:color="auto"/>
                    <w:right w:val="none" w:sz="0" w:space="0" w:color="auto"/>
                  </w:divBdr>
                  <w:divsChild>
                    <w:div w:id="2099204774">
                      <w:marLeft w:val="0"/>
                      <w:marRight w:val="0"/>
                      <w:marTop w:val="0"/>
                      <w:marBottom w:val="0"/>
                      <w:divBdr>
                        <w:top w:val="none" w:sz="0" w:space="0" w:color="auto"/>
                        <w:left w:val="none" w:sz="0" w:space="0" w:color="auto"/>
                        <w:bottom w:val="none" w:sz="0" w:space="0" w:color="auto"/>
                        <w:right w:val="none" w:sz="0" w:space="0" w:color="auto"/>
                      </w:divBdr>
                    </w:div>
                  </w:divsChild>
                </w:div>
                <w:div w:id="53898889">
                  <w:marLeft w:val="0"/>
                  <w:marRight w:val="0"/>
                  <w:marTop w:val="0"/>
                  <w:marBottom w:val="0"/>
                  <w:divBdr>
                    <w:top w:val="none" w:sz="0" w:space="0" w:color="auto"/>
                    <w:left w:val="none" w:sz="0" w:space="0" w:color="auto"/>
                    <w:bottom w:val="none" w:sz="0" w:space="0" w:color="auto"/>
                    <w:right w:val="none" w:sz="0" w:space="0" w:color="auto"/>
                  </w:divBdr>
                  <w:divsChild>
                    <w:div w:id="1315527897">
                      <w:marLeft w:val="0"/>
                      <w:marRight w:val="0"/>
                      <w:marTop w:val="0"/>
                      <w:marBottom w:val="0"/>
                      <w:divBdr>
                        <w:top w:val="none" w:sz="0" w:space="0" w:color="auto"/>
                        <w:left w:val="none" w:sz="0" w:space="0" w:color="auto"/>
                        <w:bottom w:val="none" w:sz="0" w:space="0" w:color="auto"/>
                        <w:right w:val="none" w:sz="0" w:space="0" w:color="auto"/>
                      </w:divBdr>
                    </w:div>
                  </w:divsChild>
                </w:div>
                <w:div w:id="675619025">
                  <w:marLeft w:val="0"/>
                  <w:marRight w:val="0"/>
                  <w:marTop w:val="0"/>
                  <w:marBottom w:val="0"/>
                  <w:divBdr>
                    <w:top w:val="none" w:sz="0" w:space="0" w:color="auto"/>
                    <w:left w:val="none" w:sz="0" w:space="0" w:color="auto"/>
                    <w:bottom w:val="none" w:sz="0" w:space="0" w:color="auto"/>
                    <w:right w:val="none" w:sz="0" w:space="0" w:color="auto"/>
                  </w:divBdr>
                  <w:divsChild>
                    <w:div w:id="521819933">
                      <w:marLeft w:val="0"/>
                      <w:marRight w:val="0"/>
                      <w:marTop w:val="0"/>
                      <w:marBottom w:val="0"/>
                      <w:divBdr>
                        <w:top w:val="none" w:sz="0" w:space="0" w:color="auto"/>
                        <w:left w:val="none" w:sz="0" w:space="0" w:color="auto"/>
                        <w:bottom w:val="none" w:sz="0" w:space="0" w:color="auto"/>
                        <w:right w:val="none" w:sz="0" w:space="0" w:color="auto"/>
                      </w:divBdr>
                    </w:div>
                  </w:divsChild>
                </w:div>
                <w:div w:id="2085644784">
                  <w:marLeft w:val="0"/>
                  <w:marRight w:val="0"/>
                  <w:marTop w:val="0"/>
                  <w:marBottom w:val="0"/>
                  <w:divBdr>
                    <w:top w:val="none" w:sz="0" w:space="0" w:color="auto"/>
                    <w:left w:val="none" w:sz="0" w:space="0" w:color="auto"/>
                    <w:bottom w:val="none" w:sz="0" w:space="0" w:color="auto"/>
                    <w:right w:val="none" w:sz="0" w:space="0" w:color="auto"/>
                  </w:divBdr>
                  <w:divsChild>
                    <w:div w:id="2093308153">
                      <w:marLeft w:val="0"/>
                      <w:marRight w:val="0"/>
                      <w:marTop w:val="0"/>
                      <w:marBottom w:val="0"/>
                      <w:divBdr>
                        <w:top w:val="none" w:sz="0" w:space="0" w:color="auto"/>
                        <w:left w:val="none" w:sz="0" w:space="0" w:color="auto"/>
                        <w:bottom w:val="none" w:sz="0" w:space="0" w:color="auto"/>
                        <w:right w:val="none" w:sz="0" w:space="0" w:color="auto"/>
                      </w:divBdr>
                    </w:div>
                  </w:divsChild>
                </w:div>
                <w:div w:id="58791077">
                  <w:marLeft w:val="0"/>
                  <w:marRight w:val="0"/>
                  <w:marTop w:val="0"/>
                  <w:marBottom w:val="0"/>
                  <w:divBdr>
                    <w:top w:val="none" w:sz="0" w:space="0" w:color="auto"/>
                    <w:left w:val="none" w:sz="0" w:space="0" w:color="auto"/>
                    <w:bottom w:val="none" w:sz="0" w:space="0" w:color="auto"/>
                    <w:right w:val="none" w:sz="0" w:space="0" w:color="auto"/>
                  </w:divBdr>
                  <w:divsChild>
                    <w:div w:id="863130613">
                      <w:marLeft w:val="0"/>
                      <w:marRight w:val="0"/>
                      <w:marTop w:val="0"/>
                      <w:marBottom w:val="0"/>
                      <w:divBdr>
                        <w:top w:val="none" w:sz="0" w:space="0" w:color="auto"/>
                        <w:left w:val="none" w:sz="0" w:space="0" w:color="auto"/>
                        <w:bottom w:val="none" w:sz="0" w:space="0" w:color="auto"/>
                        <w:right w:val="none" w:sz="0" w:space="0" w:color="auto"/>
                      </w:divBdr>
                    </w:div>
                  </w:divsChild>
                </w:div>
                <w:div w:id="1428619969">
                  <w:marLeft w:val="0"/>
                  <w:marRight w:val="0"/>
                  <w:marTop w:val="0"/>
                  <w:marBottom w:val="0"/>
                  <w:divBdr>
                    <w:top w:val="none" w:sz="0" w:space="0" w:color="auto"/>
                    <w:left w:val="none" w:sz="0" w:space="0" w:color="auto"/>
                    <w:bottom w:val="none" w:sz="0" w:space="0" w:color="auto"/>
                    <w:right w:val="none" w:sz="0" w:space="0" w:color="auto"/>
                  </w:divBdr>
                  <w:divsChild>
                    <w:div w:id="231161365">
                      <w:marLeft w:val="0"/>
                      <w:marRight w:val="0"/>
                      <w:marTop w:val="0"/>
                      <w:marBottom w:val="0"/>
                      <w:divBdr>
                        <w:top w:val="none" w:sz="0" w:space="0" w:color="auto"/>
                        <w:left w:val="none" w:sz="0" w:space="0" w:color="auto"/>
                        <w:bottom w:val="none" w:sz="0" w:space="0" w:color="auto"/>
                        <w:right w:val="none" w:sz="0" w:space="0" w:color="auto"/>
                      </w:divBdr>
                    </w:div>
                  </w:divsChild>
                </w:div>
                <w:div w:id="1368799191">
                  <w:marLeft w:val="0"/>
                  <w:marRight w:val="0"/>
                  <w:marTop w:val="0"/>
                  <w:marBottom w:val="0"/>
                  <w:divBdr>
                    <w:top w:val="none" w:sz="0" w:space="0" w:color="auto"/>
                    <w:left w:val="none" w:sz="0" w:space="0" w:color="auto"/>
                    <w:bottom w:val="none" w:sz="0" w:space="0" w:color="auto"/>
                    <w:right w:val="none" w:sz="0" w:space="0" w:color="auto"/>
                  </w:divBdr>
                  <w:divsChild>
                    <w:div w:id="1065296930">
                      <w:marLeft w:val="0"/>
                      <w:marRight w:val="0"/>
                      <w:marTop w:val="0"/>
                      <w:marBottom w:val="0"/>
                      <w:divBdr>
                        <w:top w:val="none" w:sz="0" w:space="0" w:color="auto"/>
                        <w:left w:val="none" w:sz="0" w:space="0" w:color="auto"/>
                        <w:bottom w:val="none" w:sz="0" w:space="0" w:color="auto"/>
                        <w:right w:val="none" w:sz="0" w:space="0" w:color="auto"/>
                      </w:divBdr>
                    </w:div>
                  </w:divsChild>
                </w:div>
                <w:div w:id="1908832529">
                  <w:marLeft w:val="0"/>
                  <w:marRight w:val="0"/>
                  <w:marTop w:val="0"/>
                  <w:marBottom w:val="0"/>
                  <w:divBdr>
                    <w:top w:val="none" w:sz="0" w:space="0" w:color="auto"/>
                    <w:left w:val="none" w:sz="0" w:space="0" w:color="auto"/>
                    <w:bottom w:val="none" w:sz="0" w:space="0" w:color="auto"/>
                    <w:right w:val="none" w:sz="0" w:space="0" w:color="auto"/>
                  </w:divBdr>
                  <w:divsChild>
                    <w:div w:id="12598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379">
              <w:marLeft w:val="0"/>
              <w:marRight w:val="0"/>
              <w:marTop w:val="0"/>
              <w:marBottom w:val="0"/>
              <w:divBdr>
                <w:top w:val="none" w:sz="0" w:space="0" w:color="auto"/>
                <w:left w:val="none" w:sz="0" w:space="0" w:color="auto"/>
                <w:bottom w:val="none" w:sz="0" w:space="0" w:color="auto"/>
                <w:right w:val="none" w:sz="0" w:space="0" w:color="auto"/>
              </w:divBdr>
              <w:divsChild>
                <w:div w:id="1354919683">
                  <w:marLeft w:val="0"/>
                  <w:marRight w:val="0"/>
                  <w:marTop w:val="0"/>
                  <w:marBottom w:val="0"/>
                  <w:divBdr>
                    <w:top w:val="none" w:sz="0" w:space="0" w:color="auto"/>
                    <w:left w:val="none" w:sz="0" w:space="0" w:color="auto"/>
                    <w:bottom w:val="none" w:sz="0" w:space="0" w:color="auto"/>
                    <w:right w:val="none" w:sz="0" w:space="0" w:color="auto"/>
                  </w:divBdr>
                </w:div>
                <w:div w:id="18134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72840">
      <w:bodyDiv w:val="1"/>
      <w:marLeft w:val="0"/>
      <w:marRight w:val="0"/>
      <w:marTop w:val="0"/>
      <w:marBottom w:val="0"/>
      <w:divBdr>
        <w:top w:val="none" w:sz="0" w:space="0" w:color="auto"/>
        <w:left w:val="none" w:sz="0" w:space="0" w:color="auto"/>
        <w:bottom w:val="none" w:sz="0" w:space="0" w:color="auto"/>
        <w:right w:val="none" w:sz="0" w:space="0" w:color="auto"/>
      </w:divBdr>
    </w:div>
    <w:div w:id="969746244">
      <w:bodyDiv w:val="1"/>
      <w:marLeft w:val="0"/>
      <w:marRight w:val="0"/>
      <w:marTop w:val="0"/>
      <w:marBottom w:val="0"/>
      <w:divBdr>
        <w:top w:val="none" w:sz="0" w:space="0" w:color="auto"/>
        <w:left w:val="none" w:sz="0" w:space="0" w:color="auto"/>
        <w:bottom w:val="none" w:sz="0" w:space="0" w:color="auto"/>
        <w:right w:val="none" w:sz="0" w:space="0" w:color="auto"/>
      </w:divBdr>
    </w:div>
    <w:div w:id="1003750544">
      <w:bodyDiv w:val="1"/>
      <w:marLeft w:val="0"/>
      <w:marRight w:val="0"/>
      <w:marTop w:val="0"/>
      <w:marBottom w:val="0"/>
      <w:divBdr>
        <w:top w:val="none" w:sz="0" w:space="0" w:color="auto"/>
        <w:left w:val="none" w:sz="0" w:space="0" w:color="auto"/>
        <w:bottom w:val="none" w:sz="0" w:space="0" w:color="auto"/>
        <w:right w:val="none" w:sz="0" w:space="0" w:color="auto"/>
      </w:divBdr>
      <w:divsChild>
        <w:div w:id="917012297">
          <w:marLeft w:val="0"/>
          <w:marRight w:val="0"/>
          <w:marTop w:val="0"/>
          <w:marBottom w:val="0"/>
          <w:divBdr>
            <w:top w:val="none" w:sz="0" w:space="0" w:color="auto"/>
            <w:left w:val="none" w:sz="0" w:space="0" w:color="auto"/>
            <w:bottom w:val="none" w:sz="0" w:space="0" w:color="auto"/>
            <w:right w:val="none" w:sz="0" w:space="0" w:color="auto"/>
          </w:divBdr>
          <w:divsChild>
            <w:div w:id="254216374">
              <w:marLeft w:val="0"/>
              <w:marRight w:val="0"/>
              <w:marTop w:val="0"/>
              <w:marBottom w:val="0"/>
              <w:divBdr>
                <w:top w:val="none" w:sz="0" w:space="0" w:color="auto"/>
                <w:left w:val="none" w:sz="0" w:space="0" w:color="auto"/>
                <w:bottom w:val="none" w:sz="0" w:space="0" w:color="auto"/>
                <w:right w:val="none" w:sz="0" w:space="0" w:color="auto"/>
              </w:divBdr>
              <w:divsChild>
                <w:div w:id="1445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5988">
      <w:bodyDiv w:val="1"/>
      <w:marLeft w:val="0"/>
      <w:marRight w:val="0"/>
      <w:marTop w:val="0"/>
      <w:marBottom w:val="0"/>
      <w:divBdr>
        <w:top w:val="none" w:sz="0" w:space="0" w:color="auto"/>
        <w:left w:val="none" w:sz="0" w:space="0" w:color="auto"/>
        <w:bottom w:val="none" w:sz="0" w:space="0" w:color="auto"/>
        <w:right w:val="none" w:sz="0" w:space="0" w:color="auto"/>
      </w:divBdr>
      <w:divsChild>
        <w:div w:id="778141286">
          <w:marLeft w:val="0"/>
          <w:marRight w:val="0"/>
          <w:marTop w:val="0"/>
          <w:marBottom w:val="0"/>
          <w:divBdr>
            <w:top w:val="none" w:sz="0" w:space="0" w:color="auto"/>
            <w:left w:val="none" w:sz="0" w:space="0" w:color="auto"/>
            <w:bottom w:val="none" w:sz="0" w:space="0" w:color="auto"/>
            <w:right w:val="none" w:sz="0" w:space="0" w:color="auto"/>
          </w:divBdr>
          <w:divsChild>
            <w:div w:id="40521291">
              <w:marLeft w:val="0"/>
              <w:marRight w:val="0"/>
              <w:marTop w:val="0"/>
              <w:marBottom w:val="0"/>
              <w:divBdr>
                <w:top w:val="none" w:sz="0" w:space="0" w:color="auto"/>
                <w:left w:val="none" w:sz="0" w:space="0" w:color="auto"/>
                <w:bottom w:val="none" w:sz="0" w:space="0" w:color="auto"/>
                <w:right w:val="none" w:sz="0" w:space="0" w:color="auto"/>
              </w:divBdr>
              <w:divsChild>
                <w:div w:id="45228665">
                  <w:marLeft w:val="0"/>
                  <w:marRight w:val="0"/>
                  <w:marTop w:val="0"/>
                  <w:marBottom w:val="0"/>
                  <w:divBdr>
                    <w:top w:val="none" w:sz="0" w:space="0" w:color="auto"/>
                    <w:left w:val="none" w:sz="0" w:space="0" w:color="auto"/>
                    <w:bottom w:val="none" w:sz="0" w:space="0" w:color="auto"/>
                    <w:right w:val="none" w:sz="0" w:space="0" w:color="auto"/>
                  </w:divBdr>
                  <w:divsChild>
                    <w:div w:id="11711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3982">
      <w:bodyDiv w:val="1"/>
      <w:marLeft w:val="0"/>
      <w:marRight w:val="0"/>
      <w:marTop w:val="0"/>
      <w:marBottom w:val="0"/>
      <w:divBdr>
        <w:top w:val="none" w:sz="0" w:space="0" w:color="auto"/>
        <w:left w:val="none" w:sz="0" w:space="0" w:color="auto"/>
        <w:bottom w:val="none" w:sz="0" w:space="0" w:color="auto"/>
        <w:right w:val="none" w:sz="0" w:space="0" w:color="auto"/>
      </w:divBdr>
    </w:div>
    <w:div w:id="1260681172">
      <w:bodyDiv w:val="1"/>
      <w:marLeft w:val="0"/>
      <w:marRight w:val="0"/>
      <w:marTop w:val="0"/>
      <w:marBottom w:val="0"/>
      <w:divBdr>
        <w:top w:val="none" w:sz="0" w:space="0" w:color="auto"/>
        <w:left w:val="none" w:sz="0" w:space="0" w:color="auto"/>
        <w:bottom w:val="none" w:sz="0" w:space="0" w:color="auto"/>
        <w:right w:val="none" w:sz="0" w:space="0" w:color="auto"/>
      </w:divBdr>
    </w:div>
    <w:div w:id="1344043303">
      <w:bodyDiv w:val="1"/>
      <w:marLeft w:val="0"/>
      <w:marRight w:val="0"/>
      <w:marTop w:val="0"/>
      <w:marBottom w:val="0"/>
      <w:divBdr>
        <w:top w:val="none" w:sz="0" w:space="0" w:color="auto"/>
        <w:left w:val="none" w:sz="0" w:space="0" w:color="auto"/>
        <w:bottom w:val="none" w:sz="0" w:space="0" w:color="auto"/>
        <w:right w:val="none" w:sz="0" w:space="0" w:color="auto"/>
      </w:divBdr>
    </w:div>
    <w:div w:id="1359937598">
      <w:bodyDiv w:val="1"/>
      <w:marLeft w:val="0"/>
      <w:marRight w:val="0"/>
      <w:marTop w:val="0"/>
      <w:marBottom w:val="0"/>
      <w:divBdr>
        <w:top w:val="none" w:sz="0" w:space="0" w:color="auto"/>
        <w:left w:val="none" w:sz="0" w:space="0" w:color="auto"/>
        <w:bottom w:val="none" w:sz="0" w:space="0" w:color="auto"/>
        <w:right w:val="none" w:sz="0" w:space="0" w:color="auto"/>
      </w:divBdr>
      <w:divsChild>
        <w:div w:id="1478961560">
          <w:marLeft w:val="0"/>
          <w:marRight w:val="0"/>
          <w:marTop w:val="75"/>
          <w:marBottom w:val="0"/>
          <w:divBdr>
            <w:top w:val="none" w:sz="0" w:space="0" w:color="auto"/>
            <w:left w:val="none" w:sz="0" w:space="0" w:color="auto"/>
            <w:bottom w:val="none" w:sz="0" w:space="0" w:color="auto"/>
            <w:right w:val="none" w:sz="0" w:space="0" w:color="auto"/>
          </w:divBdr>
        </w:div>
      </w:divsChild>
    </w:div>
    <w:div w:id="1400832665">
      <w:bodyDiv w:val="1"/>
      <w:marLeft w:val="0"/>
      <w:marRight w:val="0"/>
      <w:marTop w:val="0"/>
      <w:marBottom w:val="0"/>
      <w:divBdr>
        <w:top w:val="none" w:sz="0" w:space="0" w:color="auto"/>
        <w:left w:val="none" w:sz="0" w:space="0" w:color="auto"/>
        <w:bottom w:val="none" w:sz="0" w:space="0" w:color="auto"/>
        <w:right w:val="none" w:sz="0" w:space="0" w:color="auto"/>
      </w:divBdr>
    </w:div>
    <w:div w:id="1429735177">
      <w:bodyDiv w:val="1"/>
      <w:marLeft w:val="0"/>
      <w:marRight w:val="0"/>
      <w:marTop w:val="0"/>
      <w:marBottom w:val="0"/>
      <w:divBdr>
        <w:top w:val="none" w:sz="0" w:space="0" w:color="auto"/>
        <w:left w:val="none" w:sz="0" w:space="0" w:color="auto"/>
        <w:bottom w:val="none" w:sz="0" w:space="0" w:color="auto"/>
        <w:right w:val="none" w:sz="0" w:space="0" w:color="auto"/>
      </w:divBdr>
      <w:divsChild>
        <w:div w:id="678853119">
          <w:marLeft w:val="0"/>
          <w:marRight w:val="0"/>
          <w:marTop w:val="180"/>
          <w:marBottom w:val="0"/>
          <w:divBdr>
            <w:top w:val="none" w:sz="0" w:space="0" w:color="auto"/>
            <w:left w:val="none" w:sz="0" w:space="0" w:color="auto"/>
            <w:bottom w:val="none" w:sz="0" w:space="0" w:color="auto"/>
            <w:right w:val="none" w:sz="0" w:space="0" w:color="auto"/>
          </w:divBdr>
        </w:div>
        <w:div w:id="272245404">
          <w:marLeft w:val="0"/>
          <w:marRight w:val="0"/>
          <w:marTop w:val="0"/>
          <w:marBottom w:val="180"/>
          <w:divBdr>
            <w:top w:val="none" w:sz="0" w:space="0" w:color="auto"/>
            <w:left w:val="none" w:sz="0" w:space="0" w:color="auto"/>
            <w:bottom w:val="none" w:sz="0" w:space="0" w:color="auto"/>
            <w:right w:val="none" w:sz="0" w:space="0" w:color="auto"/>
          </w:divBdr>
        </w:div>
      </w:divsChild>
    </w:div>
    <w:div w:id="1440490869">
      <w:bodyDiv w:val="1"/>
      <w:marLeft w:val="0"/>
      <w:marRight w:val="0"/>
      <w:marTop w:val="0"/>
      <w:marBottom w:val="0"/>
      <w:divBdr>
        <w:top w:val="none" w:sz="0" w:space="0" w:color="auto"/>
        <w:left w:val="none" w:sz="0" w:space="0" w:color="auto"/>
        <w:bottom w:val="none" w:sz="0" w:space="0" w:color="auto"/>
        <w:right w:val="none" w:sz="0" w:space="0" w:color="auto"/>
      </w:divBdr>
    </w:div>
    <w:div w:id="1481733244">
      <w:bodyDiv w:val="1"/>
      <w:marLeft w:val="0"/>
      <w:marRight w:val="0"/>
      <w:marTop w:val="0"/>
      <w:marBottom w:val="0"/>
      <w:divBdr>
        <w:top w:val="none" w:sz="0" w:space="0" w:color="auto"/>
        <w:left w:val="none" w:sz="0" w:space="0" w:color="auto"/>
        <w:bottom w:val="none" w:sz="0" w:space="0" w:color="auto"/>
        <w:right w:val="none" w:sz="0" w:space="0" w:color="auto"/>
      </w:divBdr>
    </w:div>
    <w:div w:id="1601140042">
      <w:bodyDiv w:val="1"/>
      <w:marLeft w:val="0"/>
      <w:marRight w:val="0"/>
      <w:marTop w:val="0"/>
      <w:marBottom w:val="0"/>
      <w:divBdr>
        <w:top w:val="none" w:sz="0" w:space="0" w:color="auto"/>
        <w:left w:val="none" w:sz="0" w:space="0" w:color="auto"/>
        <w:bottom w:val="none" w:sz="0" w:space="0" w:color="auto"/>
        <w:right w:val="none" w:sz="0" w:space="0" w:color="auto"/>
      </w:divBdr>
    </w:div>
    <w:div w:id="1855535234">
      <w:bodyDiv w:val="1"/>
      <w:marLeft w:val="0"/>
      <w:marRight w:val="0"/>
      <w:marTop w:val="0"/>
      <w:marBottom w:val="0"/>
      <w:divBdr>
        <w:top w:val="none" w:sz="0" w:space="0" w:color="auto"/>
        <w:left w:val="none" w:sz="0" w:space="0" w:color="auto"/>
        <w:bottom w:val="none" w:sz="0" w:space="0" w:color="auto"/>
        <w:right w:val="none" w:sz="0" w:space="0" w:color="auto"/>
      </w:divBdr>
      <w:divsChild>
        <w:div w:id="327483929">
          <w:marLeft w:val="0"/>
          <w:marRight w:val="0"/>
          <w:marTop w:val="75"/>
          <w:marBottom w:val="0"/>
          <w:divBdr>
            <w:top w:val="none" w:sz="0" w:space="0" w:color="auto"/>
            <w:left w:val="none" w:sz="0" w:space="0" w:color="auto"/>
            <w:bottom w:val="none" w:sz="0" w:space="0" w:color="auto"/>
            <w:right w:val="none" w:sz="0" w:space="0" w:color="auto"/>
          </w:divBdr>
        </w:div>
      </w:divsChild>
    </w:div>
    <w:div w:id="1918394037">
      <w:bodyDiv w:val="1"/>
      <w:marLeft w:val="0"/>
      <w:marRight w:val="0"/>
      <w:marTop w:val="0"/>
      <w:marBottom w:val="0"/>
      <w:divBdr>
        <w:top w:val="none" w:sz="0" w:space="0" w:color="auto"/>
        <w:left w:val="none" w:sz="0" w:space="0" w:color="auto"/>
        <w:bottom w:val="none" w:sz="0" w:space="0" w:color="auto"/>
        <w:right w:val="none" w:sz="0" w:space="0" w:color="auto"/>
      </w:divBdr>
      <w:divsChild>
        <w:div w:id="1808349801">
          <w:marLeft w:val="547"/>
          <w:marRight w:val="0"/>
          <w:marTop w:val="120"/>
          <w:marBottom w:val="0"/>
          <w:divBdr>
            <w:top w:val="none" w:sz="0" w:space="0" w:color="auto"/>
            <w:left w:val="none" w:sz="0" w:space="0" w:color="auto"/>
            <w:bottom w:val="none" w:sz="0" w:space="0" w:color="auto"/>
            <w:right w:val="none" w:sz="0" w:space="0" w:color="auto"/>
          </w:divBdr>
        </w:div>
        <w:div w:id="1767652950">
          <w:marLeft w:val="547"/>
          <w:marRight w:val="0"/>
          <w:marTop w:val="120"/>
          <w:marBottom w:val="0"/>
          <w:divBdr>
            <w:top w:val="none" w:sz="0" w:space="0" w:color="auto"/>
            <w:left w:val="none" w:sz="0" w:space="0" w:color="auto"/>
            <w:bottom w:val="none" w:sz="0" w:space="0" w:color="auto"/>
            <w:right w:val="none" w:sz="0" w:space="0" w:color="auto"/>
          </w:divBdr>
        </w:div>
        <w:div w:id="1259676464">
          <w:marLeft w:val="547"/>
          <w:marRight w:val="0"/>
          <w:marTop w:val="120"/>
          <w:marBottom w:val="0"/>
          <w:divBdr>
            <w:top w:val="none" w:sz="0" w:space="0" w:color="auto"/>
            <w:left w:val="none" w:sz="0" w:space="0" w:color="auto"/>
            <w:bottom w:val="none" w:sz="0" w:space="0" w:color="auto"/>
            <w:right w:val="none" w:sz="0" w:space="0" w:color="auto"/>
          </w:divBdr>
        </w:div>
      </w:divsChild>
    </w:div>
    <w:div w:id="1931503002">
      <w:bodyDiv w:val="1"/>
      <w:marLeft w:val="0"/>
      <w:marRight w:val="0"/>
      <w:marTop w:val="0"/>
      <w:marBottom w:val="0"/>
      <w:divBdr>
        <w:top w:val="none" w:sz="0" w:space="0" w:color="auto"/>
        <w:left w:val="none" w:sz="0" w:space="0" w:color="auto"/>
        <w:bottom w:val="none" w:sz="0" w:space="0" w:color="auto"/>
        <w:right w:val="none" w:sz="0" w:space="0" w:color="auto"/>
      </w:divBdr>
      <w:divsChild>
        <w:div w:id="1893223796">
          <w:marLeft w:val="778"/>
          <w:marRight w:val="0"/>
          <w:marTop w:val="0"/>
          <w:marBottom w:val="60"/>
          <w:divBdr>
            <w:top w:val="none" w:sz="0" w:space="0" w:color="auto"/>
            <w:left w:val="none" w:sz="0" w:space="0" w:color="auto"/>
            <w:bottom w:val="none" w:sz="0" w:space="0" w:color="auto"/>
            <w:right w:val="none" w:sz="0" w:space="0" w:color="auto"/>
          </w:divBdr>
        </w:div>
        <w:div w:id="10424216">
          <w:marLeft w:val="778"/>
          <w:marRight w:val="0"/>
          <w:marTop w:val="0"/>
          <w:marBottom w:val="60"/>
          <w:divBdr>
            <w:top w:val="none" w:sz="0" w:space="0" w:color="auto"/>
            <w:left w:val="none" w:sz="0" w:space="0" w:color="auto"/>
            <w:bottom w:val="none" w:sz="0" w:space="0" w:color="auto"/>
            <w:right w:val="none" w:sz="0" w:space="0" w:color="auto"/>
          </w:divBdr>
        </w:div>
        <w:div w:id="892539637">
          <w:marLeft w:val="778"/>
          <w:marRight w:val="0"/>
          <w:marTop w:val="0"/>
          <w:marBottom w:val="60"/>
          <w:divBdr>
            <w:top w:val="none" w:sz="0" w:space="0" w:color="auto"/>
            <w:left w:val="none" w:sz="0" w:space="0" w:color="auto"/>
            <w:bottom w:val="none" w:sz="0" w:space="0" w:color="auto"/>
            <w:right w:val="none" w:sz="0" w:space="0" w:color="auto"/>
          </w:divBdr>
        </w:div>
        <w:div w:id="2145000501">
          <w:marLeft w:val="778"/>
          <w:marRight w:val="0"/>
          <w:marTop w:val="0"/>
          <w:marBottom w:val="60"/>
          <w:divBdr>
            <w:top w:val="none" w:sz="0" w:space="0" w:color="auto"/>
            <w:left w:val="none" w:sz="0" w:space="0" w:color="auto"/>
            <w:bottom w:val="none" w:sz="0" w:space="0" w:color="auto"/>
            <w:right w:val="none" w:sz="0" w:space="0" w:color="auto"/>
          </w:divBdr>
        </w:div>
        <w:div w:id="644697089">
          <w:marLeft w:val="778"/>
          <w:marRight w:val="0"/>
          <w:marTop w:val="0"/>
          <w:marBottom w:val="60"/>
          <w:divBdr>
            <w:top w:val="none" w:sz="0" w:space="0" w:color="auto"/>
            <w:left w:val="none" w:sz="0" w:space="0" w:color="auto"/>
            <w:bottom w:val="none" w:sz="0" w:space="0" w:color="auto"/>
            <w:right w:val="none" w:sz="0" w:space="0" w:color="auto"/>
          </w:divBdr>
        </w:div>
      </w:divsChild>
    </w:div>
    <w:div w:id="19858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CAFF04-5EC3-F745-B7EF-178E7F10432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C5C5-C9DC-DF44-AE14-FA7ED94D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17</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Tracy [JRDUS Non J&amp;J]</dc:creator>
  <cp:keywords/>
  <dc:description/>
  <cp:lastModifiedBy>Vijayaraghavan, Smruthi [JRDUS]</cp:lastModifiedBy>
  <cp:revision>189</cp:revision>
  <dcterms:created xsi:type="dcterms:W3CDTF">2020-03-19T13:46:00Z</dcterms:created>
  <dcterms:modified xsi:type="dcterms:W3CDTF">2020-06-24T01:15:00Z</dcterms:modified>
</cp:coreProperties>
</file>