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4049" w14:textId="77777777" w:rsidR="008F1D96" w:rsidRPr="005B3BCA" w:rsidRDefault="008F1D96" w:rsidP="008F1D96">
      <w:pPr>
        <w:spacing w:line="276" w:lineRule="auto"/>
        <w:rPr>
          <w:rFonts w:ascii="Arial" w:hAnsi="Arial" w:cs="Arial"/>
          <w:b/>
        </w:rPr>
      </w:pPr>
      <w:r w:rsidRPr="005B3BCA">
        <w:rPr>
          <w:rFonts w:ascii="Arial" w:hAnsi="Arial" w:cs="Arial"/>
          <w:b/>
        </w:rPr>
        <w:t>Supplementary Figures</w:t>
      </w:r>
    </w:p>
    <w:p w14:paraId="50C814D9" w14:textId="2E8D510A" w:rsidR="008F1D96" w:rsidRPr="008C6712" w:rsidRDefault="008F1D96" w:rsidP="008F1D96">
      <w:pPr>
        <w:spacing w:after="0" w:line="276" w:lineRule="auto"/>
        <w:rPr>
          <w:rFonts w:ascii="Arial" w:eastAsia="Times New Roman" w:hAnsi="Arial" w:cs="Arial"/>
          <w:b/>
          <w:iCs/>
          <w:color w:val="000000"/>
          <w:vertAlign w:val="subscript"/>
        </w:rPr>
      </w:pPr>
      <w:r>
        <w:rPr>
          <w:rFonts w:ascii="Arial" w:eastAsia="Times New Roman" w:hAnsi="Arial" w:cs="Arial"/>
          <w:b/>
          <w:iCs/>
          <w:color w:val="000000"/>
        </w:rPr>
        <w:t xml:space="preserve">Chemical </w:t>
      </w:r>
      <w:r w:rsidR="00583614">
        <w:rPr>
          <w:rFonts w:ascii="Arial" w:eastAsia="Times New Roman" w:hAnsi="Arial" w:cs="Arial"/>
          <w:b/>
          <w:iCs/>
          <w:color w:val="000000"/>
        </w:rPr>
        <w:t>s</w:t>
      </w:r>
      <w:r>
        <w:rPr>
          <w:rFonts w:ascii="Arial" w:eastAsia="Times New Roman" w:hAnsi="Arial" w:cs="Arial"/>
          <w:b/>
          <w:iCs/>
          <w:color w:val="000000"/>
        </w:rPr>
        <w:t>tructure of SBI-183: C</w:t>
      </w:r>
      <w:r>
        <w:rPr>
          <w:rFonts w:ascii="Arial" w:eastAsia="Times New Roman" w:hAnsi="Arial" w:cs="Arial"/>
          <w:b/>
          <w:iCs/>
          <w:color w:val="000000"/>
          <w:vertAlign w:val="subscript"/>
        </w:rPr>
        <w:t>18</w:t>
      </w:r>
      <w:r>
        <w:rPr>
          <w:rFonts w:ascii="Arial" w:eastAsia="Times New Roman" w:hAnsi="Arial" w:cs="Arial"/>
          <w:b/>
          <w:iCs/>
          <w:color w:val="000000"/>
        </w:rPr>
        <w:t>H</w:t>
      </w:r>
      <w:r>
        <w:rPr>
          <w:rFonts w:ascii="Arial" w:eastAsia="Times New Roman" w:hAnsi="Arial" w:cs="Arial"/>
          <w:b/>
          <w:iCs/>
          <w:color w:val="000000"/>
          <w:vertAlign w:val="subscript"/>
        </w:rPr>
        <w:t>20</w:t>
      </w:r>
      <w:r>
        <w:rPr>
          <w:rFonts w:ascii="Arial" w:eastAsia="Times New Roman" w:hAnsi="Arial" w:cs="Arial"/>
          <w:b/>
          <w:iCs/>
          <w:color w:val="000000"/>
        </w:rPr>
        <w:t>N</w:t>
      </w:r>
      <w:r>
        <w:rPr>
          <w:rFonts w:ascii="Arial" w:eastAsia="Times New Roman" w:hAnsi="Arial" w:cs="Arial"/>
          <w:b/>
          <w:iCs/>
          <w:color w:val="000000"/>
          <w:vertAlign w:val="subscript"/>
        </w:rPr>
        <w:t>2</w:t>
      </w:r>
      <w:r>
        <w:rPr>
          <w:rFonts w:ascii="Arial" w:eastAsia="Times New Roman" w:hAnsi="Arial" w:cs="Arial"/>
          <w:b/>
          <w:iCs/>
          <w:color w:val="000000"/>
        </w:rPr>
        <w:t>O</w:t>
      </w:r>
      <w:r>
        <w:rPr>
          <w:rFonts w:ascii="Arial" w:eastAsia="Times New Roman" w:hAnsi="Arial" w:cs="Arial"/>
          <w:b/>
          <w:iCs/>
          <w:color w:val="000000"/>
          <w:vertAlign w:val="subscript"/>
        </w:rPr>
        <w:t>2</w:t>
      </w:r>
    </w:p>
    <w:p w14:paraId="26D4AAFD" w14:textId="77777777" w:rsidR="008F1D96" w:rsidRDefault="008F1D96" w:rsidP="008F1D96">
      <w:pPr>
        <w:spacing w:after="0" w:line="276" w:lineRule="auto"/>
        <w:rPr>
          <w:rFonts w:ascii="Arial" w:eastAsia="Times New Roman" w:hAnsi="Arial" w:cs="Arial"/>
          <w:b/>
          <w:iCs/>
          <w:color w:val="000000"/>
        </w:rPr>
      </w:pPr>
    </w:p>
    <w:p w14:paraId="47B083CD" w14:textId="77777777" w:rsidR="008F1D96" w:rsidRDefault="008F1D96" w:rsidP="008F1D96">
      <w:pPr>
        <w:spacing w:after="0" w:line="276" w:lineRule="auto"/>
        <w:rPr>
          <w:rFonts w:ascii="Arial" w:eastAsia="Times New Roman" w:hAnsi="Arial" w:cs="Arial"/>
          <w:b/>
          <w:iCs/>
          <w:color w:val="000000"/>
        </w:rPr>
      </w:pPr>
      <w:r w:rsidRPr="007B482B">
        <w:rPr>
          <w:rFonts w:ascii="Arial" w:eastAsia="Times New Roman" w:hAnsi="Arial" w:cs="Arial"/>
          <w:b/>
          <w:iCs/>
          <w:noProof/>
          <w:color w:val="000000"/>
        </w:rPr>
        <w:drawing>
          <wp:inline distT="0" distB="0" distL="0" distR="0" wp14:anchorId="58C5FC86" wp14:editId="3E758575">
            <wp:extent cx="3486150" cy="2069343"/>
            <wp:effectExtent l="0" t="0" r="0" b="7620"/>
            <wp:docPr id="10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2" t="5689" r="316" b="9377"/>
                    <a:stretch/>
                  </pic:blipFill>
                  <pic:spPr bwMode="auto">
                    <a:xfrm>
                      <a:off x="0" y="0"/>
                      <a:ext cx="3492263" cy="2072972"/>
                    </a:xfrm>
                    <a:prstGeom prst="rect">
                      <a:avLst/>
                    </a:prstGeom>
                    <a:noFill/>
                    <a:ln>
                      <a:noFill/>
                    </a:ln>
                  </pic:spPr>
                </pic:pic>
              </a:graphicData>
            </a:graphic>
          </wp:inline>
        </w:drawing>
      </w:r>
    </w:p>
    <w:p w14:paraId="6E4F4676" w14:textId="77777777" w:rsidR="00A10655" w:rsidRPr="00635D71" w:rsidRDefault="008F1D96" w:rsidP="00A10655">
      <w:pPr>
        <w:rPr>
          <w:rFonts w:ascii="Arial" w:hAnsi="Arial" w:cs="Arial"/>
        </w:rPr>
      </w:pPr>
      <w:r w:rsidRPr="00CA2188">
        <w:rPr>
          <w:rFonts w:ascii="Arial" w:hAnsi="Arial" w:cs="Arial"/>
          <w:b/>
        </w:rPr>
        <w:t>Supplementary Figure 1.</w:t>
      </w:r>
      <w:r w:rsidR="00635D71">
        <w:rPr>
          <w:rFonts w:ascii="Arial" w:hAnsi="Arial" w:cs="Arial"/>
          <w:b/>
        </w:rPr>
        <w:t xml:space="preserve"> </w:t>
      </w:r>
      <w:r w:rsidR="00A10655">
        <w:rPr>
          <w:rFonts w:ascii="Arial" w:hAnsi="Arial" w:cs="Arial"/>
        </w:rPr>
        <w:t xml:space="preserve">Chemical structure of SBI-183. </w:t>
      </w:r>
    </w:p>
    <w:p w14:paraId="49458F77" w14:textId="5CAD8902" w:rsidR="008F1D96" w:rsidRPr="00CA2188" w:rsidRDefault="00A10655" w:rsidP="008F1D96">
      <w:pPr>
        <w:rPr>
          <w:rFonts w:ascii="Arial" w:hAnsi="Arial" w:cs="Arial"/>
          <w:b/>
        </w:rPr>
      </w:pPr>
      <w:r>
        <w:rPr>
          <w:rFonts w:ascii="Arial" w:hAnsi="Arial" w:cs="Arial"/>
          <w:b/>
        </w:rPr>
        <w:br/>
      </w:r>
      <w:r w:rsidR="008F1D96" w:rsidRPr="00CA2188">
        <w:rPr>
          <w:rFonts w:ascii="Arial" w:hAnsi="Arial" w:cs="Arial"/>
          <w:b/>
        </w:rPr>
        <w:t xml:space="preserve">Verification of </w:t>
      </w:r>
      <w:proofErr w:type="spellStart"/>
      <w:r w:rsidR="008F1D96" w:rsidRPr="00CA2188">
        <w:rPr>
          <w:rFonts w:ascii="Arial" w:hAnsi="Arial" w:cs="Arial"/>
          <w:b/>
        </w:rPr>
        <w:t>shRNA</w:t>
      </w:r>
      <w:proofErr w:type="spellEnd"/>
      <w:r w:rsidR="008F1D96" w:rsidRPr="00CA2188">
        <w:rPr>
          <w:rFonts w:ascii="Arial" w:hAnsi="Arial" w:cs="Arial"/>
          <w:b/>
        </w:rPr>
        <w:t xml:space="preserve"> QSOX1 KD by </w:t>
      </w:r>
      <w:proofErr w:type="spellStart"/>
      <w:r w:rsidR="008F1D96" w:rsidRPr="00CA2188">
        <w:rPr>
          <w:rFonts w:ascii="Arial" w:hAnsi="Arial" w:cs="Arial"/>
          <w:b/>
        </w:rPr>
        <w:t>qRT</w:t>
      </w:r>
      <w:proofErr w:type="spellEnd"/>
      <w:r w:rsidR="008F1D96" w:rsidRPr="00CA2188">
        <w:rPr>
          <w:rFonts w:ascii="Arial" w:hAnsi="Arial" w:cs="Arial"/>
          <w:b/>
        </w:rPr>
        <w:t>-PCR</w:t>
      </w:r>
    </w:p>
    <w:p w14:paraId="0C9DB315" w14:textId="760E6488" w:rsidR="008F1D96" w:rsidRPr="005B3BCA" w:rsidRDefault="008F1D96" w:rsidP="008F1D96">
      <w:pPr>
        <w:spacing w:before="240" w:after="0" w:line="276" w:lineRule="auto"/>
        <w:rPr>
          <w:rFonts w:ascii="Arial" w:eastAsia="Times New Roman" w:hAnsi="Arial" w:cs="Arial"/>
          <w:iCs/>
          <w:color w:val="000000"/>
        </w:rPr>
      </w:pPr>
      <w:r w:rsidRPr="005B3BCA">
        <w:rPr>
          <w:rFonts w:ascii="Arial" w:eastAsia="Times New Roman" w:hAnsi="Arial" w:cs="Arial"/>
          <w:iCs/>
          <w:color w:val="000000"/>
        </w:rPr>
        <w:t>Data are from three different experiments performed in triplicate and normalized against beta actin</w:t>
      </w:r>
      <w:r w:rsidR="00A10655">
        <w:rPr>
          <w:rFonts w:ascii="Arial" w:eastAsia="Times New Roman" w:hAnsi="Arial" w:cs="Arial"/>
          <w:iCs/>
          <w:color w:val="000000"/>
        </w:rPr>
        <w:t xml:space="preserve"> (</w:t>
      </w:r>
      <w:proofErr w:type="spellStart"/>
      <w:r w:rsidR="00A10655">
        <w:rPr>
          <w:rFonts w:ascii="Arial" w:eastAsia="Times New Roman" w:hAnsi="Arial" w:cs="Arial"/>
          <w:iCs/>
          <w:color w:val="000000"/>
        </w:rPr>
        <w:t>ΔCt</w:t>
      </w:r>
      <w:proofErr w:type="spellEnd"/>
      <w:r w:rsidR="00A10655">
        <w:rPr>
          <w:rFonts w:ascii="Arial" w:eastAsia="Times New Roman" w:hAnsi="Arial" w:cs="Arial"/>
          <w:iCs/>
          <w:color w:val="000000"/>
        </w:rPr>
        <w:t xml:space="preserve"> on the Y axis)</w:t>
      </w:r>
      <w:r w:rsidRPr="005B3BCA">
        <w:rPr>
          <w:rFonts w:ascii="Arial" w:eastAsia="Times New Roman" w:hAnsi="Arial" w:cs="Arial"/>
          <w:iCs/>
          <w:color w:val="000000"/>
        </w:rPr>
        <w:t>. Data are indicative of a 90% KD as indicated by the following formula: (2^-</w:t>
      </w:r>
      <w:proofErr w:type="spellStart"/>
      <w:r w:rsidRPr="005B3BCA">
        <w:rPr>
          <w:rFonts w:ascii="Arial" w:hAnsi="Arial" w:cs="Arial"/>
          <w:color w:val="303030"/>
          <w:shd w:val="clear" w:color="auto" w:fill="FFFFFF"/>
        </w:rPr>
        <w:t>ΔΔCt</w:t>
      </w:r>
      <w:proofErr w:type="spellEnd"/>
      <w:r w:rsidRPr="005B3BCA">
        <w:rPr>
          <w:rFonts w:ascii="Arial" w:hAnsi="Arial" w:cs="Arial"/>
          <w:color w:val="303030"/>
          <w:shd w:val="clear" w:color="auto" w:fill="FFFFFF"/>
        </w:rPr>
        <w:t>) = fold change, then (100 – (1/fold change)) = % KD.</w:t>
      </w:r>
    </w:p>
    <w:p w14:paraId="18EBE0DB" w14:textId="77777777" w:rsidR="008F1D96" w:rsidRPr="005B3BCA" w:rsidRDefault="008F1D96" w:rsidP="008F1D96">
      <w:pPr>
        <w:spacing w:after="0" w:line="276" w:lineRule="auto"/>
        <w:rPr>
          <w:rFonts w:ascii="Arial" w:eastAsia="Times New Roman" w:hAnsi="Arial" w:cs="Arial"/>
          <w:iCs/>
          <w:color w:val="000000"/>
        </w:rPr>
      </w:pPr>
    </w:p>
    <w:p w14:paraId="46132C16" w14:textId="77777777" w:rsidR="00A35A05" w:rsidRDefault="00583614" w:rsidP="008F1D96">
      <w:pPr>
        <w:rPr>
          <w:rFonts w:ascii="Arial" w:hAnsi="Arial" w:cs="Arial"/>
        </w:rPr>
      </w:pPr>
      <w:r>
        <w:rPr>
          <w:rFonts w:ascii="Arial" w:hAnsi="Arial" w:cs="Arial"/>
          <w:b/>
          <w:noProof/>
        </w:rPr>
        <w:drawing>
          <wp:inline distT="0" distB="0" distL="0" distR="0" wp14:anchorId="4DF3CEAC" wp14:editId="76AA6B33">
            <wp:extent cx="5463678" cy="21907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 Fig. 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9431" cy="2193057"/>
                    </a:xfrm>
                    <a:prstGeom prst="rect">
                      <a:avLst/>
                    </a:prstGeom>
                  </pic:spPr>
                </pic:pic>
              </a:graphicData>
            </a:graphic>
          </wp:inline>
        </w:drawing>
      </w:r>
      <w:r w:rsidR="008F1D96" w:rsidRPr="00CA2188">
        <w:rPr>
          <w:rFonts w:ascii="Arial" w:hAnsi="Arial" w:cs="Arial"/>
          <w:b/>
        </w:rPr>
        <w:t>Supplementary Figure 2.</w:t>
      </w:r>
      <w:r w:rsidR="008F1D96" w:rsidRPr="00CA2188">
        <w:rPr>
          <w:rFonts w:ascii="Arial" w:hAnsi="Arial" w:cs="Arial"/>
        </w:rPr>
        <w:t xml:space="preserve"> Stably transduced 786-O cells have reduced QSOX1 mRNA expression. </w:t>
      </w:r>
      <w:r>
        <w:rPr>
          <w:rFonts w:ascii="Arial" w:hAnsi="Arial" w:cs="Arial"/>
        </w:rPr>
        <w:t xml:space="preserve">Error represents SEM. </w:t>
      </w:r>
      <w:r w:rsidR="008F1D96" w:rsidRPr="00CA2188">
        <w:rPr>
          <w:rFonts w:ascii="Arial" w:hAnsi="Arial" w:cs="Arial"/>
        </w:rPr>
        <w:t xml:space="preserve">Significance was determined by Welch’s </w:t>
      </w:r>
      <w:r w:rsidR="00CA21E8">
        <w:rPr>
          <w:rFonts w:ascii="Arial" w:hAnsi="Arial" w:cs="Arial"/>
        </w:rPr>
        <w:t>t-</w:t>
      </w:r>
      <w:r w:rsidR="009A68EC">
        <w:rPr>
          <w:rFonts w:ascii="Arial" w:hAnsi="Arial" w:cs="Arial"/>
        </w:rPr>
        <w:t>test</w:t>
      </w:r>
      <w:r w:rsidR="008F1D96" w:rsidRPr="00CA2188">
        <w:rPr>
          <w:rFonts w:ascii="Arial" w:hAnsi="Arial" w:cs="Arial"/>
        </w:rPr>
        <w:t>. **p&lt;.01.</w:t>
      </w:r>
    </w:p>
    <w:p w14:paraId="54992AFE" w14:textId="77777777" w:rsidR="00A35A05" w:rsidRDefault="00A35A05" w:rsidP="008F1D96">
      <w:pPr>
        <w:rPr>
          <w:rFonts w:ascii="Arial" w:hAnsi="Arial" w:cs="Arial"/>
        </w:rPr>
      </w:pPr>
    </w:p>
    <w:p w14:paraId="13132E70" w14:textId="77777777" w:rsidR="00A35A05" w:rsidRDefault="00A35A05" w:rsidP="00A35A05">
      <w:pPr>
        <w:rPr>
          <w:rFonts w:ascii="Arial" w:hAnsi="Arial" w:cs="Arial"/>
          <w:b/>
        </w:rPr>
      </w:pPr>
      <w:r>
        <w:rPr>
          <w:rFonts w:ascii="Arial" w:hAnsi="Arial" w:cs="Arial"/>
          <w:b/>
        </w:rPr>
        <w:t>Results from docking protocols</w:t>
      </w:r>
    </w:p>
    <w:p w14:paraId="61E94232" w14:textId="77777777" w:rsidR="00A35A05" w:rsidRDefault="00A35A05" w:rsidP="00A35A05">
      <w:pPr>
        <w:rPr>
          <w:rFonts w:ascii="Arial" w:hAnsi="Arial" w:cs="Arial"/>
          <w:b/>
        </w:rPr>
      </w:pPr>
      <w:r w:rsidRPr="008B33EA">
        <w:rPr>
          <w:noProof/>
        </w:rPr>
        <w:lastRenderedPageBreak/>
        <w:drawing>
          <wp:inline distT="0" distB="0" distL="0" distR="0" wp14:anchorId="4E287674" wp14:editId="015511D1">
            <wp:extent cx="5943600" cy="817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7880"/>
                    </a:xfrm>
                    <a:prstGeom prst="rect">
                      <a:avLst/>
                    </a:prstGeom>
                    <a:noFill/>
                    <a:ln>
                      <a:noFill/>
                    </a:ln>
                  </pic:spPr>
                </pic:pic>
              </a:graphicData>
            </a:graphic>
          </wp:inline>
        </w:drawing>
      </w:r>
    </w:p>
    <w:p w14:paraId="01C85C6E" w14:textId="4C9D6B41" w:rsidR="008F1D96" w:rsidRPr="008B33EA" w:rsidRDefault="00A35A05" w:rsidP="00A35A05">
      <w:pPr>
        <w:rPr>
          <w:rFonts w:ascii="Arial" w:hAnsi="Arial" w:cs="Arial"/>
        </w:rPr>
      </w:pPr>
      <w:r>
        <w:rPr>
          <w:rFonts w:ascii="Arial" w:hAnsi="Arial" w:cs="Arial"/>
          <w:b/>
        </w:rPr>
        <w:t xml:space="preserve">Supplementary Table 1. </w:t>
      </w:r>
      <w:r>
        <w:rPr>
          <w:rFonts w:ascii="Arial" w:hAnsi="Arial" w:cs="Arial"/>
        </w:rPr>
        <w:t>Results from SBI-183 docking protocols.</w:t>
      </w:r>
      <w:r w:rsidR="008B33EA">
        <w:rPr>
          <w:rFonts w:ascii="Arial" w:hAnsi="Arial" w:cs="Arial"/>
        </w:rPr>
        <w:br/>
      </w:r>
    </w:p>
    <w:p w14:paraId="7E8EA5D9" w14:textId="77777777" w:rsidR="008F1D96" w:rsidRPr="00CA2188" w:rsidRDefault="008F1D96" w:rsidP="008F1D96">
      <w:pPr>
        <w:rPr>
          <w:rFonts w:ascii="Arial" w:hAnsi="Arial" w:cs="Arial"/>
        </w:rPr>
      </w:pPr>
      <w:r w:rsidRPr="00CA2188">
        <w:rPr>
          <w:rFonts w:ascii="Arial" w:hAnsi="Arial" w:cs="Arial"/>
          <w:b/>
        </w:rPr>
        <w:t>Determination of IC</w:t>
      </w:r>
      <w:r w:rsidRPr="00CA2188">
        <w:rPr>
          <w:rFonts w:ascii="Arial" w:hAnsi="Arial" w:cs="Arial"/>
          <w:b/>
          <w:vertAlign w:val="subscript"/>
        </w:rPr>
        <w:t>50</w:t>
      </w:r>
      <w:r w:rsidRPr="00CA2188">
        <w:rPr>
          <w:rFonts w:ascii="Arial" w:hAnsi="Arial" w:cs="Arial"/>
          <w:b/>
        </w:rPr>
        <w:t xml:space="preserve">’s by </w:t>
      </w:r>
      <w:proofErr w:type="spellStart"/>
      <w:r w:rsidRPr="00CA2188">
        <w:rPr>
          <w:rFonts w:ascii="Arial" w:hAnsi="Arial" w:cs="Arial"/>
          <w:b/>
        </w:rPr>
        <w:t>CellTiter</w:t>
      </w:r>
      <w:proofErr w:type="spellEnd"/>
      <w:r w:rsidRPr="00CA2188">
        <w:rPr>
          <w:rFonts w:ascii="Arial" w:hAnsi="Arial" w:cs="Arial"/>
          <w:b/>
        </w:rPr>
        <w:t xml:space="preserve"> </w:t>
      </w:r>
      <w:proofErr w:type="spellStart"/>
      <w:r w:rsidRPr="00CA2188">
        <w:rPr>
          <w:rFonts w:ascii="Arial" w:hAnsi="Arial" w:cs="Arial"/>
          <w:b/>
        </w:rPr>
        <w:t>Glo</w:t>
      </w:r>
      <w:proofErr w:type="spellEnd"/>
    </w:p>
    <w:p w14:paraId="417D7763" w14:textId="27E29745" w:rsidR="008F1D96" w:rsidRPr="005B3BCA" w:rsidRDefault="00157B40" w:rsidP="008F1D96">
      <w:pPr>
        <w:spacing w:line="276" w:lineRule="auto"/>
        <w:rPr>
          <w:rFonts w:ascii="Arial" w:eastAsia="Libian SC Regular" w:hAnsi="Arial" w:cs="Arial"/>
          <w:i/>
        </w:rPr>
      </w:pPr>
      <w:r>
        <w:rPr>
          <w:rFonts w:ascii="Arial" w:eastAsia="Libian SC Regular" w:hAnsi="Arial" w:cs="Arial"/>
          <w:i/>
          <w:noProof/>
        </w:rPr>
        <w:drawing>
          <wp:inline distT="0" distB="0" distL="0" distR="0" wp14:anchorId="429D41EE" wp14:editId="13293F88">
            <wp:extent cx="4267200" cy="274261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 Fig. 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1939" cy="2745662"/>
                    </a:xfrm>
                    <a:prstGeom prst="rect">
                      <a:avLst/>
                    </a:prstGeom>
                  </pic:spPr>
                </pic:pic>
              </a:graphicData>
            </a:graphic>
          </wp:inline>
        </w:drawing>
      </w:r>
    </w:p>
    <w:p w14:paraId="0559DD9F" w14:textId="77777777" w:rsidR="008F1D96" w:rsidRPr="005B3BCA" w:rsidRDefault="008F1D96" w:rsidP="008F1D96">
      <w:pPr>
        <w:spacing w:line="276" w:lineRule="auto"/>
        <w:rPr>
          <w:rFonts w:ascii="Arial" w:eastAsia="Libian SC Regular" w:hAnsi="Arial" w:cs="Arial"/>
        </w:rPr>
      </w:pPr>
      <w:r w:rsidRPr="005B3BCA">
        <w:rPr>
          <w:rFonts w:ascii="Arial" w:eastAsia="Libian SC Regular" w:hAnsi="Arial" w:cs="Arial"/>
          <w:b/>
        </w:rPr>
        <w:t xml:space="preserve">Supplemental Figure </w:t>
      </w:r>
      <w:r>
        <w:rPr>
          <w:rFonts w:ascii="Arial" w:eastAsia="Libian SC Regular" w:hAnsi="Arial" w:cs="Arial"/>
          <w:b/>
        </w:rPr>
        <w:t>3</w:t>
      </w:r>
      <w:r w:rsidRPr="005B3BCA">
        <w:rPr>
          <w:rFonts w:ascii="Arial" w:eastAsia="Libian SC Regular" w:hAnsi="Arial" w:cs="Arial"/>
          <w:b/>
        </w:rPr>
        <w:t xml:space="preserve">. </w:t>
      </w:r>
      <w:r w:rsidRPr="005B3BCA">
        <w:rPr>
          <w:rFonts w:ascii="Arial" w:eastAsia="Libian SC Regular" w:hAnsi="Arial" w:cs="Arial"/>
        </w:rPr>
        <w:t>Dose Response Curve: SBI-183 inhibits viability of RCC and TNBC with IC</w:t>
      </w:r>
      <w:r w:rsidRPr="005B3BCA">
        <w:rPr>
          <w:rFonts w:ascii="Arial" w:eastAsia="Libian SC Regular" w:hAnsi="Arial" w:cs="Arial"/>
          <w:vertAlign w:val="subscript"/>
        </w:rPr>
        <w:t>50</w:t>
      </w:r>
      <w:r w:rsidRPr="005B3BCA">
        <w:rPr>
          <w:rFonts w:ascii="Arial" w:eastAsia="Libian SC Regular" w:hAnsi="Arial" w:cs="Arial"/>
        </w:rPr>
        <w:t xml:space="preserve">’s of </w:t>
      </w:r>
      <w:r w:rsidRPr="005B3BCA">
        <w:rPr>
          <w:rFonts w:ascii="Arial" w:eastAsia="Times New Roman" w:hAnsi="Arial" w:cs="Arial"/>
          <w:color w:val="000000"/>
        </w:rPr>
        <w:t>4.6 µM for 786-O, 3.9 µM for RCJ-41T2, and 2.4 µM for MDA-MB-231.</w:t>
      </w:r>
    </w:p>
    <w:p w14:paraId="6397C944" w14:textId="77777777" w:rsidR="008F1D96" w:rsidRPr="00CA2188" w:rsidRDefault="008F1D96" w:rsidP="008F1D96">
      <w:pPr>
        <w:rPr>
          <w:rFonts w:ascii="Arial" w:hAnsi="Arial" w:cs="Arial"/>
          <w:b/>
        </w:rPr>
      </w:pPr>
      <w:r w:rsidRPr="00CA2188">
        <w:rPr>
          <w:rFonts w:ascii="Arial" w:hAnsi="Arial" w:cs="Arial"/>
          <w:b/>
        </w:rPr>
        <w:t>SBI-183 reduces proliferation</w:t>
      </w:r>
    </w:p>
    <w:p w14:paraId="511131DC" w14:textId="77777777" w:rsidR="008F1D96" w:rsidRPr="000763C9" w:rsidRDefault="008F1D96" w:rsidP="008F1D96">
      <w:pPr>
        <w:rPr>
          <w:rFonts w:ascii="Arial" w:hAnsi="Arial" w:cs="Arial"/>
          <w:i/>
        </w:rPr>
      </w:pPr>
      <w:r w:rsidRPr="00CA2188">
        <w:rPr>
          <w:rFonts w:ascii="Arial" w:hAnsi="Arial" w:cs="Arial"/>
        </w:rPr>
        <w:t xml:space="preserve">Cells were incubated with the indicated concentrations of SBI-183. The percent growth is indicated in the table below, and is graphically represented in Figure 3. </w:t>
      </w:r>
    </w:p>
    <w:p w14:paraId="1BB29DF0" w14:textId="77777777" w:rsidR="008F1D96" w:rsidRPr="005B3BCA" w:rsidRDefault="008F1D96" w:rsidP="008F1D96">
      <w:pPr>
        <w:spacing w:after="0" w:line="276" w:lineRule="auto"/>
        <w:rPr>
          <w:rFonts w:ascii="Arial" w:eastAsia="Times New Roman" w:hAnsi="Arial" w:cs="Arial"/>
          <w:b/>
          <w:iCs/>
          <w:color w:val="000000"/>
        </w:rPr>
      </w:pPr>
      <w:r w:rsidRPr="005B3BCA">
        <w:rPr>
          <w:rFonts w:ascii="Arial" w:hAnsi="Arial" w:cs="Arial"/>
          <w:noProof/>
        </w:rPr>
        <w:drawing>
          <wp:inline distT="0" distB="0" distL="0" distR="0" wp14:anchorId="6F5545CD" wp14:editId="3563AC28">
            <wp:extent cx="5943600" cy="172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20375"/>
                    </a:xfrm>
                    <a:prstGeom prst="rect">
                      <a:avLst/>
                    </a:prstGeom>
                    <a:noFill/>
                    <a:ln>
                      <a:noFill/>
                    </a:ln>
                  </pic:spPr>
                </pic:pic>
              </a:graphicData>
            </a:graphic>
          </wp:inline>
        </w:drawing>
      </w:r>
    </w:p>
    <w:p w14:paraId="2E61D1F0" w14:textId="48CD79C9" w:rsidR="008F1D96" w:rsidRPr="00CA2188" w:rsidRDefault="008F1D96" w:rsidP="008F1D96">
      <w:pPr>
        <w:rPr>
          <w:rFonts w:ascii="Arial" w:hAnsi="Arial" w:cs="Arial"/>
        </w:rPr>
      </w:pPr>
      <w:r w:rsidRPr="00CA2188">
        <w:rPr>
          <w:rFonts w:ascii="Arial" w:hAnsi="Arial" w:cs="Arial"/>
          <w:b/>
        </w:rPr>
        <w:t xml:space="preserve">Supplementary Table </w:t>
      </w:r>
      <w:r w:rsidR="008B33EA">
        <w:rPr>
          <w:rFonts w:ascii="Arial" w:hAnsi="Arial" w:cs="Arial"/>
          <w:b/>
        </w:rPr>
        <w:t>2</w:t>
      </w:r>
      <w:r w:rsidRPr="00CA2188">
        <w:rPr>
          <w:rFonts w:ascii="Arial" w:hAnsi="Arial" w:cs="Arial"/>
          <w:b/>
        </w:rPr>
        <w:t>.</w:t>
      </w:r>
      <w:r w:rsidRPr="00CA2188">
        <w:rPr>
          <w:rFonts w:ascii="Arial" w:hAnsi="Arial" w:cs="Arial"/>
        </w:rPr>
        <w:t xml:space="preserve"> SBI-183 reduces the proliferation of RCC and TNBC on days 3 and 5 at concentrations ranging from 20 </w:t>
      </w:r>
      <w:proofErr w:type="spellStart"/>
      <w:r w:rsidRPr="00CA2188">
        <w:rPr>
          <w:rFonts w:ascii="Arial" w:hAnsi="Arial" w:cs="Arial"/>
        </w:rPr>
        <w:t>μM</w:t>
      </w:r>
      <w:proofErr w:type="spellEnd"/>
      <w:r w:rsidRPr="00CA2188">
        <w:rPr>
          <w:rFonts w:ascii="Arial" w:hAnsi="Arial" w:cs="Arial"/>
        </w:rPr>
        <w:t xml:space="preserve"> - .625 </w:t>
      </w:r>
      <w:proofErr w:type="spellStart"/>
      <w:r w:rsidRPr="00CA2188">
        <w:rPr>
          <w:rFonts w:ascii="Arial" w:hAnsi="Arial" w:cs="Arial"/>
        </w:rPr>
        <w:t>μM</w:t>
      </w:r>
      <w:proofErr w:type="spellEnd"/>
      <w:r w:rsidRPr="00CA2188">
        <w:rPr>
          <w:rFonts w:ascii="Arial" w:hAnsi="Arial" w:cs="Arial"/>
        </w:rPr>
        <w:t>.</w:t>
      </w:r>
    </w:p>
    <w:p w14:paraId="79BF9E2E" w14:textId="77777777" w:rsidR="008F1D96" w:rsidRPr="00CA2188" w:rsidRDefault="008F1D96" w:rsidP="008F1D96">
      <w:pPr>
        <w:rPr>
          <w:rFonts w:ascii="Arial" w:hAnsi="Arial" w:cs="Arial"/>
        </w:rPr>
      </w:pPr>
      <w:r w:rsidRPr="00CA2188">
        <w:rPr>
          <w:rFonts w:ascii="Arial" w:hAnsi="Arial" w:cs="Arial"/>
          <w:b/>
        </w:rPr>
        <w:t xml:space="preserve">SBI-183 is not toxic to athymic nude mice </w:t>
      </w:r>
      <w:bookmarkStart w:id="0" w:name="_GoBack"/>
      <w:bookmarkEnd w:id="0"/>
    </w:p>
    <w:p w14:paraId="47243B2E" w14:textId="5E2D8E08" w:rsidR="008F1D96" w:rsidRDefault="008F1D96" w:rsidP="008F1D96">
      <w:pPr>
        <w:spacing w:line="276" w:lineRule="auto"/>
        <w:rPr>
          <w:rFonts w:ascii="Arial" w:eastAsia="Times New Roman" w:hAnsi="Arial" w:cs="Arial"/>
          <w:color w:val="000000"/>
        </w:rPr>
      </w:pPr>
      <w:r w:rsidRPr="00F66448">
        <w:rPr>
          <w:rFonts w:ascii="Arial" w:eastAsia="Times New Roman" w:hAnsi="Arial" w:cs="Arial"/>
          <w:b/>
          <w:noProof/>
          <w:color w:val="000000"/>
        </w:rPr>
        <w:lastRenderedPageBreak/>
        <w:drawing>
          <wp:inline distT="0" distB="0" distL="0" distR="0" wp14:anchorId="4BD04D7A" wp14:editId="11391E16">
            <wp:extent cx="5943600" cy="887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5943600" cy="887095"/>
                    </a:xfrm>
                    <a:prstGeom prst="rect">
                      <a:avLst/>
                    </a:prstGeom>
                  </pic:spPr>
                </pic:pic>
              </a:graphicData>
            </a:graphic>
          </wp:inline>
        </w:drawing>
      </w:r>
      <w:r w:rsidRPr="005B3BCA">
        <w:rPr>
          <w:rFonts w:ascii="Arial" w:eastAsia="Times New Roman" w:hAnsi="Arial" w:cs="Arial"/>
          <w:b/>
          <w:color w:val="000000"/>
        </w:rPr>
        <w:t xml:space="preserve">Supplementary Table </w:t>
      </w:r>
      <w:r w:rsidR="008B33EA">
        <w:rPr>
          <w:rFonts w:ascii="Arial" w:eastAsia="Times New Roman" w:hAnsi="Arial" w:cs="Arial"/>
          <w:b/>
          <w:color w:val="000000"/>
        </w:rPr>
        <w:t>3</w:t>
      </w:r>
      <w:r w:rsidRPr="005B3BCA">
        <w:rPr>
          <w:rFonts w:ascii="Arial" w:eastAsia="Times New Roman" w:hAnsi="Arial" w:cs="Arial"/>
          <w:b/>
          <w:color w:val="000000"/>
        </w:rPr>
        <w:t xml:space="preserve">. </w:t>
      </w:r>
      <w:r w:rsidRPr="005B3BCA">
        <w:rPr>
          <w:rFonts w:ascii="Arial" w:eastAsia="Times New Roman" w:hAnsi="Arial" w:cs="Arial"/>
          <w:color w:val="000000"/>
        </w:rPr>
        <w:t>SBI-183 solubilized in 10% dimethylacetamide (DMA) and 90% PEG400 was administered by oral gavage to 3 mice per group for 3 days. Neither 100</w:t>
      </w:r>
      <w:r w:rsidR="00321E46">
        <w:rPr>
          <w:rFonts w:ascii="Arial" w:eastAsia="Times New Roman" w:hAnsi="Arial" w:cs="Arial"/>
          <w:color w:val="000000"/>
        </w:rPr>
        <w:t xml:space="preserve"> </w:t>
      </w:r>
      <w:r w:rsidRPr="005B3BCA">
        <w:rPr>
          <w:rFonts w:ascii="Arial" w:eastAsia="Times New Roman" w:hAnsi="Arial" w:cs="Arial"/>
          <w:color w:val="000000"/>
        </w:rPr>
        <w:t>mg/kg, nor 200</w:t>
      </w:r>
      <w:r w:rsidR="00321E46">
        <w:rPr>
          <w:rFonts w:ascii="Arial" w:eastAsia="Times New Roman" w:hAnsi="Arial" w:cs="Arial"/>
          <w:color w:val="000000"/>
        </w:rPr>
        <w:t xml:space="preserve"> </w:t>
      </w:r>
      <w:r w:rsidRPr="005B3BCA">
        <w:rPr>
          <w:rFonts w:ascii="Arial" w:eastAsia="Times New Roman" w:hAnsi="Arial" w:cs="Arial"/>
          <w:color w:val="000000"/>
        </w:rPr>
        <w:t>mg/kg appeared to be toxic to athymic nude mice.</w:t>
      </w:r>
    </w:p>
    <w:p w14:paraId="17C8AA44" w14:textId="463C87B9" w:rsidR="00321E46" w:rsidRDefault="00321E46" w:rsidP="008F1D96">
      <w:pPr>
        <w:spacing w:line="276" w:lineRule="auto"/>
        <w:rPr>
          <w:rFonts w:ascii="Arial" w:eastAsia="Times New Roman" w:hAnsi="Arial" w:cs="Arial"/>
          <w:b/>
          <w:i/>
          <w:color w:val="000000"/>
        </w:rPr>
      </w:pPr>
      <w:r>
        <w:rPr>
          <w:rFonts w:ascii="Arial" w:eastAsia="Times New Roman" w:hAnsi="Arial" w:cs="Arial"/>
          <w:b/>
          <w:color w:val="000000"/>
        </w:rPr>
        <w:t>SBI-183 does not reduce</w:t>
      </w:r>
      <w:r w:rsidR="00FA1CFA">
        <w:rPr>
          <w:rFonts w:ascii="Arial" w:eastAsia="Times New Roman" w:hAnsi="Arial" w:cs="Arial"/>
          <w:b/>
          <w:color w:val="000000"/>
        </w:rPr>
        <w:t xml:space="preserve"> primary tumor</w:t>
      </w:r>
      <w:r>
        <w:rPr>
          <w:rFonts w:ascii="Arial" w:eastAsia="Times New Roman" w:hAnsi="Arial" w:cs="Arial"/>
          <w:b/>
          <w:color w:val="000000"/>
        </w:rPr>
        <w:t xml:space="preserve"> growth of MDA-MB-231 </w:t>
      </w:r>
      <w:r>
        <w:rPr>
          <w:rFonts w:ascii="Arial" w:eastAsia="Times New Roman" w:hAnsi="Arial" w:cs="Arial"/>
          <w:b/>
          <w:i/>
          <w:color w:val="000000"/>
        </w:rPr>
        <w:t>in vivo</w:t>
      </w:r>
    </w:p>
    <w:p w14:paraId="2926BE2D" w14:textId="1A9F41AB" w:rsidR="001F3B2C" w:rsidRPr="004B2CA4" w:rsidRDefault="001F3B2C" w:rsidP="008F1D96">
      <w:pPr>
        <w:spacing w:line="276" w:lineRule="auto"/>
        <w:rPr>
          <w:rFonts w:ascii="Arial" w:eastAsia="Times New Roman" w:hAnsi="Arial" w:cs="Arial"/>
          <w:color w:val="000000"/>
        </w:rPr>
      </w:pPr>
      <w:r>
        <w:rPr>
          <w:rFonts w:ascii="Arial" w:eastAsia="Times New Roman" w:hAnsi="Arial" w:cs="Arial"/>
          <w:color w:val="000000"/>
        </w:rPr>
        <w:t xml:space="preserve">Tumor </w:t>
      </w:r>
      <w:r w:rsidR="00FA1CFA">
        <w:rPr>
          <w:rFonts w:ascii="Arial" w:eastAsia="Times New Roman" w:hAnsi="Arial" w:cs="Arial"/>
          <w:color w:val="000000"/>
        </w:rPr>
        <w:t>growth was measured</w:t>
      </w:r>
      <w:r>
        <w:rPr>
          <w:rFonts w:ascii="Arial" w:eastAsia="Times New Roman" w:hAnsi="Arial" w:cs="Arial"/>
          <w:color w:val="000000"/>
        </w:rPr>
        <w:t xml:space="preserve"> at the intervals indicated in S. Table 4. According to IACUC protocol, mouse 1 from the control group was humanely sacrificed on Day 25</w:t>
      </w:r>
      <w:r w:rsidR="00FA1CFA">
        <w:rPr>
          <w:rFonts w:ascii="Arial" w:eastAsia="Times New Roman" w:hAnsi="Arial" w:cs="Arial"/>
          <w:color w:val="000000"/>
        </w:rPr>
        <w:t xml:space="preserve"> due to tumor size</w:t>
      </w:r>
      <w:r>
        <w:rPr>
          <w:rFonts w:ascii="Arial" w:eastAsia="Times New Roman" w:hAnsi="Arial" w:cs="Arial"/>
          <w:color w:val="000000"/>
        </w:rPr>
        <w:t>. A second mouse (mouse 8) from the control group was found dead on Day 28.</w:t>
      </w:r>
    </w:p>
    <w:p w14:paraId="4BCC9211" w14:textId="380D486A" w:rsidR="00321E46" w:rsidRDefault="00321E46" w:rsidP="008F1D96">
      <w:pPr>
        <w:spacing w:line="276" w:lineRule="auto"/>
        <w:rPr>
          <w:rFonts w:ascii="Arial" w:eastAsia="Times New Roman" w:hAnsi="Arial" w:cs="Arial"/>
          <w:b/>
          <w:color w:val="000000"/>
        </w:rPr>
      </w:pPr>
      <w:r w:rsidRPr="00321E46">
        <w:rPr>
          <w:rFonts w:ascii="Arial" w:eastAsia="Times New Roman" w:hAnsi="Arial" w:cs="Arial"/>
          <w:b/>
          <w:noProof/>
          <w:color w:val="000000"/>
        </w:rPr>
        <w:drawing>
          <wp:inline distT="0" distB="0" distL="0" distR="0" wp14:anchorId="7FB0973D" wp14:editId="1D4AD539">
            <wp:extent cx="5943600" cy="1535430"/>
            <wp:effectExtent l="0" t="0" r="0" b="762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stretch>
                      <a:fillRect/>
                    </a:stretch>
                  </pic:blipFill>
                  <pic:spPr>
                    <a:xfrm>
                      <a:off x="0" y="0"/>
                      <a:ext cx="5943600" cy="1535430"/>
                    </a:xfrm>
                    <a:prstGeom prst="rect">
                      <a:avLst/>
                    </a:prstGeom>
                  </pic:spPr>
                </pic:pic>
              </a:graphicData>
            </a:graphic>
          </wp:inline>
        </w:drawing>
      </w:r>
    </w:p>
    <w:p w14:paraId="709FDE80" w14:textId="12AE3566" w:rsidR="00321E46" w:rsidRPr="004B2CA4" w:rsidRDefault="00321E46" w:rsidP="008F1D96">
      <w:pPr>
        <w:spacing w:line="276" w:lineRule="auto"/>
        <w:rPr>
          <w:rFonts w:ascii="Arial" w:eastAsia="Times New Roman" w:hAnsi="Arial" w:cs="Arial"/>
          <w:color w:val="000000"/>
        </w:rPr>
      </w:pPr>
      <w:r>
        <w:rPr>
          <w:rFonts w:ascii="Arial" w:eastAsia="Times New Roman" w:hAnsi="Arial" w:cs="Arial"/>
          <w:b/>
          <w:color w:val="000000"/>
        </w:rPr>
        <w:t>Supplementary Table 4.</w:t>
      </w:r>
      <w:r>
        <w:rPr>
          <w:rFonts w:ascii="Arial" w:eastAsia="Times New Roman" w:hAnsi="Arial" w:cs="Arial"/>
          <w:color w:val="000000"/>
        </w:rPr>
        <w:t xml:space="preserve"> </w:t>
      </w:r>
      <w:r>
        <w:rPr>
          <w:rFonts w:ascii="Arial" w:eastAsia="Libian SC Regular" w:hAnsi="Arial" w:cs="Arial"/>
        </w:rPr>
        <w:t>SBI-183 does not reduce</w:t>
      </w:r>
      <w:r w:rsidR="00FA1CFA">
        <w:rPr>
          <w:rFonts w:ascii="Arial" w:eastAsia="Libian SC Regular" w:hAnsi="Arial" w:cs="Arial"/>
        </w:rPr>
        <w:t xml:space="preserve"> primary tumor</w:t>
      </w:r>
      <w:r>
        <w:rPr>
          <w:rFonts w:ascii="Arial" w:eastAsia="Libian SC Regular" w:hAnsi="Arial" w:cs="Arial"/>
        </w:rPr>
        <w:t xml:space="preserve"> growth of MDA-MB-231</w:t>
      </w:r>
      <w:r w:rsidRPr="005B3BCA">
        <w:rPr>
          <w:rFonts w:ascii="Arial" w:eastAsia="Libian SC Regular" w:hAnsi="Arial" w:cs="Arial"/>
        </w:rPr>
        <w:t xml:space="preserve"> </w:t>
      </w:r>
      <w:r w:rsidRPr="005B3BCA">
        <w:rPr>
          <w:rFonts w:ascii="Arial" w:eastAsia="Libian SC Regular" w:hAnsi="Arial" w:cs="Arial"/>
          <w:i/>
        </w:rPr>
        <w:t>in vivo</w:t>
      </w:r>
      <w:r w:rsidRPr="005B3BCA">
        <w:rPr>
          <w:rFonts w:ascii="Arial" w:eastAsia="Libian SC Regular" w:hAnsi="Arial" w:cs="Arial"/>
        </w:rPr>
        <w:t>. Daily treatment with SBI-183</w:t>
      </w:r>
      <w:r>
        <w:rPr>
          <w:rFonts w:ascii="Arial" w:eastAsia="Libian SC Regular" w:hAnsi="Arial" w:cs="Arial"/>
        </w:rPr>
        <w:t xml:space="preserve"> (100 mg/kg)</w:t>
      </w:r>
      <w:r w:rsidRPr="005B3BCA">
        <w:rPr>
          <w:rFonts w:ascii="Arial" w:eastAsia="Libian SC Regular" w:hAnsi="Arial" w:cs="Arial"/>
        </w:rPr>
        <w:t xml:space="preserve"> </w:t>
      </w:r>
      <w:r>
        <w:rPr>
          <w:rFonts w:ascii="Arial" w:eastAsia="Libian SC Regular" w:hAnsi="Arial" w:cs="Arial"/>
        </w:rPr>
        <w:t xml:space="preserve">did not result in a decrease of </w:t>
      </w:r>
      <w:r w:rsidR="00FA1CFA">
        <w:rPr>
          <w:rFonts w:ascii="Arial" w:eastAsia="Libian SC Regular" w:hAnsi="Arial" w:cs="Arial"/>
        </w:rPr>
        <w:t xml:space="preserve">primary </w:t>
      </w:r>
      <w:r>
        <w:rPr>
          <w:rFonts w:ascii="Arial" w:eastAsia="Libian SC Regular" w:hAnsi="Arial" w:cs="Arial"/>
        </w:rPr>
        <w:t>tumor volume</w:t>
      </w:r>
      <w:r w:rsidR="001F3B2C">
        <w:rPr>
          <w:rFonts w:ascii="Arial" w:eastAsia="Libian SC Regular" w:hAnsi="Arial" w:cs="Arial"/>
        </w:rPr>
        <w:t xml:space="preserve">. </w:t>
      </w:r>
      <w:r w:rsidRPr="005B3BCA">
        <w:rPr>
          <w:rFonts w:ascii="Arial" w:eastAsia="Libian SC Regular" w:hAnsi="Arial" w:cs="Arial"/>
        </w:rPr>
        <w:t xml:space="preserve">Twelve mice per group were utilized for this experiment. </w:t>
      </w:r>
      <w:r w:rsidR="001F3B2C">
        <w:rPr>
          <w:rFonts w:ascii="Arial" w:eastAsia="Libian SC Regular" w:hAnsi="Arial" w:cs="Arial"/>
        </w:rPr>
        <w:t xml:space="preserve">X = moribund sacrifice. </w:t>
      </w:r>
    </w:p>
    <w:p w14:paraId="53FF1FEA" w14:textId="77777777" w:rsidR="008F1D96" w:rsidRPr="00CA2188" w:rsidRDefault="008F1D96" w:rsidP="008F1D96">
      <w:pPr>
        <w:spacing w:line="276" w:lineRule="auto"/>
        <w:rPr>
          <w:rFonts w:ascii="Arial" w:eastAsia="Times New Roman" w:hAnsi="Arial" w:cs="Arial"/>
          <w:color w:val="000000"/>
        </w:rPr>
      </w:pPr>
      <w:r>
        <w:rPr>
          <w:rFonts w:ascii="Arial" w:eastAsia="Libian SC Regular" w:hAnsi="Arial" w:cs="Arial"/>
          <w:b/>
        </w:rPr>
        <w:br/>
      </w:r>
      <w:r w:rsidRPr="005B3BCA">
        <w:rPr>
          <w:rFonts w:ascii="Arial" w:eastAsia="Libian SC Regular" w:hAnsi="Arial" w:cs="Arial"/>
          <w:b/>
        </w:rPr>
        <w:t>SBI-183 inhibits metastasis of the triple negative breast cancer line MDA-MB-231</w:t>
      </w:r>
    </w:p>
    <w:p w14:paraId="7D78236E" w14:textId="7E118659" w:rsidR="008F1D96" w:rsidRPr="005B3BCA" w:rsidRDefault="008F1D96" w:rsidP="008F1D96">
      <w:pPr>
        <w:spacing w:line="276" w:lineRule="auto"/>
        <w:rPr>
          <w:rFonts w:ascii="Arial" w:hAnsi="Arial" w:cs="Arial"/>
        </w:rPr>
      </w:pPr>
      <w:r w:rsidRPr="005B3BCA">
        <w:rPr>
          <w:rFonts w:ascii="Arial" w:hAnsi="Arial" w:cs="Arial"/>
          <w:color w:val="000000"/>
        </w:rPr>
        <w:t>MDA-MB-231 is a TNBC cell line that generates spontaneous lung metastases in mice after injection into the lymph nodes or mammary fat pad. Since our data suggests that QSOX1 plays a role in tumor-derived ECM and ECM genes are upregulated in metastases</w:t>
      </w:r>
      <w:r w:rsidR="00CA21E8">
        <w:rPr>
          <w:rFonts w:ascii="Arial" w:hAnsi="Arial" w:cs="Arial"/>
          <w:color w:val="000000"/>
        </w:rPr>
        <w:t xml:space="preserve"> </w:t>
      </w:r>
      <w:r w:rsidR="00CA21E8">
        <w:rPr>
          <w:rFonts w:ascii="Arial" w:hAnsi="Arial" w:cs="Arial"/>
          <w:color w:val="000000"/>
        </w:rPr>
        <w:fldChar w:fldCharType="begin" w:fldLock="1"/>
      </w:r>
      <w:r w:rsidR="00CA21E8">
        <w:rPr>
          <w:rFonts w:ascii="Arial" w:hAnsi="Arial" w:cs="Arial"/>
          <w:color w:val="000000"/>
        </w:rPr>
        <w:instrText>ADDIN CSL_CITATION {"citationItems":[{"id":"ITEM-1","itemData":{"DOI":"10.1093/annonc/mdw652","ISSN":"1569-8041","abstract":"BACKGROUND: The majority of renal cell carcinoma (RCC) studies analyze primary tumors, and the corresponding results are extrapolated to metastatic RCC tumors. However, it is unknown if gene expression profiles from primary RCC tumors differs from patient-matched metastatic tumors. Thus, we sought to identify differentially expressed genes between patient-matched primary and metastatic RCC tumors in order to understand the molecular mechanisms underlying the development of RCC metastases. PATIENTS AND METHODS: We compared gene expression profiles between patient-matched primary and metastatic RCC tumors using a two-stage design. First, we used Affymetrix microarrays on 15 pairs of primary RCC [14 clear cell RCC (ccRCC), 1 papillary] tumors and patient-matched pulmonary metastases. Second, we used a custom NanoString panel to validate seven candidate genes in an independent cohort of 114 ccRCC patients. Differential gene expression was evaluated using a mixed effect linear model; a random effect denoting patient was included to account for the paired data. Third, The Cancer Genome Atlas (TCGA) data were used to evaluate associations with metastasis-free and overall survival in primary ccRCC tumors. RESULTS: We identified and validated up regulation of seven genes functionally involved in the formation of the extracellular matrix (ECM): DCN, SLIT2, LUM, LAMA2, ADAMTS12, CEACAM6 and LMO3. In primary ccRCC, CEACAM6 and LUM were significantly associated with metastasis-free and overall survival (P &lt; 0.01). CONCLUSIONS: We evaluated gene expression profiles using the largest set to date, to our knowledge, of patient-matched primary and metastatic ccRCC tumors and identified up regulation of ECM genes in metastases. Our study implicates up regulation of ECM genes as a critical molecular event leading to visceral, bone and soft tissue metastases in ccRCC.","author":[{"dropping-particle":"","family":"Ho","given":"T H","non-dropping-particle":"","parse-names":false,"suffix":""},{"dropping-particle":"","family":"Serie","given":"D J","non-dropping-particle":"","parse-names":false,"suffix":""},{"dropping-particle":"","family":"Parasramka","given":"M","non-dropping-particle":"","parse-names":false,"suffix":""},{"dropping-particle":"","family":"Cheville","given":"J C","non-dropping-particle":"","parse-names":false,"suffix":""},{"dropping-particle":"","family":"Bot","given":"B M","non-dropping-particle":"","parse-names":false,"suffix":""},{"dropping-particle":"","family":"Tan","given":"W","non-dropping-particle":"","parse-names":false,"suffix":""},{"dropping-particle":"","family":"Wang","given":"L","non-dropping-particle":"","parse-names":false,"suffix":""},{"dropping-particle":"","family":"Joseph","given":"R W","non-dropping-particle":"","parse-names":false,"suffix":""},{"dropping-particle":"","family":"Hilton","given":"T","non-dropping-particle":"","parse-names":false,"suffix":""},{"dropping-particle":"","family":"Leibovich","given":"B C","non-dropping-particle":"","parse-names":false,"suffix":""},{"dropping-particle":"","family":"Parker","given":"A S","non-dropping-particle":"","parse-names":false,"suffix":""},{"dropping-particle":"","family":"Eckel-Passow","given":"J E","non-dropping-particle":"","parse-names":false,"suffix":""}],"container-title":"Annals of oncology : official journal of the European Society for Medical Oncology","edition":"2016/12/19","id":"ITEM-1","issue":"3","issued":{"date-parts":[["2017","3"]]},"language":"eng","page":"604-610","publisher":"Oxford University Press","title":"Differential gene expression profiling of matched primary renal cell carcinoma and metastases reveals upregulation of extracellular matrix genes","type":"article-journal","volume":"28"},"uris":["http://www.mendeley.com/documents/?uuid=00ecb413-a4f9-42f0-8095-94675a99dfc8"]}],"mendeley":{"formattedCitation":"[1]","manualFormatting":"[5]","plainTextFormattedCitation":"[1]"},"properties":{"noteIndex":0},"schema":"https://github.com/citation-style-language/schema/raw/master/csl-citation.json"}</w:instrText>
      </w:r>
      <w:r w:rsidR="00CA21E8">
        <w:rPr>
          <w:rFonts w:ascii="Arial" w:hAnsi="Arial" w:cs="Arial"/>
          <w:color w:val="000000"/>
        </w:rPr>
        <w:fldChar w:fldCharType="separate"/>
      </w:r>
      <w:r w:rsidR="00CA21E8">
        <w:rPr>
          <w:rFonts w:ascii="Arial" w:hAnsi="Arial" w:cs="Arial"/>
          <w:noProof/>
          <w:color w:val="000000"/>
        </w:rPr>
        <w:t>[5</w:t>
      </w:r>
      <w:r w:rsidR="00CA21E8" w:rsidRPr="00CA21E8">
        <w:rPr>
          <w:rFonts w:ascii="Arial" w:hAnsi="Arial" w:cs="Arial"/>
          <w:noProof/>
          <w:color w:val="000000"/>
        </w:rPr>
        <w:t>]</w:t>
      </w:r>
      <w:r w:rsidR="00CA21E8">
        <w:rPr>
          <w:rFonts w:ascii="Arial" w:hAnsi="Arial" w:cs="Arial"/>
          <w:color w:val="000000"/>
        </w:rPr>
        <w:fldChar w:fldCharType="end"/>
      </w:r>
      <w:r w:rsidRPr="005B3BCA">
        <w:rPr>
          <w:rFonts w:ascii="Arial" w:hAnsi="Arial" w:cs="Arial"/>
          <w:color w:val="000000"/>
        </w:rPr>
        <w:t xml:space="preserve">, we tested the activity of SBI-183 in a MDA-MB-231 TNBC mouse model. After luciferase expressing MDA-MB-231 tumors were established for 7 days, SBI-183 </w:t>
      </w:r>
      <w:r w:rsidRPr="005B3BCA">
        <w:rPr>
          <w:rFonts w:ascii="Arial" w:hAnsi="Arial" w:cs="Arial"/>
        </w:rPr>
        <w:t>or vehicle control</w:t>
      </w:r>
      <w:r w:rsidRPr="005B3BCA">
        <w:rPr>
          <w:rFonts w:ascii="Arial" w:hAnsi="Arial" w:cs="Arial"/>
          <w:color w:val="000000"/>
        </w:rPr>
        <w:t xml:space="preserve"> was </w:t>
      </w:r>
      <w:r w:rsidRPr="005B3BCA">
        <w:rPr>
          <w:rFonts w:ascii="Arial" w:hAnsi="Arial" w:cs="Arial"/>
        </w:rPr>
        <w:t>orally administered to mice daily (100</w:t>
      </w:r>
      <w:r w:rsidR="00321E46">
        <w:rPr>
          <w:rFonts w:ascii="Arial" w:hAnsi="Arial" w:cs="Arial"/>
        </w:rPr>
        <w:t xml:space="preserve"> </w:t>
      </w:r>
      <w:r w:rsidRPr="005B3BCA">
        <w:rPr>
          <w:rFonts w:ascii="Arial" w:hAnsi="Arial" w:cs="Arial"/>
        </w:rPr>
        <w:t>mg/kg). Bioluminescence of lung metastases were quantified ex vivo upon termination of the experiment. In this metastatic model, there was no difference in primary tumor growth, but a 76% difference was observed in lung metastasis between vehicle and SBI-183-treated mice as m</w:t>
      </w:r>
      <w:r>
        <w:rPr>
          <w:rFonts w:ascii="Arial" w:hAnsi="Arial" w:cs="Arial"/>
        </w:rPr>
        <w:t>easured by lung radiance (S. Fig. 4</w:t>
      </w:r>
      <w:r w:rsidRPr="005B3BCA">
        <w:rPr>
          <w:rFonts w:ascii="Arial" w:hAnsi="Arial" w:cs="Arial"/>
        </w:rPr>
        <w:t>). Additionally, on day 25 of the study, one mouse in the control group was moribund and humanely terminated, and another in the control group was found dead on day 28. These two mice were not analyzed for lung metastasis by mean lung radiance, but presumably died due to tumor g</w:t>
      </w:r>
      <w:r>
        <w:rPr>
          <w:rFonts w:ascii="Arial" w:hAnsi="Arial" w:cs="Arial"/>
        </w:rPr>
        <w:t>rowth.</w:t>
      </w:r>
      <w:r w:rsidRPr="005B3BCA">
        <w:rPr>
          <w:rFonts w:ascii="Arial" w:hAnsi="Arial" w:cs="Arial"/>
        </w:rPr>
        <w:t xml:space="preserve"> This result suggests that in the highly metastatic MDA-MB-231 model, SBI-183 suppresses lung metastasis of a triple negative breast cancer. </w:t>
      </w:r>
    </w:p>
    <w:p w14:paraId="04F4217C" w14:textId="015BF4E1" w:rsidR="008F1D96" w:rsidRPr="005B3BCA" w:rsidRDefault="008F1D96" w:rsidP="008F1D96">
      <w:pPr>
        <w:spacing w:line="276" w:lineRule="auto"/>
        <w:rPr>
          <w:rFonts w:ascii="Arial" w:eastAsia="Times New Roman" w:hAnsi="Arial" w:cs="Arial"/>
          <w:i/>
          <w:color w:val="000000"/>
          <w:u w:val="single"/>
        </w:rPr>
      </w:pPr>
      <w:r w:rsidRPr="005B3BCA">
        <w:rPr>
          <w:rFonts w:ascii="Arial" w:hAnsi="Arial" w:cs="Arial"/>
        </w:rPr>
        <w:lastRenderedPageBreak/>
        <w:t xml:space="preserve"> </w:t>
      </w:r>
      <w:r w:rsidR="00157B40">
        <w:rPr>
          <w:rFonts w:ascii="Arial" w:hAnsi="Arial" w:cs="Arial"/>
          <w:noProof/>
        </w:rPr>
        <w:drawing>
          <wp:inline distT="0" distB="0" distL="0" distR="0" wp14:anchorId="125765FF" wp14:editId="267BAD67">
            <wp:extent cx="3874384" cy="2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Fig. 4.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2170" cy="2796433"/>
                    </a:xfrm>
                    <a:prstGeom prst="rect">
                      <a:avLst/>
                    </a:prstGeom>
                  </pic:spPr>
                </pic:pic>
              </a:graphicData>
            </a:graphic>
          </wp:inline>
        </w:drawing>
      </w:r>
      <w:r w:rsidRPr="005B3BCA">
        <w:rPr>
          <w:rFonts w:ascii="Arial" w:hAnsi="Arial" w:cs="Arial"/>
        </w:rPr>
        <w:br/>
      </w:r>
      <w:r>
        <w:rPr>
          <w:rFonts w:ascii="Arial" w:eastAsia="Libian SC Regular" w:hAnsi="Arial" w:cs="Arial"/>
          <w:b/>
        </w:rPr>
        <w:t>Supplementary Figure 4.</w:t>
      </w:r>
      <w:r w:rsidRPr="005B3BCA">
        <w:rPr>
          <w:rFonts w:ascii="Arial" w:eastAsia="Libian SC Regular" w:hAnsi="Arial" w:cs="Arial"/>
        </w:rPr>
        <w:t xml:space="preserve"> SBI-183 reduces lung metastasis </w:t>
      </w:r>
      <w:r w:rsidRPr="005B3BCA">
        <w:rPr>
          <w:rFonts w:ascii="Arial" w:eastAsia="Libian SC Regular" w:hAnsi="Arial" w:cs="Arial"/>
          <w:i/>
        </w:rPr>
        <w:t>in vivo</w:t>
      </w:r>
      <w:r w:rsidRPr="005B3BCA">
        <w:rPr>
          <w:rFonts w:ascii="Arial" w:eastAsia="Libian SC Regular" w:hAnsi="Arial" w:cs="Arial"/>
        </w:rPr>
        <w:t>. Daily treatment with SBI-183</w:t>
      </w:r>
      <w:r>
        <w:rPr>
          <w:rFonts w:ascii="Arial" w:eastAsia="Libian SC Regular" w:hAnsi="Arial" w:cs="Arial"/>
        </w:rPr>
        <w:t xml:space="preserve"> (100</w:t>
      </w:r>
      <w:r w:rsidR="00321E46">
        <w:rPr>
          <w:rFonts w:ascii="Arial" w:eastAsia="Libian SC Regular" w:hAnsi="Arial" w:cs="Arial"/>
        </w:rPr>
        <w:t xml:space="preserve"> </w:t>
      </w:r>
      <w:r>
        <w:rPr>
          <w:rFonts w:ascii="Arial" w:eastAsia="Libian SC Regular" w:hAnsi="Arial" w:cs="Arial"/>
        </w:rPr>
        <w:t>mg/kg)</w:t>
      </w:r>
      <w:r w:rsidRPr="005B3BCA">
        <w:rPr>
          <w:rFonts w:ascii="Arial" w:eastAsia="Libian SC Regular" w:hAnsi="Arial" w:cs="Arial"/>
        </w:rPr>
        <w:t xml:space="preserve"> resulted in a 76% decrease in lung metastasis of triple negative MDA-MB-231 breast cancer cells as determined by bioluminescence imaging. Twelve mice per group were utilized for this experiment. In the Vehicle group, mouse 1 was a moribund sacrifice (day 25) and mouse 8 was found dead (day 28). Percentage of decrease was calculated with the following formula: 100-((Average SBI-183)</w:t>
      </w:r>
      <w:proofErr w:type="gramStart"/>
      <w:r w:rsidRPr="005B3BCA">
        <w:rPr>
          <w:rFonts w:ascii="Arial" w:eastAsia="Libian SC Regular" w:hAnsi="Arial" w:cs="Arial"/>
        </w:rPr>
        <w:t>/(</w:t>
      </w:r>
      <w:proofErr w:type="gramEnd"/>
      <w:r w:rsidRPr="005B3BCA">
        <w:rPr>
          <w:rFonts w:ascii="Arial" w:eastAsia="Libian SC Regular" w:hAnsi="Arial" w:cs="Arial"/>
        </w:rPr>
        <w:t xml:space="preserve">Average Vehicle))x100. </w:t>
      </w:r>
      <w:r>
        <w:rPr>
          <w:rFonts w:ascii="Arial" w:eastAsia="Libian SC Regular" w:hAnsi="Arial" w:cs="Arial"/>
        </w:rPr>
        <w:t xml:space="preserve">Error bars represent SEM. </w:t>
      </w:r>
      <w:r w:rsidRPr="005B3BCA">
        <w:rPr>
          <w:rFonts w:ascii="Arial" w:eastAsia="Libian SC Regular" w:hAnsi="Arial" w:cs="Arial"/>
        </w:rPr>
        <w:t xml:space="preserve">Significance was determined using </w:t>
      </w:r>
      <w:r w:rsidR="00CA21E8">
        <w:rPr>
          <w:rFonts w:ascii="Arial" w:eastAsia="Libian SC Regular" w:hAnsi="Arial" w:cs="Arial"/>
        </w:rPr>
        <w:t xml:space="preserve">Welch’s </w:t>
      </w:r>
      <w:r w:rsidRPr="005B3BCA">
        <w:rPr>
          <w:rFonts w:ascii="Arial" w:eastAsia="Libian SC Regular" w:hAnsi="Arial" w:cs="Arial"/>
        </w:rPr>
        <w:t>t-test. P = .197</w:t>
      </w:r>
    </w:p>
    <w:p w14:paraId="24B54287" w14:textId="77777777" w:rsidR="007B37CB" w:rsidRDefault="007B37CB"/>
    <w:sectPr w:rsidR="007B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ibian SC Regular">
    <w:charset w:val="86"/>
    <w:family w:val="auto"/>
    <w:pitch w:val="variable"/>
    <w:sig w:usb0="00000001" w:usb1="080F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6"/>
    <w:rsid w:val="0009750E"/>
    <w:rsid w:val="00157B40"/>
    <w:rsid w:val="001F3B2C"/>
    <w:rsid w:val="002F2A16"/>
    <w:rsid w:val="00321E46"/>
    <w:rsid w:val="00372EE9"/>
    <w:rsid w:val="004B2CA4"/>
    <w:rsid w:val="00583614"/>
    <w:rsid w:val="00635D71"/>
    <w:rsid w:val="00733665"/>
    <w:rsid w:val="007B37CB"/>
    <w:rsid w:val="008B33EA"/>
    <w:rsid w:val="008F1D96"/>
    <w:rsid w:val="00986B3A"/>
    <w:rsid w:val="009A68EC"/>
    <w:rsid w:val="00A10655"/>
    <w:rsid w:val="00A35A05"/>
    <w:rsid w:val="00CA21E8"/>
    <w:rsid w:val="00E21E73"/>
    <w:rsid w:val="00FA1C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0350"/>
  <w15:chartTrackingRefBased/>
  <w15:docId w15:val="{59565E1A-A6CA-4230-8385-E604087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655"/>
    <w:rPr>
      <w:sz w:val="16"/>
      <w:szCs w:val="16"/>
    </w:rPr>
  </w:style>
  <w:style w:type="paragraph" w:styleId="CommentText">
    <w:name w:val="annotation text"/>
    <w:basedOn w:val="Normal"/>
    <w:link w:val="CommentTextChar"/>
    <w:uiPriority w:val="99"/>
    <w:semiHidden/>
    <w:unhideWhenUsed/>
    <w:rsid w:val="00A10655"/>
    <w:pPr>
      <w:spacing w:line="240" w:lineRule="auto"/>
    </w:pPr>
    <w:rPr>
      <w:sz w:val="20"/>
      <w:szCs w:val="20"/>
    </w:rPr>
  </w:style>
  <w:style w:type="character" w:customStyle="1" w:styleId="CommentTextChar">
    <w:name w:val="Comment Text Char"/>
    <w:basedOn w:val="DefaultParagraphFont"/>
    <w:link w:val="CommentText"/>
    <w:uiPriority w:val="99"/>
    <w:semiHidden/>
    <w:rsid w:val="00A10655"/>
    <w:rPr>
      <w:sz w:val="20"/>
      <w:szCs w:val="20"/>
    </w:rPr>
  </w:style>
  <w:style w:type="paragraph" w:styleId="CommentSubject">
    <w:name w:val="annotation subject"/>
    <w:basedOn w:val="CommentText"/>
    <w:next w:val="CommentText"/>
    <w:link w:val="CommentSubjectChar"/>
    <w:uiPriority w:val="99"/>
    <w:semiHidden/>
    <w:unhideWhenUsed/>
    <w:rsid w:val="00A10655"/>
    <w:rPr>
      <w:b/>
      <w:bCs/>
    </w:rPr>
  </w:style>
  <w:style w:type="character" w:customStyle="1" w:styleId="CommentSubjectChar">
    <w:name w:val="Comment Subject Char"/>
    <w:basedOn w:val="CommentTextChar"/>
    <w:link w:val="CommentSubject"/>
    <w:uiPriority w:val="99"/>
    <w:semiHidden/>
    <w:rsid w:val="00A10655"/>
    <w:rPr>
      <w:b/>
      <w:bCs/>
      <w:sz w:val="20"/>
      <w:szCs w:val="20"/>
    </w:rPr>
  </w:style>
  <w:style w:type="paragraph" w:styleId="BalloonText">
    <w:name w:val="Balloon Text"/>
    <w:basedOn w:val="Normal"/>
    <w:link w:val="BalloonTextChar"/>
    <w:uiPriority w:val="99"/>
    <w:semiHidden/>
    <w:unhideWhenUsed/>
    <w:rsid w:val="00A10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94205">
      <w:bodyDiv w:val="1"/>
      <w:marLeft w:val="0"/>
      <w:marRight w:val="0"/>
      <w:marTop w:val="0"/>
      <w:marBottom w:val="0"/>
      <w:divBdr>
        <w:top w:val="none" w:sz="0" w:space="0" w:color="auto"/>
        <w:left w:val="none" w:sz="0" w:space="0" w:color="auto"/>
        <w:bottom w:val="none" w:sz="0" w:space="0" w:color="auto"/>
        <w:right w:val="none" w:sz="0" w:space="0" w:color="auto"/>
      </w:divBdr>
    </w:div>
    <w:div w:id="20870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BE6E-0F56-4EDC-A5DE-28C4BBAE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CHS/CONHI</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alfifiel</dc:creator>
  <cp:keywords/>
  <dc:description/>
  <cp:lastModifiedBy>alfifiel</cp:lastModifiedBy>
  <cp:revision>12</cp:revision>
  <dcterms:created xsi:type="dcterms:W3CDTF">2019-03-04T15:16:00Z</dcterms:created>
  <dcterms:modified xsi:type="dcterms:W3CDTF">2019-09-10T23:40:00Z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1755883c-2432-3c35-b60c-340d7a34c4a0</vt:lpwstr>
  </property>
  <property fmtid="{D5CDD505-2E9C-101B-9397-08002B2CF9AE}" pid="24" name="Mendeley Citation Style_1">
    <vt:lpwstr>http://www.zotero.org/styles/ieee</vt:lpwstr>
  </property>
</Properties>
</file>