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B5A362" w14:textId="77777777" w:rsidR="003001AA" w:rsidRPr="0034544C" w:rsidRDefault="003001AA" w:rsidP="0034544C">
      <w:pPr>
        <w:autoSpaceDE w:val="0"/>
        <w:autoSpaceDN w:val="0"/>
        <w:adjustRightInd w:val="0"/>
        <w:spacing w:after="0"/>
        <w:jc w:val="both"/>
        <w:rPr>
          <w:rFonts w:eastAsiaTheme="minorHAnsi" w:cs="Times New Roman"/>
          <w:b/>
          <w:bCs/>
          <w:sz w:val="28"/>
          <w:szCs w:val="28"/>
          <w:u w:val="single"/>
        </w:rPr>
      </w:pPr>
      <w:bookmarkStart w:id="0" w:name="_GoBack"/>
      <w:bookmarkEnd w:id="0"/>
    </w:p>
    <w:p w14:paraId="5849CE60" w14:textId="7B8791A1" w:rsidR="003001AA" w:rsidRDefault="003001AA" w:rsidP="0034544C">
      <w:pPr>
        <w:autoSpaceDE w:val="0"/>
        <w:autoSpaceDN w:val="0"/>
        <w:adjustRightInd w:val="0"/>
        <w:spacing w:after="0"/>
        <w:jc w:val="both"/>
        <w:rPr>
          <w:rFonts w:eastAsiaTheme="minorHAnsi" w:cs="Times New Roman"/>
          <w:b/>
          <w:bCs/>
          <w:sz w:val="28"/>
          <w:szCs w:val="28"/>
          <w:u w:val="single"/>
          <w:lang w:val="en-IN"/>
        </w:rPr>
      </w:pPr>
      <w:r w:rsidRPr="0034544C">
        <w:rPr>
          <w:rFonts w:eastAsiaTheme="minorHAnsi" w:cs="Times New Roman"/>
          <w:b/>
          <w:bCs/>
          <w:sz w:val="28"/>
          <w:szCs w:val="28"/>
          <w:u w:val="single"/>
          <w:lang w:val="en-IN"/>
        </w:rPr>
        <w:t>Supplement</w:t>
      </w:r>
      <w:r w:rsidR="00285B40">
        <w:rPr>
          <w:rFonts w:eastAsiaTheme="minorHAnsi" w:cs="Times New Roman"/>
          <w:b/>
          <w:bCs/>
          <w:sz w:val="28"/>
          <w:szCs w:val="28"/>
          <w:u w:val="single"/>
          <w:lang w:val="en-IN"/>
        </w:rPr>
        <w:t xml:space="preserve">ary </w:t>
      </w:r>
      <w:r w:rsidRPr="0034544C">
        <w:rPr>
          <w:rFonts w:eastAsiaTheme="minorHAnsi" w:cs="Times New Roman"/>
          <w:b/>
          <w:bCs/>
          <w:sz w:val="28"/>
          <w:szCs w:val="28"/>
          <w:u w:val="single"/>
          <w:lang w:val="en-IN"/>
        </w:rPr>
        <w:t>figures:</w:t>
      </w:r>
    </w:p>
    <w:p w14:paraId="3E01703A" w14:textId="77777777" w:rsidR="0034544C" w:rsidRPr="0034544C" w:rsidRDefault="0034544C" w:rsidP="0034544C">
      <w:pPr>
        <w:autoSpaceDE w:val="0"/>
        <w:autoSpaceDN w:val="0"/>
        <w:adjustRightInd w:val="0"/>
        <w:spacing w:after="0"/>
        <w:jc w:val="both"/>
        <w:rPr>
          <w:rFonts w:eastAsiaTheme="minorHAnsi" w:cs="Times New Roman"/>
          <w:b/>
          <w:bCs/>
          <w:sz w:val="28"/>
          <w:szCs w:val="28"/>
          <w:u w:val="single"/>
          <w:lang w:val="en-IN"/>
        </w:rPr>
      </w:pPr>
    </w:p>
    <w:p w14:paraId="227F28AC" w14:textId="1AEAB664" w:rsidR="003001AA" w:rsidRDefault="00031191" w:rsidP="008A00AD">
      <w:pPr>
        <w:autoSpaceDE w:val="0"/>
        <w:autoSpaceDN w:val="0"/>
        <w:adjustRightInd w:val="0"/>
        <w:spacing w:after="0"/>
        <w:jc w:val="both"/>
        <w:rPr>
          <w:rFonts w:eastAsiaTheme="minorHAnsi" w:cs="Times New Roman"/>
          <w:b/>
          <w:bCs/>
          <w:sz w:val="24"/>
          <w:szCs w:val="24"/>
          <w:lang w:val="en-IN"/>
        </w:rPr>
      </w:pPr>
      <w:r>
        <w:rPr>
          <w:rFonts w:eastAsiaTheme="minorHAnsi" w:cs="Times New Roman"/>
          <w:b/>
          <w:bCs/>
          <w:noProof/>
          <w:sz w:val="24"/>
          <w:szCs w:val="24"/>
          <w:lang w:val="en-IN"/>
        </w:rPr>
        <w:drawing>
          <wp:inline distT="0" distB="0" distL="0" distR="0" wp14:anchorId="4AC2E1CC" wp14:editId="234AF8E1">
            <wp:extent cx="5943600" cy="33432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CT Figure S1.tiff"/>
                    <pic:cNvPicPr/>
                  </pic:nvPicPr>
                  <pic:blipFill>
                    <a:blip r:embed="rId7">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7F5B686D" w14:textId="77777777" w:rsidR="002B17C1" w:rsidRPr="006F4233" w:rsidRDefault="002B17C1" w:rsidP="003001AA">
      <w:pPr>
        <w:autoSpaceDE w:val="0"/>
        <w:autoSpaceDN w:val="0"/>
        <w:adjustRightInd w:val="0"/>
        <w:spacing w:after="0"/>
        <w:ind w:left="720"/>
        <w:jc w:val="both"/>
        <w:rPr>
          <w:rFonts w:eastAsiaTheme="minorHAnsi" w:cs="Times New Roman"/>
          <w:b/>
          <w:bCs/>
          <w:sz w:val="24"/>
          <w:szCs w:val="24"/>
          <w:lang w:val="en-IN"/>
        </w:rPr>
      </w:pPr>
    </w:p>
    <w:p w14:paraId="03480244" w14:textId="77777777" w:rsidR="003001AA" w:rsidRPr="006F4233" w:rsidRDefault="003001AA" w:rsidP="0034544C">
      <w:pPr>
        <w:autoSpaceDE w:val="0"/>
        <w:autoSpaceDN w:val="0"/>
        <w:adjustRightInd w:val="0"/>
        <w:spacing w:after="0"/>
        <w:jc w:val="both"/>
        <w:rPr>
          <w:rFonts w:eastAsiaTheme="minorHAnsi" w:cs="Times New Roman"/>
          <w:b/>
          <w:bCs/>
          <w:sz w:val="24"/>
          <w:szCs w:val="24"/>
          <w:lang w:val="en-IN"/>
        </w:rPr>
      </w:pPr>
      <w:r>
        <w:rPr>
          <w:rFonts w:eastAsiaTheme="minorHAnsi" w:cs="Times New Roman"/>
          <w:b/>
          <w:bCs/>
          <w:sz w:val="24"/>
          <w:szCs w:val="24"/>
          <w:lang w:val="en-IN"/>
        </w:rPr>
        <w:t xml:space="preserve">Supplementary </w:t>
      </w:r>
      <w:r w:rsidRPr="006F4233">
        <w:rPr>
          <w:rFonts w:eastAsiaTheme="minorHAnsi" w:cs="Times New Roman"/>
          <w:b/>
          <w:bCs/>
          <w:sz w:val="24"/>
          <w:szCs w:val="24"/>
          <w:lang w:val="en-IN"/>
        </w:rPr>
        <w:t xml:space="preserve">Figure </w:t>
      </w:r>
      <w:r>
        <w:rPr>
          <w:rFonts w:eastAsiaTheme="minorHAnsi" w:cs="Times New Roman"/>
          <w:b/>
          <w:bCs/>
          <w:sz w:val="24"/>
          <w:szCs w:val="24"/>
          <w:lang w:val="en-IN"/>
        </w:rPr>
        <w:t>S</w:t>
      </w:r>
      <w:r w:rsidRPr="006F4233">
        <w:rPr>
          <w:rFonts w:eastAsiaTheme="minorHAnsi" w:cs="Times New Roman"/>
          <w:b/>
          <w:bCs/>
          <w:sz w:val="24"/>
          <w:szCs w:val="24"/>
          <w:lang w:val="en-IN"/>
        </w:rPr>
        <w:t>1</w:t>
      </w:r>
    </w:p>
    <w:p w14:paraId="7C8B8B85" w14:textId="46903951" w:rsidR="003001AA" w:rsidRPr="00C73BFD" w:rsidRDefault="000F1364" w:rsidP="000E0AE0">
      <w:pPr>
        <w:pStyle w:val="ListParagraph"/>
        <w:autoSpaceDE w:val="0"/>
        <w:autoSpaceDN w:val="0"/>
        <w:adjustRightInd w:val="0"/>
        <w:spacing w:after="0"/>
        <w:ind w:left="0"/>
        <w:jc w:val="both"/>
        <w:rPr>
          <w:rFonts w:eastAsiaTheme="minorHAnsi" w:cs="Times New Roman"/>
          <w:bCs/>
          <w:sz w:val="24"/>
          <w:szCs w:val="24"/>
          <w:lang w:val="en-IN"/>
        </w:rPr>
      </w:pPr>
      <w:r>
        <w:rPr>
          <w:rFonts w:eastAsiaTheme="minorHAnsi" w:cs="Times New Roman"/>
          <w:bCs/>
          <w:sz w:val="24"/>
          <w:szCs w:val="24"/>
        </w:rPr>
        <w:t xml:space="preserve"> </w:t>
      </w:r>
      <w:r w:rsidR="000E0AE0" w:rsidRPr="00C73BFD">
        <w:rPr>
          <w:rFonts w:eastAsiaTheme="minorHAnsi" w:cs="Times New Roman"/>
          <w:bCs/>
          <w:sz w:val="24"/>
          <w:szCs w:val="24"/>
        </w:rPr>
        <w:t>(</w:t>
      </w:r>
      <w:r w:rsidR="00361532">
        <w:rPr>
          <w:rFonts w:eastAsiaTheme="minorHAnsi" w:cs="Times New Roman"/>
          <w:bCs/>
          <w:sz w:val="24"/>
          <w:szCs w:val="24"/>
        </w:rPr>
        <w:t>A</w:t>
      </w:r>
      <w:r w:rsidR="000E0AE0" w:rsidRPr="00C73BFD">
        <w:rPr>
          <w:rFonts w:eastAsiaTheme="minorHAnsi" w:cs="Times New Roman"/>
          <w:bCs/>
          <w:sz w:val="24"/>
          <w:szCs w:val="24"/>
        </w:rPr>
        <w:t xml:space="preserve">) </w:t>
      </w:r>
      <w:r w:rsidR="000E0AE0" w:rsidRPr="00C73BFD">
        <w:rPr>
          <w:rFonts w:eastAsiaTheme="minorHAnsi" w:cs="Times New Roman"/>
          <w:bCs/>
          <w:sz w:val="24"/>
          <w:szCs w:val="24"/>
          <w:lang w:val="en-IN"/>
        </w:rPr>
        <w:t>Immunoblot analysis of whole cell lysates of OVCAR4 and OVCAR8 cells treated with vehicle</w:t>
      </w:r>
      <w:r w:rsidR="00E37015">
        <w:rPr>
          <w:rFonts w:eastAsiaTheme="minorHAnsi" w:cs="Times New Roman"/>
          <w:bCs/>
          <w:sz w:val="24"/>
          <w:szCs w:val="24"/>
          <w:lang w:val="en-IN"/>
        </w:rPr>
        <w:t xml:space="preserve"> (DMSO)</w:t>
      </w:r>
      <w:r w:rsidR="000E0AE0" w:rsidRPr="00C73BFD">
        <w:rPr>
          <w:rFonts w:eastAsiaTheme="minorHAnsi" w:cs="Times New Roman"/>
          <w:bCs/>
          <w:sz w:val="24"/>
          <w:szCs w:val="24"/>
          <w:lang w:val="en-IN"/>
        </w:rPr>
        <w:t xml:space="preserve"> and verticillin A </w:t>
      </w:r>
      <w:r w:rsidR="00E37015">
        <w:rPr>
          <w:rFonts w:eastAsiaTheme="minorHAnsi" w:cs="Times New Roman"/>
          <w:bCs/>
          <w:sz w:val="24"/>
          <w:szCs w:val="24"/>
          <w:lang w:val="en-IN"/>
        </w:rPr>
        <w:t xml:space="preserve">(50 nM) </w:t>
      </w:r>
      <w:r w:rsidR="000E0AE0" w:rsidRPr="00C73BFD">
        <w:rPr>
          <w:rFonts w:eastAsiaTheme="minorHAnsi" w:cs="Times New Roman"/>
          <w:bCs/>
          <w:sz w:val="24"/>
          <w:szCs w:val="24"/>
          <w:lang w:val="en-IN"/>
        </w:rPr>
        <w:t>and probed for apoptotic marker (Bax). Actin was used as a loading control.</w:t>
      </w:r>
      <w:r w:rsidR="000E0AE0">
        <w:rPr>
          <w:rFonts w:eastAsiaTheme="minorHAnsi" w:cs="Times New Roman"/>
          <w:bCs/>
          <w:sz w:val="24"/>
          <w:szCs w:val="24"/>
          <w:lang w:val="en-IN"/>
        </w:rPr>
        <w:t xml:space="preserve"> </w:t>
      </w:r>
      <w:r w:rsidR="003001AA">
        <w:rPr>
          <w:rFonts w:eastAsiaTheme="minorHAnsi" w:cs="Times New Roman"/>
          <w:bCs/>
          <w:sz w:val="24"/>
          <w:szCs w:val="24"/>
          <w:lang w:val="en-IN"/>
        </w:rPr>
        <w:t>(</w:t>
      </w:r>
      <w:r w:rsidR="00361532">
        <w:rPr>
          <w:rFonts w:eastAsiaTheme="minorHAnsi" w:cs="Times New Roman"/>
          <w:bCs/>
          <w:sz w:val="24"/>
          <w:szCs w:val="24"/>
          <w:lang w:val="en-IN"/>
        </w:rPr>
        <w:t>B</w:t>
      </w:r>
      <w:r w:rsidR="003001AA">
        <w:rPr>
          <w:rFonts w:eastAsiaTheme="minorHAnsi" w:cs="Times New Roman"/>
          <w:bCs/>
          <w:sz w:val="24"/>
          <w:szCs w:val="24"/>
          <w:lang w:val="en-IN"/>
        </w:rPr>
        <w:t xml:space="preserve">) </w:t>
      </w:r>
      <w:r w:rsidR="003001AA" w:rsidRPr="00C73BFD">
        <w:rPr>
          <w:rFonts w:eastAsiaTheme="minorHAnsi" w:cs="Times New Roman"/>
          <w:bCs/>
          <w:sz w:val="24"/>
          <w:szCs w:val="24"/>
          <w:lang w:val="en-IN"/>
        </w:rPr>
        <w:t>OVCAR8 cells were treated with vehicle control (DMSO) and verticillin A (50 nM) for 24 hrs and 1x10</w:t>
      </w:r>
      <w:r w:rsidR="003001AA" w:rsidRPr="00C73BFD">
        <w:rPr>
          <w:rFonts w:eastAsiaTheme="minorHAnsi" w:cs="Times New Roman"/>
          <w:bCs/>
          <w:sz w:val="24"/>
          <w:szCs w:val="24"/>
          <w:vertAlign w:val="superscript"/>
          <w:lang w:val="en-IN"/>
        </w:rPr>
        <w:t xml:space="preserve">6 </w:t>
      </w:r>
      <w:r w:rsidR="003001AA" w:rsidRPr="00C73BFD">
        <w:rPr>
          <w:rFonts w:eastAsiaTheme="minorHAnsi" w:cs="Times New Roman"/>
          <w:bCs/>
          <w:sz w:val="24"/>
          <w:szCs w:val="24"/>
          <w:lang w:val="en-IN"/>
        </w:rPr>
        <w:t xml:space="preserve">cells were used for histone extraction. Graph represents differential expression mass spectrometry analysis of histone post-translational modifications. </w:t>
      </w:r>
      <w:r w:rsidR="003001AA" w:rsidRPr="00C73BFD">
        <w:rPr>
          <w:rFonts w:eastAsiaTheme="minorHAnsi" w:cs="Times New Roman"/>
          <w:bCs/>
          <w:sz w:val="24"/>
          <w:szCs w:val="24"/>
        </w:rPr>
        <w:t xml:space="preserve">Error bars represent standard deviation obtained from 3 technical replicates of each sample. </w:t>
      </w:r>
      <w:r w:rsidR="00361532">
        <w:rPr>
          <w:rFonts w:eastAsiaTheme="minorHAnsi" w:cs="Times New Roman"/>
          <w:bCs/>
          <w:sz w:val="24"/>
          <w:szCs w:val="24"/>
        </w:rPr>
        <w:t xml:space="preserve">(C) </w:t>
      </w:r>
      <w:r w:rsidR="00361532" w:rsidRPr="00555E04">
        <w:rPr>
          <w:rFonts w:eastAsiaTheme="minorHAnsi" w:cs="Times New Roman"/>
          <w:bCs/>
          <w:sz w:val="24"/>
          <w:szCs w:val="24"/>
        </w:rPr>
        <w:t>qRT-PCR validation of genes in apoptosis si</w:t>
      </w:r>
      <w:r w:rsidR="00361532" w:rsidRPr="00AB01C7">
        <w:rPr>
          <w:rFonts w:eastAsiaTheme="minorHAnsi" w:cs="Times New Roman"/>
          <w:bCs/>
          <w:sz w:val="24"/>
          <w:szCs w:val="24"/>
        </w:rPr>
        <w:t xml:space="preserve">gnaling </w:t>
      </w:r>
      <w:r w:rsidR="00361532" w:rsidRPr="00AB01C7">
        <w:rPr>
          <w:rFonts w:cs="Times New Roman"/>
          <w:color w:val="000000"/>
          <w:sz w:val="24"/>
          <w:szCs w:val="24"/>
        </w:rPr>
        <w:t>(</w:t>
      </w:r>
      <w:r w:rsidR="00361532" w:rsidRPr="00AB01C7">
        <w:rPr>
          <w:rFonts w:cs="Times New Roman"/>
          <w:i/>
          <w:color w:val="000000"/>
          <w:sz w:val="24"/>
          <w:szCs w:val="24"/>
        </w:rPr>
        <w:t>NFKB2</w:t>
      </w:r>
      <w:r w:rsidR="00361532" w:rsidRPr="00AB01C7">
        <w:rPr>
          <w:rFonts w:cs="Times New Roman"/>
          <w:color w:val="000000"/>
          <w:sz w:val="24"/>
          <w:szCs w:val="24"/>
        </w:rPr>
        <w:t>,</w:t>
      </w:r>
      <w:r w:rsidR="00361532" w:rsidRPr="00AB01C7">
        <w:rPr>
          <w:rFonts w:cs="Times New Roman"/>
          <w:i/>
          <w:color w:val="000000"/>
          <w:sz w:val="24"/>
          <w:szCs w:val="24"/>
        </w:rPr>
        <w:t xml:space="preserve"> RELB</w:t>
      </w:r>
      <w:r w:rsidR="00361532" w:rsidRPr="00AB01C7">
        <w:rPr>
          <w:rFonts w:cs="Times New Roman"/>
          <w:color w:val="000000"/>
          <w:sz w:val="24"/>
          <w:szCs w:val="24"/>
        </w:rPr>
        <w:t xml:space="preserve">) </w:t>
      </w:r>
      <w:r w:rsidR="00361532" w:rsidRPr="00555E04">
        <w:rPr>
          <w:rFonts w:eastAsiaTheme="minorHAnsi" w:cs="Times New Roman"/>
          <w:bCs/>
          <w:sz w:val="24"/>
          <w:szCs w:val="24"/>
        </w:rPr>
        <w:t xml:space="preserve">and oxidative stress response pathway </w:t>
      </w:r>
      <w:r w:rsidR="00361532" w:rsidRPr="00AB01C7">
        <w:rPr>
          <w:rFonts w:cs="Times New Roman"/>
          <w:color w:val="000000"/>
          <w:sz w:val="24"/>
          <w:szCs w:val="24"/>
        </w:rPr>
        <w:t>(</w:t>
      </w:r>
      <w:r w:rsidR="00361532" w:rsidRPr="00AB01C7">
        <w:rPr>
          <w:rFonts w:cs="Times New Roman"/>
          <w:i/>
          <w:color w:val="000000"/>
          <w:sz w:val="24"/>
          <w:szCs w:val="24"/>
        </w:rPr>
        <w:t xml:space="preserve">TXN, DUSP6 </w:t>
      </w:r>
      <w:r w:rsidR="00361532" w:rsidRPr="00AB01C7">
        <w:rPr>
          <w:rFonts w:cs="Times New Roman"/>
          <w:color w:val="000000"/>
          <w:sz w:val="24"/>
          <w:szCs w:val="24"/>
        </w:rPr>
        <w:t>and</w:t>
      </w:r>
      <w:r w:rsidR="00361532" w:rsidRPr="00AB01C7">
        <w:rPr>
          <w:rFonts w:cs="Times New Roman"/>
          <w:i/>
          <w:color w:val="000000"/>
          <w:sz w:val="24"/>
          <w:szCs w:val="24"/>
        </w:rPr>
        <w:t xml:space="preserve"> TXNRD1</w:t>
      </w:r>
      <w:r w:rsidR="00361532" w:rsidRPr="00AB01C7">
        <w:rPr>
          <w:rFonts w:cs="Times New Roman"/>
          <w:color w:val="000000"/>
          <w:sz w:val="24"/>
          <w:szCs w:val="24"/>
        </w:rPr>
        <w:t xml:space="preserve">) </w:t>
      </w:r>
      <w:r w:rsidR="00361532" w:rsidRPr="00555E04">
        <w:rPr>
          <w:rFonts w:eastAsiaTheme="minorHAnsi" w:cs="Times New Roman"/>
          <w:bCs/>
          <w:sz w:val="24"/>
          <w:szCs w:val="24"/>
        </w:rPr>
        <w:t xml:space="preserve">for OVCAR8 cells treated with </w:t>
      </w:r>
      <w:r w:rsidR="00361532" w:rsidRPr="00AB01C7">
        <w:rPr>
          <w:rFonts w:eastAsiaTheme="minorHAnsi" w:cs="Times New Roman"/>
          <w:bCs/>
          <w:sz w:val="24"/>
          <w:szCs w:val="24"/>
        </w:rPr>
        <w:t>vehicle control (DMSO) and verticillin A (50 nM) for 24 hrs.</w:t>
      </w:r>
      <w:r w:rsidR="00361532">
        <w:rPr>
          <w:rFonts w:eastAsiaTheme="minorHAnsi" w:cs="Times New Roman"/>
          <w:bCs/>
          <w:sz w:val="24"/>
          <w:szCs w:val="24"/>
        </w:rPr>
        <w:t xml:space="preserve"> </w:t>
      </w:r>
      <w:r w:rsidR="00361532">
        <w:rPr>
          <w:rFonts w:eastAsiaTheme="minorHAnsi" w:cs="Times New Roman"/>
          <w:sz w:val="24"/>
          <w:szCs w:val="24"/>
          <w:lang w:val="en-IN"/>
        </w:rPr>
        <w:t>Data represent mean ± SEM. Significance tested by Student’s t-test in comparison to vehicle control.</w:t>
      </w:r>
    </w:p>
    <w:p w14:paraId="10745C97" w14:textId="70DE7E3A" w:rsidR="003001AA" w:rsidRDefault="003001AA" w:rsidP="003001AA">
      <w:pPr>
        <w:autoSpaceDE w:val="0"/>
        <w:autoSpaceDN w:val="0"/>
        <w:adjustRightInd w:val="0"/>
        <w:spacing w:after="0"/>
        <w:jc w:val="both"/>
        <w:rPr>
          <w:rFonts w:eastAsiaTheme="minorHAnsi" w:cs="Times New Roman"/>
          <w:bCs/>
          <w:sz w:val="24"/>
          <w:szCs w:val="24"/>
          <w:lang w:val="en-IN"/>
        </w:rPr>
      </w:pPr>
    </w:p>
    <w:p w14:paraId="229D5CD4" w14:textId="12628985" w:rsidR="002B17C1" w:rsidRDefault="002B17C1" w:rsidP="003001AA">
      <w:pPr>
        <w:autoSpaceDE w:val="0"/>
        <w:autoSpaceDN w:val="0"/>
        <w:adjustRightInd w:val="0"/>
        <w:spacing w:after="0"/>
        <w:jc w:val="both"/>
        <w:rPr>
          <w:rFonts w:eastAsiaTheme="minorHAnsi" w:cs="Times New Roman"/>
          <w:bCs/>
          <w:sz w:val="24"/>
          <w:szCs w:val="24"/>
          <w:lang w:val="en-IN"/>
        </w:rPr>
      </w:pPr>
      <w:r>
        <w:rPr>
          <w:rFonts w:eastAsiaTheme="minorHAnsi" w:cs="Times New Roman"/>
          <w:bCs/>
          <w:noProof/>
          <w:sz w:val="24"/>
          <w:szCs w:val="24"/>
          <w:lang w:val="en-IN"/>
        </w:rPr>
        <w:lastRenderedPageBreak/>
        <w:drawing>
          <wp:inline distT="0" distB="0" distL="0" distR="0" wp14:anchorId="69425B8D" wp14:editId="29B192C0">
            <wp:extent cx="5956062" cy="3852333"/>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CT Figure S 2.jp2"/>
                    <pic:cNvPicPr/>
                  </pic:nvPicPr>
                  <pic:blipFill rotWithShape="1">
                    <a:blip r:embed="rId8">
                      <a:extLst>
                        <a:ext uri="{28A0092B-C50C-407E-A947-70E740481C1C}">
                          <a14:useLocalDpi xmlns:a14="http://schemas.microsoft.com/office/drawing/2010/main" val="0"/>
                        </a:ext>
                      </a:extLst>
                    </a:blip>
                    <a:srcRect l="1647" t="1767" r="5128" b="1286"/>
                    <a:stretch/>
                  </pic:blipFill>
                  <pic:spPr bwMode="auto">
                    <a:xfrm>
                      <a:off x="0" y="0"/>
                      <a:ext cx="5992906" cy="3876164"/>
                    </a:xfrm>
                    <a:prstGeom prst="rect">
                      <a:avLst/>
                    </a:prstGeom>
                    <a:ln>
                      <a:noFill/>
                    </a:ln>
                    <a:extLst>
                      <a:ext uri="{53640926-AAD7-44D8-BBD7-CCE9431645EC}">
                        <a14:shadowObscured xmlns:a14="http://schemas.microsoft.com/office/drawing/2010/main"/>
                      </a:ext>
                    </a:extLst>
                  </pic:spPr>
                </pic:pic>
              </a:graphicData>
            </a:graphic>
          </wp:inline>
        </w:drawing>
      </w:r>
    </w:p>
    <w:p w14:paraId="18B9F3A0" w14:textId="77777777" w:rsidR="0034544C" w:rsidRDefault="0034544C" w:rsidP="002B17C1">
      <w:pPr>
        <w:autoSpaceDE w:val="0"/>
        <w:autoSpaceDN w:val="0"/>
        <w:adjustRightInd w:val="0"/>
        <w:spacing w:after="0"/>
        <w:jc w:val="both"/>
        <w:rPr>
          <w:rFonts w:eastAsiaTheme="minorHAnsi" w:cs="Times New Roman"/>
          <w:b/>
          <w:bCs/>
          <w:sz w:val="24"/>
          <w:szCs w:val="24"/>
          <w:lang w:val="en-IN"/>
        </w:rPr>
      </w:pPr>
    </w:p>
    <w:p w14:paraId="5B10CD38" w14:textId="052933EE" w:rsidR="003001AA" w:rsidRPr="006F4233" w:rsidRDefault="003001AA" w:rsidP="002B17C1">
      <w:pPr>
        <w:autoSpaceDE w:val="0"/>
        <w:autoSpaceDN w:val="0"/>
        <w:adjustRightInd w:val="0"/>
        <w:spacing w:after="0"/>
        <w:jc w:val="both"/>
        <w:rPr>
          <w:rFonts w:eastAsiaTheme="minorHAnsi" w:cs="Times New Roman"/>
          <w:b/>
          <w:bCs/>
          <w:sz w:val="24"/>
          <w:szCs w:val="24"/>
          <w:lang w:val="en-IN"/>
        </w:rPr>
      </w:pPr>
      <w:r>
        <w:rPr>
          <w:rFonts w:eastAsiaTheme="minorHAnsi" w:cs="Times New Roman"/>
          <w:b/>
          <w:bCs/>
          <w:sz w:val="24"/>
          <w:szCs w:val="24"/>
          <w:lang w:val="en-IN"/>
        </w:rPr>
        <w:t xml:space="preserve">Supplementary </w:t>
      </w:r>
      <w:r w:rsidRPr="006F4233">
        <w:rPr>
          <w:rFonts w:eastAsiaTheme="minorHAnsi" w:cs="Times New Roman"/>
          <w:b/>
          <w:bCs/>
          <w:sz w:val="24"/>
          <w:szCs w:val="24"/>
          <w:lang w:val="en-IN"/>
        </w:rPr>
        <w:t xml:space="preserve">Figure </w:t>
      </w:r>
      <w:r>
        <w:rPr>
          <w:rFonts w:eastAsiaTheme="minorHAnsi" w:cs="Times New Roman"/>
          <w:b/>
          <w:bCs/>
          <w:sz w:val="24"/>
          <w:szCs w:val="24"/>
          <w:lang w:val="en-IN"/>
        </w:rPr>
        <w:t>S2</w:t>
      </w:r>
    </w:p>
    <w:p w14:paraId="2E9DB84F" w14:textId="745EBAAA" w:rsidR="003001AA" w:rsidRPr="002B17C1" w:rsidRDefault="0034544C" w:rsidP="0034544C">
      <w:pPr>
        <w:pStyle w:val="ListParagraph"/>
        <w:autoSpaceDE w:val="0"/>
        <w:autoSpaceDN w:val="0"/>
        <w:adjustRightInd w:val="0"/>
        <w:spacing w:after="0"/>
        <w:ind w:left="0"/>
        <w:jc w:val="both"/>
        <w:rPr>
          <w:rFonts w:eastAsiaTheme="minorHAnsi" w:cs="Times New Roman"/>
          <w:bCs/>
          <w:sz w:val="24"/>
          <w:szCs w:val="24"/>
        </w:rPr>
      </w:pPr>
      <w:r>
        <w:rPr>
          <w:rFonts w:eastAsiaTheme="minorHAnsi" w:cs="Times New Roman"/>
          <w:bCs/>
          <w:sz w:val="24"/>
          <w:szCs w:val="24"/>
        </w:rPr>
        <w:t>(A)V</w:t>
      </w:r>
      <w:r w:rsidR="003001AA" w:rsidRPr="002B17C1">
        <w:rPr>
          <w:rFonts w:eastAsiaTheme="minorHAnsi" w:cs="Times New Roman"/>
          <w:bCs/>
          <w:sz w:val="24"/>
          <w:szCs w:val="24"/>
        </w:rPr>
        <w:t xml:space="preserve">erticillin A-eNP synthesis followed a modified procedure developed by Colby </w:t>
      </w:r>
      <w:r w:rsidR="003001AA" w:rsidRPr="002B17C1">
        <w:rPr>
          <w:rFonts w:eastAsiaTheme="minorHAnsi" w:cs="Times New Roman"/>
          <w:bCs/>
          <w:i/>
          <w:iCs/>
          <w:sz w:val="24"/>
          <w:szCs w:val="24"/>
        </w:rPr>
        <w:t>et al</w:t>
      </w:r>
      <w:r w:rsidR="00B95C5E">
        <w:rPr>
          <w:rFonts w:eastAsiaTheme="minorHAnsi" w:cs="Times New Roman"/>
          <w:bCs/>
          <w:i/>
          <w:iCs/>
          <w:sz w:val="24"/>
          <w:szCs w:val="24"/>
        </w:rPr>
        <w:t xml:space="preserve"> </w:t>
      </w:r>
      <w:r w:rsidR="003001AA" w:rsidRPr="002B17C1">
        <w:rPr>
          <w:rFonts w:eastAsiaTheme="minorHAnsi" w:cs="Times New Roman"/>
          <w:bCs/>
          <w:i/>
          <w:iCs/>
          <w:sz w:val="24"/>
          <w:szCs w:val="24"/>
        </w:rPr>
        <w:fldChar w:fldCharType="begin"/>
      </w:r>
      <w:r w:rsidR="00B95C5E">
        <w:rPr>
          <w:rFonts w:eastAsiaTheme="minorHAnsi" w:cs="Times New Roman"/>
          <w:bCs/>
          <w:i/>
          <w:iCs/>
          <w:sz w:val="24"/>
          <w:szCs w:val="24"/>
        </w:rPr>
        <w:instrText xml:space="preserve"> ADDIN ZOTERO_ITEM CSL_CITATION {"citationID":"3HVy3mWq","properties":{"formattedCitation":"(1,2)","plainCitation":"(1,2)","noteIndex":0},"citationItems":[{"id":3796,"uris":["http://zotero.org/users/local/a2VBzk0X/items/BA652YTJ"],"uri":["http://zotero.org/users/local/a2VBzk0X/items/BA652YTJ"],"itemData":{"id":3796,"type":"article-journal","title":"Nanoparticle drug-delivery systems for peritoneal cancers: a case study of the design, characterization and development of the expansile nanoparticle: Nanoparticle drug-delivery systems for peritoneal cancers","container-title":"Wiley Interdisciplinary Reviews: Nanomedicine and Nanobiotechnology","page":"e1451","volume":"9","issue":"3","source":"Crossref","DOI":"10.1002/wnan.1451","ISSN":"19395116","shortTitle":"Nanoparticle drug-delivery systems for peritoneal cancers","language":"en","author":[{"family":"Colby","given":"Aaron H."},{"family":"Oberlies","given":"Nicholas H."},{"family":"Pearce","given":"Cedric J."},{"family":"Herrera","given":"Victoria L.M."},{"family":"Colson","given":"Yolonda L."},{"family":"Grinstaff","given":"Mark W."}],"issued":{"date-parts":[["2017",5]]}}},{"id":3798,"uris":["http://zotero.org/users/local/a2VBzk0X/items/N2483FXF"],"uri":["http://zotero.org/users/local/a2VBzk0X/items/N2483FXF"],"itemData":{"id":3798,"type":"article-journal","title":"Nanoparticle tumor localization, disruption of autophagosomal trafficking, and prolonged drug delivery improve survival in peritoneal mesothelioma","container-title":"Biomaterials","page":"175-186","volume":"102","source":"ScienceDirect","abstract":"The treatment outcomes for malignant peritoneal mesothelioma are poor and associated with high co-morbidities due to suboptimal drug delivery. Thus, there is an unmet need for new approaches that concentrate drug at the tumor for a prolonged period of time yielding enhanced antitumor efficacy and improved metrics of treatment success. A paclitaxel-loaded pH-responsive expansile nanoparticle (PTX-eNP) system is described that addresses two unique challenges to improve the outcomes for peritoneal mesothelioma. First, following intraperitoneal administration, eNPs rapidly and specifically localize to tumors. The rate of eNP uptake by tumors is an order of magnitude faster than the rate of uptake in non-malignant cells; and, subsequent accumulation in autophagosomes and disruption of autophagosomal trafficking leads to prolonged intracellular retention of eNPs. The net effect of these combined mechanisms manifests as rapid localization to intraperitoneal tumors within 4 h of injection and persistent intratumoral retention for &gt;14 days. Second, the high tumor-specificity of PTX-eNPs leads to delivery of greater than 100 times higher concentrations of drug in tumors compared to PTX alone and this is maintained for at least seven days following administration. As a result, overall survival of animals with established mesothelioma more than doubled when animals were treated with multiple doses of PTX-eNPs compared to equivalent dosing with PTX or non-responsive PTX-loaded nanoparticles.","DOI":"10.1016/j.biomaterials.2016.06.031","ISSN":"0142-9612","journalAbbreviation":"Biomaterials","author":[{"family":"Liu","given":"Rong"},{"family":"Colby","given":"Aaron H."},{"family":"Gilmore","given":"Denis"},{"family":"Schulz","given":"Morgan"},{"family":"Zeng","given":"Jialiu"},{"family":"Padera","given":"Robert F."},{"family":"Shirihai","given":"Orian"},{"family":"Grinstaff","given":"Mark W."},{"family":"Colson","given":"Yolonda L."}],"issued":{"date-parts":[["2016",9,1]]}}}],"schema":"https://github.com/citation-style-language/schema/raw/master/csl-citation.json"} </w:instrText>
      </w:r>
      <w:r w:rsidR="003001AA" w:rsidRPr="002B17C1">
        <w:rPr>
          <w:rFonts w:eastAsiaTheme="minorHAnsi" w:cs="Times New Roman"/>
          <w:bCs/>
          <w:i/>
          <w:iCs/>
          <w:sz w:val="24"/>
          <w:szCs w:val="24"/>
        </w:rPr>
        <w:fldChar w:fldCharType="separate"/>
      </w:r>
      <w:r w:rsidR="00B95C5E">
        <w:rPr>
          <w:rFonts w:cs="Times New Roman"/>
          <w:sz w:val="24"/>
        </w:rPr>
        <w:t>(17,18)</w:t>
      </w:r>
      <w:r w:rsidR="003001AA" w:rsidRPr="002B17C1">
        <w:rPr>
          <w:rFonts w:eastAsiaTheme="minorHAnsi" w:cs="Times New Roman"/>
          <w:bCs/>
          <w:i/>
          <w:iCs/>
          <w:sz w:val="24"/>
          <w:szCs w:val="24"/>
        </w:rPr>
        <w:fldChar w:fldCharType="end"/>
      </w:r>
      <w:r w:rsidR="003001AA" w:rsidRPr="002B17C1">
        <w:rPr>
          <w:rFonts w:eastAsiaTheme="minorHAnsi" w:cs="Times New Roman"/>
          <w:bCs/>
          <w:sz w:val="24"/>
          <w:szCs w:val="24"/>
        </w:rPr>
        <w:t>.</w:t>
      </w:r>
      <w:r>
        <w:rPr>
          <w:rFonts w:eastAsiaTheme="minorHAnsi" w:cs="Times New Roman"/>
          <w:bCs/>
          <w:sz w:val="24"/>
          <w:szCs w:val="24"/>
        </w:rPr>
        <w:t xml:space="preserve"> </w:t>
      </w:r>
      <w:r w:rsidR="003001AA" w:rsidRPr="002B17C1">
        <w:rPr>
          <w:rFonts w:eastAsiaTheme="minorHAnsi" w:cs="Times New Roman"/>
          <w:bCs/>
          <w:sz w:val="24"/>
          <w:szCs w:val="24"/>
        </w:rPr>
        <w:t>The aqueous phase contains surfactant while the organic phase contains the pre-polymerized</w:t>
      </w:r>
      <w:r w:rsidR="00B95C5E">
        <w:rPr>
          <w:rFonts w:eastAsiaTheme="minorHAnsi" w:cs="Times New Roman"/>
          <w:bCs/>
          <w:sz w:val="24"/>
          <w:szCs w:val="24"/>
        </w:rPr>
        <w:t xml:space="preserve"> eNP </w:t>
      </w:r>
      <w:r w:rsidR="003001AA" w:rsidRPr="002B17C1">
        <w:rPr>
          <w:rFonts w:eastAsiaTheme="minorHAnsi" w:cs="Times New Roman"/>
          <w:bCs/>
          <w:sz w:val="24"/>
          <w:szCs w:val="24"/>
        </w:rPr>
        <w:t xml:space="preserve">polymer and verticillin A. This solution </w:t>
      </w:r>
      <w:r w:rsidR="007249F6">
        <w:rPr>
          <w:rFonts w:eastAsiaTheme="minorHAnsi" w:cs="Times New Roman"/>
          <w:bCs/>
          <w:sz w:val="24"/>
          <w:szCs w:val="24"/>
        </w:rPr>
        <w:t>wa</w:t>
      </w:r>
      <w:r w:rsidR="003001AA" w:rsidRPr="002B17C1">
        <w:rPr>
          <w:rFonts w:eastAsiaTheme="minorHAnsi" w:cs="Times New Roman"/>
          <w:bCs/>
          <w:sz w:val="24"/>
          <w:szCs w:val="24"/>
        </w:rPr>
        <w:t xml:space="preserve">s emulsified with a probe sonicator to create a suspension of organic phase droplets in the aqueous phase. The organic solvent </w:t>
      </w:r>
      <w:r w:rsidR="007249F6">
        <w:rPr>
          <w:rFonts w:eastAsiaTheme="minorHAnsi" w:cs="Times New Roman"/>
          <w:bCs/>
          <w:sz w:val="24"/>
          <w:szCs w:val="24"/>
        </w:rPr>
        <w:t>wa</w:t>
      </w:r>
      <w:r w:rsidR="003001AA" w:rsidRPr="002B17C1">
        <w:rPr>
          <w:rFonts w:eastAsiaTheme="minorHAnsi" w:cs="Times New Roman"/>
          <w:bCs/>
          <w:sz w:val="24"/>
          <w:szCs w:val="24"/>
        </w:rPr>
        <w:t>s evaporated, leaving behind verticillin A encapsulated inside eNPs. Finally, a last step of dialysis was done on the solution to eliminate the verticillin A molecules that escaped encapsulation during the sonication process. (B) Scanning electron micrograph of verticillin A expansile nanoparticles showing spherical particles of approximately 100 nm at pH 7.4. The right picture is a zoom in of a spot shown on the left picture. Scale bar</w:t>
      </w:r>
      <w:r w:rsidR="00146896">
        <w:rPr>
          <w:rFonts w:eastAsiaTheme="minorHAnsi" w:cs="Times New Roman"/>
          <w:bCs/>
          <w:sz w:val="24"/>
          <w:szCs w:val="24"/>
        </w:rPr>
        <w:t xml:space="preserve">: </w:t>
      </w:r>
      <w:r w:rsidR="003001AA" w:rsidRPr="002B17C1">
        <w:rPr>
          <w:rFonts w:eastAsiaTheme="minorHAnsi" w:cs="Times New Roman"/>
          <w:bCs/>
          <w:sz w:val="24"/>
          <w:szCs w:val="24"/>
        </w:rPr>
        <w:t>200 nm. (C) Calibration curve for verticillin A, as measured via UPLC-HRMS, using a Waters Acquity UPLC system coupled with a Thermo Q-Exactive Plus mass spectrometer. The instrument was operated under positive mode using selected ion monitoring (SIM) of verticillin A [(M+</w:t>
      </w:r>
      <w:proofErr w:type="gramStart"/>
      <w:r w:rsidR="003001AA" w:rsidRPr="002B17C1">
        <w:rPr>
          <w:rFonts w:eastAsiaTheme="minorHAnsi" w:cs="Times New Roman"/>
          <w:bCs/>
          <w:sz w:val="24"/>
          <w:szCs w:val="24"/>
        </w:rPr>
        <w:t>H)</w:t>
      </w:r>
      <w:r w:rsidR="003001AA" w:rsidRPr="002B17C1">
        <w:rPr>
          <w:rFonts w:eastAsiaTheme="minorHAnsi" w:cs="Times New Roman"/>
          <w:bCs/>
          <w:sz w:val="24"/>
          <w:szCs w:val="24"/>
          <w:vertAlign w:val="superscript"/>
        </w:rPr>
        <w:t>+</w:t>
      </w:r>
      <w:proofErr w:type="gramEnd"/>
      <w:r w:rsidR="003001AA" w:rsidRPr="002B17C1">
        <w:rPr>
          <w:rFonts w:eastAsiaTheme="minorHAnsi" w:cs="Times New Roman"/>
          <w:bCs/>
          <w:sz w:val="24"/>
          <w:szCs w:val="24"/>
        </w:rPr>
        <w:t xml:space="preserve">, </w:t>
      </w:r>
      <w:r w:rsidR="003001AA" w:rsidRPr="002B17C1">
        <w:rPr>
          <w:rFonts w:eastAsiaTheme="minorHAnsi" w:cs="Times New Roman"/>
          <w:bCs/>
          <w:i/>
          <w:iCs/>
          <w:sz w:val="24"/>
          <w:szCs w:val="24"/>
        </w:rPr>
        <w:t>m/z</w:t>
      </w:r>
      <w:r w:rsidR="003001AA" w:rsidRPr="002B17C1">
        <w:rPr>
          <w:rFonts w:eastAsiaTheme="minorHAnsi" w:cs="Times New Roman"/>
          <w:bCs/>
          <w:sz w:val="24"/>
          <w:szCs w:val="24"/>
        </w:rPr>
        <w:t xml:space="preserve"> of 697.10]. To build the calibration curve, 3 µl of each concentration was analyzed in triplicates. These data represent mean ± SD, and the orange line represents the amount of verticillin A in the diluted solution (1.29 µg/m</w:t>
      </w:r>
      <w:r w:rsidR="00146896">
        <w:rPr>
          <w:rFonts w:eastAsiaTheme="minorHAnsi" w:cs="Times New Roman"/>
          <w:bCs/>
          <w:sz w:val="24"/>
          <w:szCs w:val="24"/>
        </w:rPr>
        <w:t>l</w:t>
      </w:r>
      <w:r w:rsidR="003001AA" w:rsidRPr="002B17C1">
        <w:rPr>
          <w:rFonts w:eastAsiaTheme="minorHAnsi" w:cs="Times New Roman"/>
          <w:bCs/>
          <w:sz w:val="24"/>
          <w:szCs w:val="24"/>
        </w:rPr>
        <w:t>). In sum total, there was 0.91 mg of verticillin A per m</w:t>
      </w:r>
      <w:r w:rsidR="00146896">
        <w:rPr>
          <w:rFonts w:eastAsiaTheme="minorHAnsi" w:cs="Times New Roman"/>
          <w:bCs/>
          <w:sz w:val="24"/>
          <w:szCs w:val="24"/>
        </w:rPr>
        <w:t>l</w:t>
      </w:r>
      <w:r w:rsidR="003001AA" w:rsidRPr="002B17C1">
        <w:rPr>
          <w:rFonts w:eastAsiaTheme="minorHAnsi" w:cs="Times New Roman"/>
          <w:bCs/>
          <w:sz w:val="24"/>
          <w:szCs w:val="24"/>
        </w:rPr>
        <w:t xml:space="preserve"> of eNP solution, representing an encapsulation efficiency of 76.9%. </w:t>
      </w:r>
    </w:p>
    <w:p w14:paraId="6EEE52CC" w14:textId="5E38DF47" w:rsidR="002B17C1" w:rsidRDefault="002B17C1" w:rsidP="0034544C">
      <w:pPr>
        <w:autoSpaceDE w:val="0"/>
        <w:autoSpaceDN w:val="0"/>
        <w:adjustRightInd w:val="0"/>
        <w:spacing w:after="0"/>
        <w:jc w:val="both"/>
        <w:rPr>
          <w:rFonts w:eastAsiaTheme="minorHAnsi" w:cs="Times New Roman"/>
          <w:bCs/>
          <w:sz w:val="24"/>
          <w:szCs w:val="24"/>
        </w:rPr>
      </w:pPr>
    </w:p>
    <w:p w14:paraId="46DA90D1" w14:textId="76A27E73" w:rsidR="002B17C1" w:rsidRPr="002B17C1" w:rsidRDefault="002B17C1" w:rsidP="002B17C1">
      <w:pPr>
        <w:autoSpaceDE w:val="0"/>
        <w:autoSpaceDN w:val="0"/>
        <w:adjustRightInd w:val="0"/>
        <w:spacing w:after="0"/>
        <w:jc w:val="both"/>
        <w:rPr>
          <w:rFonts w:eastAsiaTheme="minorHAnsi" w:cs="Times New Roman"/>
          <w:bCs/>
          <w:sz w:val="24"/>
          <w:szCs w:val="24"/>
        </w:rPr>
      </w:pPr>
      <w:r>
        <w:rPr>
          <w:rFonts w:eastAsiaTheme="minorHAnsi" w:cs="Times New Roman"/>
          <w:bCs/>
          <w:noProof/>
          <w:sz w:val="24"/>
          <w:szCs w:val="24"/>
        </w:rPr>
        <w:lastRenderedPageBreak/>
        <w:drawing>
          <wp:inline distT="0" distB="0" distL="0" distR="0" wp14:anchorId="52D9FA90" wp14:editId="43D1833E">
            <wp:extent cx="5867039" cy="414020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CT Figure S3.jp2"/>
                    <pic:cNvPicPr/>
                  </pic:nvPicPr>
                  <pic:blipFill rotWithShape="1">
                    <a:blip r:embed="rId9">
                      <a:extLst>
                        <a:ext uri="{28A0092B-C50C-407E-A947-70E740481C1C}">
                          <a14:useLocalDpi xmlns:a14="http://schemas.microsoft.com/office/drawing/2010/main" val="0"/>
                        </a:ext>
                      </a:extLst>
                    </a:blip>
                    <a:srcRect l="1139" t="2280" r="24075" b="3899"/>
                    <a:stretch/>
                  </pic:blipFill>
                  <pic:spPr bwMode="auto">
                    <a:xfrm>
                      <a:off x="0" y="0"/>
                      <a:ext cx="5878999" cy="4148640"/>
                    </a:xfrm>
                    <a:prstGeom prst="rect">
                      <a:avLst/>
                    </a:prstGeom>
                    <a:ln>
                      <a:noFill/>
                    </a:ln>
                    <a:extLst>
                      <a:ext uri="{53640926-AAD7-44D8-BBD7-CCE9431645EC}">
                        <a14:shadowObscured xmlns:a14="http://schemas.microsoft.com/office/drawing/2010/main"/>
                      </a:ext>
                    </a:extLst>
                  </pic:spPr>
                </pic:pic>
              </a:graphicData>
            </a:graphic>
          </wp:inline>
        </w:drawing>
      </w:r>
    </w:p>
    <w:p w14:paraId="73B475CE" w14:textId="77777777" w:rsidR="003001AA" w:rsidRDefault="003001AA" w:rsidP="002B17C1">
      <w:pPr>
        <w:autoSpaceDE w:val="0"/>
        <w:autoSpaceDN w:val="0"/>
        <w:adjustRightInd w:val="0"/>
        <w:spacing w:after="0"/>
        <w:jc w:val="both"/>
        <w:rPr>
          <w:rFonts w:eastAsiaTheme="minorHAnsi" w:cs="Times New Roman"/>
          <w:bCs/>
          <w:sz w:val="24"/>
          <w:szCs w:val="24"/>
        </w:rPr>
      </w:pPr>
      <w:r w:rsidRPr="0048669A" w:rsidDel="0048669A">
        <w:rPr>
          <w:rFonts w:eastAsiaTheme="minorHAnsi" w:cs="Times New Roman"/>
          <w:bCs/>
          <w:sz w:val="24"/>
          <w:szCs w:val="24"/>
        </w:rPr>
        <w:t xml:space="preserve"> </w:t>
      </w:r>
    </w:p>
    <w:p w14:paraId="6D184822" w14:textId="77777777" w:rsidR="003001AA" w:rsidRPr="006F4233" w:rsidRDefault="003001AA" w:rsidP="002B17C1">
      <w:pPr>
        <w:autoSpaceDE w:val="0"/>
        <w:autoSpaceDN w:val="0"/>
        <w:adjustRightInd w:val="0"/>
        <w:spacing w:after="0"/>
        <w:jc w:val="both"/>
        <w:rPr>
          <w:rFonts w:eastAsiaTheme="minorHAnsi" w:cs="Times New Roman"/>
          <w:b/>
          <w:bCs/>
          <w:sz w:val="24"/>
          <w:szCs w:val="24"/>
          <w:lang w:val="en-IN"/>
        </w:rPr>
      </w:pPr>
      <w:r>
        <w:rPr>
          <w:rFonts w:eastAsiaTheme="minorHAnsi" w:cs="Times New Roman"/>
          <w:b/>
          <w:bCs/>
          <w:sz w:val="24"/>
          <w:szCs w:val="24"/>
          <w:lang w:val="en-IN"/>
        </w:rPr>
        <w:t xml:space="preserve">Supplementary </w:t>
      </w:r>
      <w:r w:rsidRPr="006F4233">
        <w:rPr>
          <w:rFonts w:eastAsiaTheme="minorHAnsi" w:cs="Times New Roman"/>
          <w:b/>
          <w:bCs/>
          <w:sz w:val="24"/>
          <w:szCs w:val="24"/>
          <w:lang w:val="en-IN"/>
        </w:rPr>
        <w:t xml:space="preserve">Figure </w:t>
      </w:r>
      <w:r>
        <w:rPr>
          <w:rFonts w:eastAsiaTheme="minorHAnsi" w:cs="Times New Roman"/>
          <w:b/>
          <w:bCs/>
          <w:sz w:val="24"/>
          <w:szCs w:val="24"/>
          <w:lang w:val="en-IN"/>
        </w:rPr>
        <w:t>S3</w:t>
      </w:r>
    </w:p>
    <w:p w14:paraId="57943A8F" w14:textId="06A6A9EF" w:rsidR="003001AA" w:rsidRDefault="003001AA" w:rsidP="002B17C1">
      <w:pPr>
        <w:autoSpaceDE w:val="0"/>
        <w:autoSpaceDN w:val="0"/>
        <w:adjustRightInd w:val="0"/>
        <w:spacing w:after="0"/>
        <w:jc w:val="both"/>
        <w:rPr>
          <w:rFonts w:eastAsiaTheme="minorHAnsi" w:cs="Times New Roman"/>
          <w:bCs/>
          <w:sz w:val="24"/>
          <w:szCs w:val="24"/>
        </w:rPr>
      </w:pPr>
      <w:r w:rsidRPr="00ED262A">
        <w:rPr>
          <w:rFonts w:eastAsiaTheme="minorHAnsi" w:cs="Times New Roman"/>
          <w:bCs/>
          <w:sz w:val="24"/>
          <w:szCs w:val="24"/>
        </w:rPr>
        <w:t xml:space="preserve"> (A) Structure of verticillin A. (B) </w:t>
      </w:r>
      <w:r w:rsidRPr="00ED262A">
        <w:rPr>
          <w:rFonts w:eastAsiaTheme="minorHAnsi" w:cs="Times New Roman"/>
          <w:bCs/>
          <w:sz w:val="24"/>
          <w:szCs w:val="24"/>
          <w:vertAlign w:val="superscript"/>
        </w:rPr>
        <w:t>1</w:t>
      </w:r>
      <w:r w:rsidRPr="00ED262A">
        <w:rPr>
          <w:rFonts w:eastAsiaTheme="minorHAnsi" w:cs="Times New Roman"/>
          <w:bCs/>
          <w:sz w:val="24"/>
          <w:szCs w:val="24"/>
        </w:rPr>
        <w:t>H-NMR data of verticillin A analyzed in CDCl</w:t>
      </w:r>
      <w:r w:rsidRPr="00ED262A">
        <w:rPr>
          <w:rFonts w:eastAsiaTheme="minorHAnsi" w:cs="Times New Roman"/>
          <w:bCs/>
          <w:sz w:val="24"/>
          <w:szCs w:val="24"/>
          <w:vertAlign w:val="subscript"/>
        </w:rPr>
        <w:t>3</w:t>
      </w:r>
      <w:r w:rsidRPr="00ED262A">
        <w:rPr>
          <w:rFonts w:eastAsiaTheme="minorHAnsi" w:cs="Times New Roman"/>
          <w:bCs/>
          <w:sz w:val="24"/>
          <w:szCs w:val="24"/>
        </w:rPr>
        <w:t xml:space="preserve"> (δ</w:t>
      </w:r>
      <w:r w:rsidRPr="00ED262A">
        <w:rPr>
          <w:rFonts w:eastAsiaTheme="minorHAnsi" w:cs="Times New Roman"/>
          <w:bCs/>
          <w:sz w:val="24"/>
          <w:szCs w:val="24"/>
          <w:vertAlign w:val="subscript"/>
        </w:rPr>
        <w:t>H</w:t>
      </w:r>
      <w:r w:rsidRPr="00ED262A">
        <w:rPr>
          <w:rFonts w:eastAsiaTheme="minorHAnsi" w:cs="Times New Roman"/>
          <w:bCs/>
          <w:sz w:val="24"/>
          <w:szCs w:val="24"/>
        </w:rPr>
        <w:t xml:space="preserve"> 7.26 ppm) using a JOEL 500 MHz instrument. (C) A Waters Acquity UPLC system was used to analyze the verticillin A used in the encapsulation process to synthesize eNPs loaded with 5% of the compound. Verticillin A eluted at 3.55 min when analyzed using a gradient UPLC system that initiated with 40:60 </w:t>
      </w:r>
      <w:proofErr w:type="gramStart"/>
      <w:r w:rsidRPr="00ED262A">
        <w:rPr>
          <w:rFonts w:eastAsiaTheme="minorHAnsi" w:cs="Times New Roman"/>
          <w:bCs/>
          <w:sz w:val="24"/>
          <w:szCs w:val="24"/>
        </w:rPr>
        <w:t>MeOH:H</w:t>
      </w:r>
      <w:r w:rsidRPr="00ED262A">
        <w:rPr>
          <w:rFonts w:eastAsiaTheme="minorHAnsi" w:cs="Times New Roman"/>
          <w:bCs/>
          <w:sz w:val="24"/>
          <w:szCs w:val="24"/>
          <w:vertAlign w:val="subscript"/>
        </w:rPr>
        <w:t>2</w:t>
      </w:r>
      <w:r w:rsidRPr="00ED262A">
        <w:rPr>
          <w:rFonts w:eastAsiaTheme="minorHAnsi" w:cs="Times New Roman"/>
          <w:bCs/>
          <w:sz w:val="24"/>
          <w:szCs w:val="24"/>
        </w:rPr>
        <w:t>O</w:t>
      </w:r>
      <w:proofErr w:type="gramEnd"/>
      <w:r w:rsidRPr="00ED262A">
        <w:rPr>
          <w:rFonts w:eastAsiaTheme="minorHAnsi" w:cs="Times New Roman"/>
          <w:bCs/>
          <w:sz w:val="24"/>
          <w:szCs w:val="24"/>
        </w:rPr>
        <w:t xml:space="preserve"> with 0.1% formic acid on a HSS PFP column (1.8 µm, 2.1 x 100), then increased linearly to 60:40 MeOH:H</w:t>
      </w:r>
      <w:r w:rsidRPr="00ED262A">
        <w:rPr>
          <w:rFonts w:eastAsiaTheme="minorHAnsi" w:cs="Times New Roman"/>
          <w:bCs/>
          <w:sz w:val="24"/>
          <w:szCs w:val="24"/>
          <w:vertAlign w:val="subscript"/>
        </w:rPr>
        <w:t>2</w:t>
      </w:r>
      <w:r w:rsidRPr="00ED262A">
        <w:rPr>
          <w:rFonts w:eastAsiaTheme="minorHAnsi" w:cs="Times New Roman"/>
          <w:bCs/>
          <w:sz w:val="24"/>
          <w:szCs w:val="24"/>
        </w:rPr>
        <w:t xml:space="preserve">O with 0.1% formic acid over 4.00 min. Both figures indicate that the </w:t>
      </w:r>
      <w:r w:rsidR="007249F6">
        <w:rPr>
          <w:rFonts w:eastAsiaTheme="minorHAnsi" w:cs="Times New Roman"/>
          <w:bCs/>
          <w:sz w:val="24"/>
          <w:szCs w:val="24"/>
        </w:rPr>
        <w:t xml:space="preserve">purity of </w:t>
      </w:r>
      <w:r w:rsidRPr="00ED262A">
        <w:rPr>
          <w:rFonts w:eastAsiaTheme="minorHAnsi" w:cs="Times New Roman"/>
          <w:bCs/>
          <w:sz w:val="24"/>
          <w:szCs w:val="24"/>
        </w:rPr>
        <w:t xml:space="preserve">verticillin A was greater than 95%. </w:t>
      </w:r>
    </w:p>
    <w:p w14:paraId="6C9763AD" w14:textId="2FC8A016" w:rsidR="003001AA" w:rsidRDefault="003001AA" w:rsidP="002B17C1">
      <w:pPr>
        <w:autoSpaceDE w:val="0"/>
        <w:autoSpaceDN w:val="0"/>
        <w:adjustRightInd w:val="0"/>
        <w:spacing w:after="0"/>
        <w:jc w:val="both"/>
        <w:rPr>
          <w:rFonts w:eastAsiaTheme="minorHAnsi" w:cs="Times New Roman"/>
          <w:sz w:val="24"/>
          <w:szCs w:val="24"/>
          <w:lang w:val="en-IN"/>
        </w:rPr>
      </w:pPr>
    </w:p>
    <w:p w14:paraId="3EB23EA3" w14:textId="15DEEC9D" w:rsidR="002B17C1" w:rsidRPr="005701E7" w:rsidRDefault="002B17C1" w:rsidP="002B17C1">
      <w:pPr>
        <w:autoSpaceDE w:val="0"/>
        <w:autoSpaceDN w:val="0"/>
        <w:adjustRightInd w:val="0"/>
        <w:spacing w:after="0"/>
        <w:jc w:val="both"/>
        <w:rPr>
          <w:rFonts w:eastAsiaTheme="minorHAnsi" w:cs="Times New Roman"/>
          <w:sz w:val="24"/>
          <w:szCs w:val="24"/>
          <w:lang w:val="en-IN"/>
        </w:rPr>
      </w:pPr>
      <w:r>
        <w:rPr>
          <w:rFonts w:eastAsiaTheme="minorHAnsi" w:cs="Times New Roman"/>
          <w:noProof/>
          <w:sz w:val="24"/>
          <w:szCs w:val="24"/>
          <w:lang w:val="en-IN"/>
        </w:rPr>
        <w:lastRenderedPageBreak/>
        <w:drawing>
          <wp:inline distT="0" distB="0" distL="0" distR="0" wp14:anchorId="2427ED4C" wp14:editId="387E48BA">
            <wp:extent cx="6043295" cy="3437205"/>
            <wp:effectExtent l="0" t="0" r="190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CT Figure S4.jp2"/>
                    <pic:cNvPicPr/>
                  </pic:nvPicPr>
                  <pic:blipFill rotWithShape="1">
                    <a:blip r:embed="rId10">
                      <a:extLst>
                        <a:ext uri="{28A0092B-C50C-407E-A947-70E740481C1C}">
                          <a14:useLocalDpi xmlns:a14="http://schemas.microsoft.com/office/drawing/2010/main" val="0"/>
                        </a:ext>
                      </a:extLst>
                    </a:blip>
                    <a:srcRect l="1568" t="2533" r="2707" b="7306"/>
                    <a:stretch/>
                  </pic:blipFill>
                  <pic:spPr bwMode="auto">
                    <a:xfrm>
                      <a:off x="0" y="0"/>
                      <a:ext cx="6070003" cy="3452396"/>
                    </a:xfrm>
                    <a:prstGeom prst="rect">
                      <a:avLst/>
                    </a:prstGeom>
                    <a:ln>
                      <a:noFill/>
                    </a:ln>
                    <a:extLst>
                      <a:ext uri="{53640926-AAD7-44D8-BBD7-CCE9431645EC}">
                        <a14:shadowObscured xmlns:a14="http://schemas.microsoft.com/office/drawing/2010/main"/>
                      </a:ext>
                    </a:extLst>
                  </pic:spPr>
                </pic:pic>
              </a:graphicData>
            </a:graphic>
          </wp:inline>
        </w:drawing>
      </w:r>
    </w:p>
    <w:p w14:paraId="74E15FE8" w14:textId="77777777" w:rsidR="0034544C" w:rsidRDefault="0034544C" w:rsidP="002B17C1">
      <w:pPr>
        <w:autoSpaceDE w:val="0"/>
        <w:autoSpaceDN w:val="0"/>
        <w:adjustRightInd w:val="0"/>
        <w:spacing w:after="0"/>
        <w:jc w:val="both"/>
        <w:rPr>
          <w:rFonts w:eastAsiaTheme="minorHAnsi" w:cs="Times New Roman"/>
          <w:b/>
          <w:bCs/>
          <w:sz w:val="24"/>
          <w:szCs w:val="24"/>
          <w:lang w:val="en-IN"/>
        </w:rPr>
      </w:pPr>
    </w:p>
    <w:p w14:paraId="06D7DAFD" w14:textId="3B0CCB55" w:rsidR="003001AA" w:rsidRPr="006F4233" w:rsidRDefault="003001AA" w:rsidP="002B17C1">
      <w:pPr>
        <w:autoSpaceDE w:val="0"/>
        <w:autoSpaceDN w:val="0"/>
        <w:adjustRightInd w:val="0"/>
        <w:spacing w:after="0"/>
        <w:jc w:val="both"/>
        <w:rPr>
          <w:rFonts w:eastAsiaTheme="minorHAnsi" w:cs="Times New Roman"/>
          <w:b/>
          <w:bCs/>
          <w:sz w:val="24"/>
          <w:szCs w:val="24"/>
          <w:lang w:val="en-IN"/>
        </w:rPr>
      </w:pPr>
      <w:r>
        <w:rPr>
          <w:rFonts w:eastAsiaTheme="minorHAnsi" w:cs="Times New Roman"/>
          <w:b/>
          <w:bCs/>
          <w:sz w:val="24"/>
          <w:szCs w:val="24"/>
          <w:lang w:val="en-IN"/>
        </w:rPr>
        <w:t xml:space="preserve">Supplementary </w:t>
      </w:r>
      <w:r w:rsidRPr="006F4233">
        <w:rPr>
          <w:rFonts w:eastAsiaTheme="minorHAnsi" w:cs="Times New Roman"/>
          <w:b/>
          <w:bCs/>
          <w:sz w:val="24"/>
          <w:szCs w:val="24"/>
          <w:lang w:val="en-IN"/>
        </w:rPr>
        <w:t xml:space="preserve">Figure </w:t>
      </w:r>
      <w:r>
        <w:rPr>
          <w:rFonts w:eastAsiaTheme="minorHAnsi" w:cs="Times New Roman"/>
          <w:b/>
          <w:bCs/>
          <w:sz w:val="24"/>
          <w:szCs w:val="24"/>
          <w:lang w:val="en-IN"/>
        </w:rPr>
        <w:t>S4</w:t>
      </w:r>
    </w:p>
    <w:p w14:paraId="21F8C832" w14:textId="778E932F" w:rsidR="003001AA" w:rsidRDefault="003001AA" w:rsidP="002B17C1">
      <w:pPr>
        <w:jc w:val="both"/>
        <w:rPr>
          <w:rFonts w:cs="Times New Roman"/>
          <w:sz w:val="24"/>
          <w:szCs w:val="24"/>
        </w:rPr>
      </w:pPr>
      <w:r>
        <w:rPr>
          <w:rFonts w:eastAsiaTheme="minorHAnsi" w:cs="Times New Roman"/>
          <w:sz w:val="24"/>
          <w:szCs w:val="24"/>
          <w:lang w:val="en-IN"/>
        </w:rPr>
        <w:t xml:space="preserve">Mitochondrial toxicity assay was performed in U87 and HEPG2 cells using </w:t>
      </w:r>
      <w:r w:rsidRPr="003016D2">
        <w:rPr>
          <w:rFonts w:cs="Times New Roman"/>
          <w:sz w:val="24"/>
          <w:szCs w:val="24"/>
        </w:rPr>
        <w:t>Mitochondrial ToxGlo</w:t>
      </w:r>
      <w:r w:rsidRPr="003016D2">
        <w:rPr>
          <w:rFonts w:cs="Times New Roman"/>
          <w:sz w:val="24"/>
          <w:szCs w:val="24"/>
          <w:vertAlign w:val="superscript"/>
        </w:rPr>
        <w:t>TM</w:t>
      </w:r>
      <w:r w:rsidRPr="003016D2">
        <w:rPr>
          <w:rFonts w:cs="Times New Roman"/>
          <w:sz w:val="24"/>
          <w:szCs w:val="24"/>
        </w:rPr>
        <w:t xml:space="preserve"> kit</w:t>
      </w:r>
      <w:r>
        <w:rPr>
          <w:rFonts w:cs="Times New Roman"/>
          <w:sz w:val="24"/>
          <w:szCs w:val="24"/>
        </w:rPr>
        <w:t xml:space="preserve">. Cell membrane integrity and ATP levels were measured using fluorescent and luminescent substrate respectively. Verticillin A treatment showed no changes in ATP levels or membrane integrity indicating no mitochondrial toxicity. Oligomycin was used as a positive control and showed mitochondrial toxicity. </w:t>
      </w:r>
    </w:p>
    <w:p w14:paraId="33B15821" w14:textId="358EACC0" w:rsidR="002B17C1" w:rsidRDefault="002B17C1" w:rsidP="002B17C1">
      <w:pPr>
        <w:jc w:val="both"/>
        <w:rPr>
          <w:rFonts w:cs="Times New Roman"/>
          <w:sz w:val="24"/>
          <w:szCs w:val="24"/>
        </w:rPr>
      </w:pPr>
    </w:p>
    <w:p w14:paraId="3D861585" w14:textId="5BF46C00" w:rsidR="002B17C1" w:rsidRDefault="002B17C1" w:rsidP="002B17C1">
      <w:pPr>
        <w:jc w:val="both"/>
        <w:rPr>
          <w:rFonts w:cs="Times New Roman"/>
          <w:sz w:val="24"/>
          <w:szCs w:val="24"/>
        </w:rPr>
      </w:pPr>
    </w:p>
    <w:p w14:paraId="4AE0304A" w14:textId="15A95D21" w:rsidR="002B17C1" w:rsidRDefault="002B17C1" w:rsidP="002B17C1">
      <w:pPr>
        <w:jc w:val="both"/>
        <w:rPr>
          <w:rFonts w:cs="Times New Roman"/>
          <w:sz w:val="24"/>
          <w:szCs w:val="24"/>
        </w:rPr>
      </w:pPr>
    </w:p>
    <w:p w14:paraId="1D667117" w14:textId="7E0D385F" w:rsidR="002B17C1" w:rsidRDefault="002B17C1" w:rsidP="002B17C1">
      <w:pPr>
        <w:jc w:val="both"/>
        <w:rPr>
          <w:rFonts w:cs="Times New Roman"/>
          <w:sz w:val="24"/>
          <w:szCs w:val="24"/>
        </w:rPr>
      </w:pPr>
    </w:p>
    <w:p w14:paraId="5C389D7B" w14:textId="02FE5306" w:rsidR="002B17C1" w:rsidRDefault="002B17C1" w:rsidP="002B17C1">
      <w:pPr>
        <w:jc w:val="both"/>
        <w:rPr>
          <w:rFonts w:cs="Times New Roman"/>
          <w:sz w:val="24"/>
          <w:szCs w:val="24"/>
        </w:rPr>
      </w:pPr>
    </w:p>
    <w:p w14:paraId="71C3D0C3" w14:textId="002CC2E8" w:rsidR="002B17C1" w:rsidRDefault="002B17C1" w:rsidP="002B17C1">
      <w:pPr>
        <w:jc w:val="both"/>
        <w:rPr>
          <w:rFonts w:cs="Times New Roman"/>
          <w:sz w:val="24"/>
          <w:szCs w:val="24"/>
        </w:rPr>
      </w:pPr>
    </w:p>
    <w:p w14:paraId="503DDE46" w14:textId="708512C6" w:rsidR="002B17C1" w:rsidRDefault="002B17C1" w:rsidP="002B17C1">
      <w:pPr>
        <w:jc w:val="both"/>
        <w:rPr>
          <w:rFonts w:cs="Times New Roman"/>
          <w:sz w:val="24"/>
          <w:szCs w:val="24"/>
        </w:rPr>
      </w:pPr>
    </w:p>
    <w:p w14:paraId="3C2E1B02" w14:textId="4FCEF6EA" w:rsidR="002B17C1" w:rsidRDefault="002B17C1" w:rsidP="002B17C1">
      <w:pPr>
        <w:jc w:val="both"/>
        <w:rPr>
          <w:rFonts w:cs="Times New Roman"/>
          <w:sz w:val="24"/>
          <w:szCs w:val="24"/>
        </w:rPr>
      </w:pPr>
    </w:p>
    <w:p w14:paraId="51E34B05" w14:textId="17C1DAC2" w:rsidR="002B17C1" w:rsidRDefault="002B17C1" w:rsidP="002B17C1">
      <w:pPr>
        <w:jc w:val="both"/>
        <w:rPr>
          <w:rFonts w:cs="Times New Roman"/>
          <w:sz w:val="24"/>
          <w:szCs w:val="24"/>
        </w:rPr>
      </w:pPr>
    </w:p>
    <w:p w14:paraId="0EB78F94" w14:textId="77777777" w:rsidR="00E923B2" w:rsidRDefault="00120D8A"/>
    <w:sectPr w:rsidR="00E923B2" w:rsidSect="005B1F83">
      <w:footerReference w:type="even" r:id="rId11"/>
      <w:footerReference w:type="default" r:id="rId1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A00B13" w14:textId="77777777" w:rsidR="00120D8A" w:rsidRDefault="00120D8A" w:rsidP="0062376E">
      <w:pPr>
        <w:spacing w:after="0" w:line="240" w:lineRule="auto"/>
      </w:pPr>
      <w:r>
        <w:separator/>
      </w:r>
    </w:p>
  </w:endnote>
  <w:endnote w:type="continuationSeparator" w:id="0">
    <w:p w14:paraId="620E0ED8" w14:textId="77777777" w:rsidR="00120D8A" w:rsidRDefault="00120D8A" w:rsidP="006237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altName w:val="Titlingmes New Roman PSMT"/>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646897229"/>
      <w:docPartObj>
        <w:docPartGallery w:val="Page Numbers (Bottom of Page)"/>
        <w:docPartUnique/>
      </w:docPartObj>
    </w:sdtPr>
    <w:sdtEndPr>
      <w:rPr>
        <w:rStyle w:val="PageNumber"/>
      </w:rPr>
    </w:sdtEndPr>
    <w:sdtContent>
      <w:p w14:paraId="6AD656F6" w14:textId="2BA4CF7F" w:rsidR="0062376E" w:rsidRDefault="0062376E" w:rsidP="009B08A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C4D417D" w14:textId="77777777" w:rsidR="0062376E" w:rsidRDefault="0062376E" w:rsidP="0062376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77539466"/>
      <w:docPartObj>
        <w:docPartGallery w:val="Page Numbers (Bottom of Page)"/>
        <w:docPartUnique/>
      </w:docPartObj>
    </w:sdtPr>
    <w:sdtEndPr>
      <w:rPr>
        <w:rStyle w:val="PageNumber"/>
      </w:rPr>
    </w:sdtEndPr>
    <w:sdtContent>
      <w:p w14:paraId="74C675ED" w14:textId="27077CFC" w:rsidR="0062376E" w:rsidRDefault="0062376E" w:rsidP="009B08A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393B654" w14:textId="77777777" w:rsidR="0062376E" w:rsidRDefault="0062376E" w:rsidP="0062376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23C7854" w14:textId="77777777" w:rsidR="00120D8A" w:rsidRDefault="00120D8A" w:rsidP="0062376E">
      <w:pPr>
        <w:spacing w:after="0" w:line="240" w:lineRule="auto"/>
      </w:pPr>
      <w:r>
        <w:separator/>
      </w:r>
    </w:p>
  </w:footnote>
  <w:footnote w:type="continuationSeparator" w:id="0">
    <w:p w14:paraId="345E6705" w14:textId="77777777" w:rsidR="00120D8A" w:rsidRDefault="00120D8A" w:rsidP="0062376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9D9281A"/>
    <w:multiLevelType w:val="hybridMultilevel"/>
    <w:tmpl w:val="527A6F0C"/>
    <w:lvl w:ilvl="0" w:tplc="177C3414">
      <w:start w:val="1"/>
      <w:numFmt w:val="upperLetter"/>
      <w:lvlText w:val="(%1)"/>
      <w:lvlJc w:val="left"/>
      <w:pPr>
        <w:ind w:left="380" w:hanging="38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66F34893"/>
    <w:multiLevelType w:val="hybridMultilevel"/>
    <w:tmpl w:val="D7A8F79E"/>
    <w:lvl w:ilvl="0" w:tplc="2342177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01AA"/>
    <w:rsid w:val="00031191"/>
    <w:rsid w:val="000A50BE"/>
    <w:rsid w:val="000E0AE0"/>
    <w:rsid w:val="000F1364"/>
    <w:rsid w:val="00120D8A"/>
    <w:rsid w:val="00146896"/>
    <w:rsid w:val="00285B40"/>
    <w:rsid w:val="002B17C1"/>
    <w:rsid w:val="003001AA"/>
    <w:rsid w:val="003078C6"/>
    <w:rsid w:val="0034544C"/>
    <w:rsid w:val="00361532"/>
    <w:rsid w:val="00517EA4"/>
    <w:rsid w:val="00530888"/>
    <w:rsid w:val="005A0C62"/>
    <w:rsid w:val="005B1F83"/>
    <w:rsid w:val="0062376E"/>
    <w:rsid w:val="007249F6"/>
    <w:rsid w:val="008949D2"/>
    <w:rsid w:val="008A00AD"/>
    <w:rsid w:val="00930826"/>
    <w:rsid w:val="00974A10"/>
    <w:rsid w:val="00B47541"/>
    <w:rsid w:val="00B95C5E"/>
    <w:rsid w:val="00BE7990"/>
    <w:rsid w:val="00CA3D66"/>
    <w:rsid w:val="00CF659D"/>
    <w:rsid w:val="00E3197F"/>
    <w:rsid w:val="00E37015"/>
    <w:rsid w:val="00F94F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5F46D0D"/>
  <w14:defaultImageDpi w14:val="32767"/>
  <w15:chartTrackingRefBased/>
  <w15:docId w15:val="{372109D0-62A7-3649-8C39-5AD87BF2DD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3001AA"/>
    <w:pPr>
      <w:spacing w:after="200" w:line="276" w:lineRule="auto"/>
    </w:pPr>
    <w:rPr>
      <w:rFonts w:ascii="Times New Roman" w:eastAsiaTheme="minorEastAsia" w:hAnsi="Times New Roman"/>
      <w:sz w:val="20"/>
      <w:szCs w:val="22"/>
    </w:rPr>
  </w:style>
  <w:style w:type="paragraph" w:styleId="Heading2">
    <w:name w:val="heading 2"/>
    <w:basedOn w:val="Normal"/>
    <w:next w:val="Normal"/>
    <w:link w:val="Heading2Char"/>
    <w:uiPriority w:val="9"/>
    <w:unhideWhenUsed/>
    <w:qFormat/>
    <w:rsid w:val="003001AA"/>
    <w:pPr>
      <w:keepNext/>
      <w:keepLines/>
      <w:spacing w:before="200" w:after="0"/>
      <w:outlineLvl w:val="1"/>
    </w:pPr>
    <w:rPr>
      <w:rFonts w:asciiTheme="majorHAnsi" w:eastAsiaTheme="majorEastAsia" w:hAnsiTheme="majorHAnsi" w:cstheme="majorBidi"/>
      <w:b/>
      <w:bCs/>
      <w:color w:val="4472C4" w:themeColor="accent1"/>
      <w:sz w:val="26"/>
      <w:szCs w:val="26"/>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3001AA"/>
    <w:rPr>
      <w:rFonts w:asciiTheme="majorHAnsi" w:eastAsiaTheme="majorEastAsia" w:hAnsiTheme="majorHAnsi" w:cstheme="majorBidi"/>
      <w:b/>
      <w:bCs/>
      <w:color w:val="4472C4" w:themeColor="accent1"/>
      <w:sz w:val="26"/>
      <w:szCs w:val="26"/>
      <w:lang w:eastAsia="zh-CN"/>
    </w:rPr>
  </w:style>
  <w:style w:type="paragraph" w:styleId="ListParagraph">
    <w:name w:val="List Paragraph"/>
    <w:basedOn w:val="Normal"/>
    <w:uiPriority w:val="34"/>
    <w:qFormat/>
    <w:rsid w:val="003001AA"/>
    <w:pPr>
      <w:ind w:left="720"/>
      <w:contextualSpacing/>
    </w:pPr>
  </w:style>
  <w:style w:type="paragraph" w:styleId="BalloonText">
    <w:name w:val="Balloon Text"/>
    <w:basedOn w:val="Normal"/>
    <w:link w:val="BalloonTextChar"/>
    <w:uiPriority w:val="99"/>
    <w:semiHidden/>
    <w:unhideWhenUsed/>
    <w:rsid w:val="002B17C1"/>
    <w:pPr>
      <w:spacing w:after="0" w:line="240" w:lineRule="auto"/>
    </w:pPr>
    <w:rPr>
      <w:rFonts w:cs="Times New Roman"/>
      <w:sz w:val="18"/>
      <w:szCs w:val="18"/>
    </w:rPr>
  </w:style>
  <w:style w:type="character" w:customStyle="1" w:styleId="BalloonTextChar">
    <w:name w:val="Balloon Text Char"/>
    <w:basedOn w:val="DefaultParagraphFont"/>
    <w:link w:val="BalloonText"/>
    <w:uiPriority w:val="99"/>
    <w:semiHidden/>
    <w:rsid w:val="002B17C1"/>
    <w:rPr>
      <w:rFonts w:ascii="Times New Roman" w:eastAsiaTheme="minorEastAsia" w:hAnsi="Times New Roman" w:cs="Times New Roman"/>
      <w:sz w:val="18"/>
      <w:szCs w:val="18"/>
    </w:rPr>
  </w:style>
  <w:style w:type="paragraph" w:styleId="Footer">
    <w:name w:val="footer"/>
    <w:basedOn w:val="Normal"/>
    <w:link w:val="FooterChar"/>
    <w:uiPriority w:val="99"/>
    <w:unhideWhenUsed/>
    <w:rsid w:val="0062376E"/>
    <w:pPr>
      <w:tabs>
        <w:tab w:val="center" w:pos="4680"/>
        <w:tab w:val="right" w:pos="9360"/>
      </w:tabs>
      <w:spacing w:after="0" w:line="240" w:lineRule="auto"/>
    </w:pPr>
  </w:style>
  <w:style w:type="character" w:customStyle="1" w:styleId="FooterChar">
    <w:name w:val="Footer Char"/>
    <w:basedOn w:val="DefaultParagraphFont"/>
    <w:link w:val="Footer"/>
    <w:uiPriority w:val="99"/>
    <w:rsid w:val="0062376E"/>
    <w:rPr>
      <w:rFonts w:ascii="Times New Roman" w:eastAsiaTheme="minorEastAsia" w:hAnsi="Times New Roman"/>
      <w:sz w:val="20"/>
      <w:szCs w:val="22"/>
    </w:rPr>
  </w:style>
  <w:style w:type="character" w:styleId="PageNumber">
    <w:name w:val="page number"/>
    <w:basedOn w:val="DefaultParagraphFont"/>
    <w:uiPriority w:val="99"/>
    <w:semiHidden/>
    <w:unhideWhenUsed/>
    <w:rsid w:val="006237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footer" Target="footer2.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Pages>
  <Words>1069</Words>
  <Characters>6096</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Salvi, Amrita S</dc:creator>
  <cp:keywords/>
  <dc:description/>
  <cp:lastModifiedBy>Salvi, Amrita S</cp:lastModifiedBy>
  <cp:revision>2</cp:revision>
  <dcterms:created xsi:type="dcterms:W3CDTF">2019-05-13T21:55:00Z</dcterms:created>
  <dcterms:modified xsi:type="dcterms:W3CDTF">2019-05-13T21:55:00Z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zotero-version="5.0.60"&gt;&lt;session id="G8EGMMAR"/&gt;&lt;style id="http://www.zotero.org/styles/molecular-cancer-therapeutics" hasBibliography="1" bibliographyStyleHasBeenSet="0"/&gt;&lt;prefs&gt;&lt;pref name="fieldType" value="Field"/&gt;&lt;/prefs&gt;&lt;/data&gt;</vt:lpwstr>
  </property>
</Properties>
</file>