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F5" w:rsidRDefault="00791CF5">
      <w:pPr>
        <w:rPr>
          <w:noProof/>
          <w:lang w:eastAsia="it-IT"/>
        </w:rPr>
      </w:pPr>
      <w:r>
        <w:rPr>
          <w:noProof/>
          <w:lang w:eastAsia="it-IT"/>
        </w:rPr>
        <w:t>Supplementary Figure S1</w:t>
      </w:r>
    </w:p>
    <w:p w:rsidR="00FC54C9" w:rsidRDefault="00011ABD">
      <w:r w:rsidRPr="00011ABD">
        <w:rPr>
          <w:noProof/>
          <w:lang w:eastAsia="it-IT"/>
        </w:rPr>
        <w:drawing>
          <wp:inline distT="0" distB="0" distL="0" distR="0">
            <wp:extent cx="4970780" cy="8438515"/>
            <wp:effectExtent l="19050" t="0" r="1270" b="0"/>
            <wp:docPr id="1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4084" cy="11279093"/>
                      <a:chOff x="323528" y="183153"/>
                      <a:chExt cx="6644084" cy="11279093"/>
                    </a:xfrm>
                  </a:grpSpPr>
                  <a:grpSp>
                    <a:nvGrpSpPr>
                      <a:cNvPr id="2" name="Gruppo 1"/>
                      <a:cNvGrpSpPr/>
                    </a:nvGrpSpPr>
                    <a:grpSpPr>
                      <a:xfrm>
                        <a:off x="323528" y="183153"/>
                        <a:ext cx="6644084" cy="11279093"/>
                        <a:chOff x="389186" y="183153"/>
                        <a:chExt cx="6644084" cy="11279093"/>
                      </a:xfrm>
                    </a:grpSpPr>
                    <a:pic>
                      <a:nvPicPr>
                        <a:cNvPr id="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188640"/>
                          <a:ext cx="330517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36420" y="188640"/>
                          <a:ext cx="3286125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6" cstate="print"/>
                        <a:srcRect r="2175"/>
                        <a:stretch>
                          <a:fillRect/>
                        </a:stretch>
                      </a:blipFill>
                      <a:spPr bwMode="auto">
                        <a:xfrm>
                          <a:off x="390777" y="2081039"/>
                          <a:ext cx="3317127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 t="-1809" r="3332" b="-249"/>
                        <a:stretch>
                          <a:fillRect/>
                        </a:stretch>
                      </a:blipFill>
                      <a:spPr bwMode="auto">
                        <a:xfrm>
                          <a:off x="3742371" y="2041797"/>
                          <a:ext cx="3277901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4586" y="3994522"/>
                          <a:ext cx="327660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47145" y="4011414"/>
                          <a:ext cx="328612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4961" y="5866705"/>
                          <a:ext cx="3286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47145" y="5879105"/>
                          <a:ext cx="326707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1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749480"/>
                          <a:ext cx="327660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45240" y="7734994"/>
                          <a:ext cx="32766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/>
                        <a:srcRect r="-218"/>
                        <a:stretch>
                          <a:fillRect/>
                        </a:stretch>
                      </a:blipFill>
                      <a:spPr bwMode="auto">
                        <a:xfrm>
                          <a:off x="395536" y="9623921"/>
                          <a:ext cx="3312368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31428" y="9597921"/>
                          <a:ext cx="328612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CasellaDiTesto 14"/>
                        <a:cNvSpPr txBox="1"/>
                      </a:nvSpPr>
                      <a:spPr>
                        <a:xfrm>
                          <a:off x="395536" y="188640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1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CasellaDiTesto 15"/>
                        <a:cNvSpPr txBox="1"/>
                      </a:nvSpPr>
                      <a:spPr>
                        <a:xfrm>
                          <a:off x="3731787" y="183153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2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CasellaDiTesto 16"/>
                        <a:cNvSpPr txBox="1"/>
                      </a:nvSpPr>
                      <a:spPr>
                        <a:xfrm>
                          <a:off x="389186" y="2079898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3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CasellaDiTesto 17"/>
                        <a:cNvSpPr txBox="1"/>
                      </a:nvSpPr>
                      <a:spPr>
                        <a:xfrm>
                          <a:off x="3744987" y="2073994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4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9" name="CasellaDiTesto 18"/>
                        <a:cNvSpPr txBox="1"/>
                      </a:nvSpPr>
                      <a:spPr>
                        <a:xfrm>
                          <a:off x="409825" y="3991221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5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0" name="CasellaDiTesto 19"/>
                        <a:cNvSpPr txBox="1"/>
                      </a:nvSpPr>
                      <a:spPr>
                        <a:xfrm>
                          <a:off x="3746008" y="4009134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6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" name="CasellaDiTesto 20"/>
                        <a:cNvSpPr txBox="1"/>
                      </a:nvSpPr>
                      <a:spPr>
                        <a:xfrm>
                          <a:off x="405062" y="5867183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7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2" name="CasellaDiTesto 21"/>
                        <a:cNvSpPr txBox="1"/>
                      </a:nvSpPr>
                      <a:spPr>
                        <a:xfrm>
                          <a:off x="3746571" y="5872379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8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" name="CasellaDiTesto 22"/>
                        <a:cNvSpPr txBox="1"/>
                      </a:nvSpPr>
                      <a:spPr>
                        <a:xfrm>
                          <a:off x="398711" y="7749480"/>
                          <a:ext cx="28803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9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4" name="CasellaDiTesto 23"/>
                        <a:cNvSpPr txBox="1"/>
                      </a:nvSpPr>
                      <a:spPr>
                        <a:xfrm>
                          <a:off x="3747144" y="7733605"/>
                          <a:ext cx="386458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10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CasellaDiTesto 24"/>
                        <a:cNvSpPr txBox="1"/>
                      </a:nvSpPr>
                      <a:spPr>
                        <a:xfrm>
                          <a:off x="398352" y="9625467"/>
                          <a:ext cx="422882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11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6" name="CasellaDiTesto 25"/>
                        <a:cNvSpPr txBox="1"/>
                      </a:nvSpPr>
                      <a:spPr>
                        <a:xfrm>
                          <a:off x="3733304" y="9596288"/>
                          <a:ext cx="400298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400" b="1" dirty="0" smtClean="0"/>
                              <a:t>12</a:t>
                            </a:r>
                            <a:endParaRPr lang="it-IT" sz="14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96E05" w:rsidRDefault="00A96E05" w:rsidP="00A96E0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96E05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Supplementary Figure S1.</w:t>
      </w:r>
      <w:r w:rsidRPr="00AC056D">
        <w:rPr>
          <w:rFonts w:ascii="Times New Roman" w:hAnsi="Times New Roman"/>
          <w:sz w:val="24"/>
          <w:szCs w:val="24"/>
          <w:lang w:val="en-US"/>
        </w:rPr>
        <w:t xml:space="preserve"> Representative images of IHC staining for CD205 in different human and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tissues, obtained with 2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μg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/ml of MEN1309/OBT076 at 20X and 10X magnification. 1) Human donor spleen; moderate to strong membranous/granular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of several mononuclear cells present in the white pulp of the spleen (circle);  2)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donor spleen; the staining intensity and distribution pattern was very similar to that described in human samples; 3) Human donor lymph node; a moderate to marked membranous/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of mononuclear cells in the cortex,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para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-cortex and germinal centers of lymphoid follicles was observed; 4)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donor lymph node; positive mononuclear cells presented a moderate to strong membranous/granular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staining; 5) Human donor breast; a concentration-dependent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of epithelial cells in glandular alveoli (rectangle) and ducts (circle);  6)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donor breast; the staining was weaker in intensity when compared to human donors, but the pattern was comparable; 7) Human donor colon; membranous/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signal of a variable number of mononuclear cells was observed in the lamina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propria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and GALT (circle). Minimal to slight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of the superficial mucosal epithelium (rectangle); 8)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donor colon; a variable number of mononuclear cells located in lamina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propria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and GALT (circle) are positive with membranous/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signal; 9) Human donor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ureter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; a minimal but concentration-dependent staining was observed in mucosal epithelium (rectangle). Rare mononuclear cells with positive signal in lamina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propria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(circles); 10)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donor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ureter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; occasional mononuclear cells with membranous/granular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was observed in the lamina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propria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; 11) Human donor cervix; a concentration-dependent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of cervical gland epithelium was observed (circle).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of the basal cell layer of mucosal epithelium was also observed (rectangle);  12)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Cynomolgus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donor cervix; positive mononuclear cells with a membranous/granular </w:t>
      </w:r>
      <w:proofErr w:type="spellStart"/>
      <w:r w:rsidRPr="00AC056D">
        <w:rPr>
          <w:rFonts w:ascii="Times New Roman" w:hAnsi="Times New Roman"/>
          <w:sz w:val="24"/>
          <w:szCs w:val="24"/>
          <w:lang w:val="en-US"/>
        </w:rPr>
        <w:t>cytoplasmic</w:t>
      </w:r>
      <w:proofErr w:type="spellEnd"/>
      <w:r w:rsidRPr="00AC056D">
        <w:rPr>
          <w:rFonts w:ascii="Times New Roman" w:hAnsi="Times New Roman"/>
          <w:sz w:val="24"/>
          <w:szCs w:val="24"/>
          <w:lang w:val="en-US"/>
        </w:rPr>
        <w:t xml:space="preserve"> staining were present in the mucosa-associated lymphoid nodules (circle).</w:t>
      </w:r>
    </w:p>
    <w:p w:rsidR="00A96E05" w:rsidRPr="00A96E05" w:rsidRDefault="00A96E05">
      <w:pPr>
        <w:rPr>
          <w:lang w:val="en-US"/>
        </w:rPr>
      </w:pPr>
    </w:p>
    <w:sectPr w:rsidR="00A96E05" w:rsidRPr="00A96E05" w:rsidSect="00FC54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283"/>
  <w:characterSpacingControl w:val="doNotCompress"/>
  <w:compat/>
  <w:rsids>
    <w:rsidRoot w:val="00011ABD"/>
    <w:rsid w:val="00011ABD"/>
    <w:rsid w:val="00740DD0"/>
    <w:rsid w:val="00791CF5"/>
    <w:rsid w:val="00A96E05"/>
    <w:rsid w:val="00EA5318"/>
    <w:rsid w:val="00FC5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5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merlingi</dc:creator>
  <cp:lastModifiedBy>merlingi</cp:lastModifiedBy>
  <cp:revision>3</cp:revision>
  <dcterms:created xsi:type="dcterms:W3CDTF">2018-11-28T09:26:00Z</dcterms:created>
  <dcterms:modified xsi:type="dcterms:W3CDTF">2019-05-10T14:12:00Z</dcterms:modified>
</cp:coreProperties>
</file>