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BE" w:rsidRDefault="00A408A2">
      <w:pPr>
        <w:spacing w:after="0" w:line="240" w:lineRule="auto"/>
        <w:rPr>
          <w:rFonts w:ascii="Times New Roman" w:hAnsi="Times New Roman"/>
          <w:b/>
          <w:sz w:val="24"/>
          <w:szCs w:val="24"/>
          <w:lang w:val="en-US"/>
        </w:rPr>
      </w:pPr>
      <w:r w:rsidRPr="00516E2E">
        <w:rPr>
          <w:rFonts w:ascii="Times New Roman" w:hAnsi="Times New Roman"/>
          <w:b/>
          <w:sz w:val="24"/>
          <w:szCs w:val="24"/>
        </w:rPr>
        <w:t>SUPPLEMENTARY MATERIALS AND METHODS</w:t>
      </w:r>
    </w:p>
    <w:p w:rsidR="00C917B2" w:rsidRPr="008C1ADE" w:rsidRDefault="00C917B2" w:rsidP="00C917B2">
      <w:pPr>
        <w:spacing w:before="120" w:after="120" w:line="360" w:lineRule="auto"/>
        <w:rPr>
          <w:rFonts w:ascii="Times New Roman" w:hAnsi="Times New Roman"/>
          <w:b/>
          <w:sz w:val="24"/>
          <w:szCs w:val="24"/>
        </w:rPr>
      </w:pPr>
      <w:r w:rsidRPr="008C1ADE">
        <w:rPr>
          <w:rFonts w:ascii="Times New Roman" w:hAnsi="Times New Roman"/>
          <w:b/>
          <w:sz w:val="24"/>
          <w:szCs w:val="24"/>
        </w:rPr>
        <w:t>Proteomic</w:t>
      </w:r>
      <w:r>
        <w:rPr>
          <w:rFonts w:ascii="Times New Roman" w:hAnsi="Times New Roman"/>
          <w:b/>
          <w:sz w:val="24"/>
          <w:szCs w:val="24"/>
        </w:rPr>
        <w:t>s</w:t>
      </w:r>
      <w:r w:rsidRPr="008C1ADE">
        <w:rPr>
          <w:rFonts w:ascii="Times New Roman" w:hAnsi="Times New Roman"/>
          <w:b/>
          <w:sz w:val="24"/>
          <w:szCs w:val="24"/>
        </w:rPr>
        <w:t xml:space="preserve"> (OGAP)</w:t>
      </w:r>
    </w:p>
    <w:p w:rsidR="009F19F5" w:rsidRDefault="00C917B2" w:rsidP="00C917B2">
      <w:pPr>
        <w:spacing w:before="120" w:after="120" w:line="360" w:lineRule="auto"/>
        <w:jc w:val="both"/>
        <w:rPr>
          <w:rFonts w:ascii="Times New Roman" w:hAnsi="Times New Roman"/>
          <w:sz w:val="24"/>
          <w:szCs w:val="24"/>
        </w:rPr>
      </w:pPr>
      <w:r w:rsidRPr="008C1ADE">
        <w:rPr>
          <w:rFonts w:ascii="Times New Roman" w:hAnsi="Times New Roman"/>
          <w:sz w:val="24"/>
          <w:szCs w:val="24"/>
        </w:rPr>
        <w:t xml:space="preserve">Tissue samples </w:t>
      </w:r>
      <w:r>
        <w:rPr>
          <w:rFonts w:ascii="Times New Roman" w:hAnsi="Times New Roman"/>
          <w:sz w:val="24"/>
          <w:szCs w:val="24"/>
        </w:rPr>
        <w:t xml:space="preserve">from </w:t>
      </w:r>
      <w:r w:rsidRPr="008C1ADE">
        <w:rPr>
          <w:rFonts w:ascii="Times New Roman" w:hAnsi="Times New Roman"/>
          <w:sz w:val="24"/>
          <w:szCs w:val="24"/>
        </w:rPr>
        <w:t xml:space="preserve">patients diagnosed with breast cancer, </w:t>
      </w:r>
      <w:r>
        <w:rPr>
          <w:rFonts w:ascii="Times New Roman" w:hAnsi="Times New Roman"/>
          <w:sz w:val="24"/>
          <w:szCs w:val="24"/>
        </w:rPr>
        <w:t>TNBC</w:t>
      </w:r>
      <w:r w:rsidRPr="008C1ADE">
        <w:rPr>
          <w:rFonts w:ascii="Times New Roman" w:hAnsi="Times New Roman"/>
          <w:sz w:val="24"/>
          <w:szCs w:val="24"/>
        </w:rPr>
        <w:t>, bladder cancer, pancreatic cancer</w:t>
      </w:r>
      <w:r>
        <w:rPr>
          <w:rFonts w:ascii="Times New Roman" w:hAnsi="Times New Roman"/>
          <w:sz w:val="24"/>
          <w:szCs w:val="24"/>
        </w:rPr>
        <w:t>, gastric cancer, colon cancer, multiple myeloma,</w:t>
      </w:r>
      <w:r w:rsidRPr="008C1ADE">
        <w:rPr>
          <w:rFonts w:ascii="Times New Roman" w:hAnsi="Times New Roman"/>
          <w:sz w:val="24"/>
          <w:szCs w:val="24"/>
        </w:rPr>
        <w:t xml:space="preserve"> were processed to generate </w:t>
      </w:r>
      <w:r>
        <w:rPr>
          <w:rFonts w:ascii="Times New Roman" w:hAnsi="Times New Roman"/>
          <w:sz w:val="24"/>
          <w:szCs w:val="24"/>
        </w:rPr>
        <w:t xml:space="preserve">cell </w:t>
      </w:r>
      <w:r w:rsidRPr="008C1ADE">
        <w:rPr>
          <w:rFonts w:ascii="Times New Roman" w:hAnsi="Times New Roman"/>
          <w:sz w:val="24"/>
          <w:szCs w:val="24"/>
        </w:rPr>
        <w:t>membrane protein fraction</w:t>
      </w:r>
      <w:r>
        <w:rPr>
          <w:rFonts w:ascii="Times New Roman" w:hAnsi="Times New Roman"/>
          <w:sz w:val="24"/>
          <w:szCs w:val="24"/>
        </w:rPr>
        <w:t>s</w:t>
      </w:r>
      <w:r w:rsidRPr="008C1ADE">
        <w:rPr>
          <w:rFonts w:ascii="Times New Roman" w:hAnsi="Times New Roman"/>
          <w:sz w:val="24"/>
          <w:szCs w:val="24"/>
        </w:rPr>
        <w:t xml:space="preserve"> and analysed by liquid chromatography-mass spectrometry using a Waters </w:t>
      </w:r>
      <w:proofErr w:type="spellStart"/>
      <w:r w:rsidRPr="008C1ADE">
        <w:rPr>
          <w:rFonts w:ascii="Times New Roman" w:hAnsi="Times New Roman"/>
          <w:sz w:val="24"/>
          <w:szCs w:val="24"/>
        </w:rPr>
        <w:t>nanoACQUITY</w:t>
      </w:r>
      <w:proofErr w:type="spellEnd"/>
      <w:r w:rsidRPr="008C1ADE">
        <w:rPr>
          <w:rFonts w:ascii="Times New Roman" w:hAnsi="Times New Roman"/>
          <w:sz w:val="24"/>
          <w:szCs w:val="24"/>
        </w:rPr>
        <w:t xml:space="preserve"> UPLC System fitted with a </w:t>
      </w:r>
      <w:proofErr w:type="spellStart"/>
      <w:r w:rsidRPr="008C1ADE">
        <w:rPr>
          <w:rFonts w:ascii="Times New Roman" w:hAnsi="Times New Roman"/>
          <w:sz w:val="24"/>
          <w:szCs w:val="24"/>
        </w:rPr>
        <w:t>nanoACQUITY</w:t>
      </w:r>
      <w:proofErr w:type="spellEnd"/>
      <w:r w:rsidRPr="008C1ADE">
        <w:rPr>
          <w:rFonts w:ascii="Times New Roman" w:hAnsi="Times New Roman"/>
          <w:sz w:val="24"/>
          <w:szCs w:val="24"/>
        </w:rPr>
        <w:t xml:space="preserve"> UPLC BEH 130 C18 column, 75 µm x 250mm (186003545) and a LTQ </w:t>
      </w:r>
      <w:proofErr w:type="spellStart"/>
      <w:r w:rsidRPr="008C1ADE">
        <w:rPr>
          <w:rFonts w:ascii="Times New Roman" w:hAnsi="Times New Roman"/>
          <w:sz w:val="24"/>
          <w:szCs w:val="24"/>
        </w:rPr>
        <w:t>Orbitrap</w:t>
      </w:r>
      <w:proofErr w:type="spellEnd"/>
      <w:r w:rsidRPr="008C1ADE">
        <w:rPr>
          <w:rFonts w:ascii="Times New Roman" w:hAnsi="Times New Roman"/>
          <w:sz w:val="24"/>
          <w:szCs w:val="24"/>
        </w:rPr>
        <w:t xml:space="preserve"> </w:t>
      </w:r>
      <w:proofErr w:type="spellStart"/>
      <w:r w:rsidRPr="008C1ADE">
        <w:rPr>
          <w:rFonts w:ascii="Times New Roman" w:hAnsi="Times New Roman"/>
          <w:sz w:val="24"/>
          <w:szCs w:val="24"/>
        </w:rPr>
        <w:t>Velos</w:t>
      </w:r>
      <w:proofErr w:type="spellEnd"/>
      <w:r w:rsidRPr="008C1ADE">
        <w:rPr>
          <w:rFonts w:ascii="Times New Roman" w:hAnsi="Times New Roman"/>
          <w:sz w:val="24"/>
          <w:szCs w:val="24"/>
        </w:rPr>
        <w:t xml:space="preserve"> (Thermo Fisher Scientific). Peptides were then analyzed using a LTQ </w:t>
      </w:r>
      <w:proofErr w:type="spellStart"/>
      <w:r w:rsidRPr="008C1ADE">
        <w:rPr>
          <w:rFonts w:ascii="Times New Roman" w:hAnsi="Times New Roman"/>
          <w:sz w:val="24"/>
          <w:szCs w:val="24"/>
        </w:rPr>
        <w:t>Orbitrap</w:t>
      </w:r>
      <w:proofErr w:type="spellEnd"/>
      <w:r w:rsidRPr="008C1ADE">
        <w:rPr>
          <w:rFonts w:ascii="Times New Roman" w:hAnsi="Times New Roman"/>
          <w:sz w:val="24"/>
          <w:szCs w:val="24"/>
        </w:rPr>
        <w:t xml:space="preserve"> </w:t>
      </w:r>
      <w:proofErr w:type="spellStart"/>
      <w:r w:rsidRPr="008C1ADE">
        <w:rPr>
          <w:rFonts w:ascii="Times New Roman" w:hAnsi="Times New Roman"/>
          <w:sz w:val="24"/>
          <w:szCs w:val="24"/>
        </w:rPr>
        <w:t>Velos</w:t>
      </w:r>
      <w:proofErr w:type="spellEnd"/>
      <w:r w:rsidRPr="008C1ADE">
        <w:rPr>
          <w:rFonts w:ascii="Times New Roman" w:hAnsi="Times New Roman"/>
          <w:sz w:val="24"/>
          <w:szCs w:val="24"/>
        </w:rPr>
        <w:t xml:space="preserve"> mass spectrometer. The raw data generated from the LTQ </w:t>
      </w:r>
      <w:proofErr w:type="spellStart"/>
      <w:r w:rsidRPr="008C1ADE">
        <w:rPr>
          <w:rFonts w:ascii="Times New Roman" w:hAnsi="Times New Roman"/>
          <w:sz w:val="24"/>
          <w:szCs w:val="24"/>
        </w:rPr>
        <w:t>Orbitrap</w:t>
      </w:r>
      <w:proofErr w:type="spellEnd"/>
      <w:r w:rsidRPr="008C1ADE">
        <w:rPr>
          <w:rFonts w:ascii="Times New Roman" w:hAnsi="Times New Roman"/>
          <w:sz w:val="24"/>
          <w:szCs w:val="24"/>
        </w:rPr>
        <w:t xml:space="preserve"> </w:t>
      </w:r>
      <w:proofErr w:type="spellStart"/>
      <w:r w:rsidRPr="008C1ADE">
        <w:rPr>
          <w:rFonts w:ascii="Times New Roman" w:hAnsi="Times New Roman"/>
          <w:sz w:val="24"/>
          <w:szCs w:val="24"/>
        </w:rPr>
        <w:t>Velos</w:t>
      </w:r>
      <w:proofErr w:type="spellEnd"/>
      <w:r w:rsidRPr="008C1ADE">
        <w:rPr>
          <w:rFonts w:ascii="Times New Roman" w:hAnsi="Times New Roman"/>
          <w:sz w:val="24"/>
          <w:szCs w:val="24"/>
        </w:rPr>
        <w:t xml:space="preserve"> w</w:t>
      </w:r>
      <w:r>
        <w:rPr>
          <w:rFonts w:ascii="Times New Roman" w:hAnsi="Times New Roman"/>
          <w:sz w:val="24"/>
          <w:szCs w:val="24"/>
        </w:rPr>
        <w:t>ere</w:t>
      </w:r>
      <w:r w:rsidRPr="008C1ADE">
        <w:rPr>
          <w:rFonts w:ascii="Times New Roman" w:hAnsi="Times New Roman"/>
          <w:sz w:val="24"/>
          <w:szCs w:val="24"/>
        </w:rPr>
        <w:t xml:space="preserve"> processed through the Mascot software (Matrix Science, UK) searching against </w:t>
      </w:r>
      <w:r>
        <w:rPr>
          <w:rFonts w:ascii="Times New Roman" w:hAnsi="Times New Roman"/>
          <w:sz w:val="24"/>
          <w:szCs w:val="24"/>
        </w:rPr>
        <w:t xml:space="preserve">the </w:t>
      </w:r>
      <w:proofErr w:type="spellStart"/>
      <w:r w:rsidRPr="008C1ADE">
        <w:rPr>
          <w:rFonts w:ascii="Times New Roman" w:hAnsi="Times New Roman"/>
          <w:sz w:val="24"/>
          <w:szCs w:val="24"/>
        </w:rPr>
        <w:t>SwissProt</w:t>
      </w:r>
      <w:proofErr w:type="spellEnd"/>
      <w:r w:rsidRPr="008C1ADE">
        <w:rPr>
          <w:rFonts w:ascii="Times New Roman" w:hAnsi="Times New Roman"/>
          <w:sz w:val="24"/>
          <w:szCs w:val="24"/>
        </w:rPr>
        <w:t xml:space="preserve"> (http://www.uniprot.org) sequence database. Peptides with an expectation value of 0.05% or less</w:t>
      </w:r>
      <w:r>
        <w:rPr>
          <w:rFonts w:ascii="Times New Roman" w:hAnsi="Times New Roman"/>
          <w:sz w:val="24"/>
          <w:szCs w:val="24"/>
        </w:rPr>
        <w:t xml:space="preserve"> and</w:t>
      </w:r>
      <w:r w:rsidRPr="008C1ADE">
        <w:rPr>
          <w:rFonts w:ascii="Times New Roman" w:hAnsi="Times New Roman"/>
          <w:sz w:val="24"/>
          <w:szCs w:val="24"/>
        </w:rPr>
        <w:t xml:space="preserve"> an ion score of 28 or higher were loaded into our OGAP database to evaluate the proteomic expression. Proteomic expression for CD205 antigen and other proteins were then calculated using spectral </w:t>
      </w:r>
      <w:r>
        <w:rPr>
          <w:rFonts w:ascii="Times New Roman" w:hAnsi="Times New Roman"/>
          <w:sz w:val="24"/>
          <w:szCs w:val="24"/>
        </w:rPr>
        <w:t xml:space="preserve">counting </w:t>
      </w:r>
      <w:r w:rsidRPr="008C1ADE">
        <w:rPr>
          <w:rFonts w:ascii="Times New Roman" w:hAnsi="Times New Roman"/>
          <w:sz w:val="24"/>
          <w:szCs w:val="24"/>
        </w:rPr>
        <w:t xml:space="preserve">and expressed </w:t>
      </w:r>
      <w:r>
        <w:rPr>
          <w:rFonts w:ascii="Times New Roman" w:hAnsi="Times New Roman"/>
          <w:sz w:val="24"/>
          <w:szCs w:val="24"/>
        </w:rPr>
        <w:t>as</w:t>
      </w:r>
      <w:r w:rsidRPr="008C1ADE">
        <w:rPr>
          <w:rFonts w:ascii="Times New Roman" w:hAnsi="Times New Roman"/>
          <w:sz w:val="24"/>
          <w:szCs w:val="24"/>
        </w:rPr>
        <w:t xml:space="preserve"> exponentially modified protein abundance index </w:t>
      </w:r>
      <w:r>
        <w:rPr>
          <w:rFonts w:ascii="Times New Roman" w:hAnsi="Times New Roman"/>
          <w:sz w:val="24"/>
          <w:szCs w:val="24"/>
        </w:rPr>
        <w:t xml:space="preserve">scores </w:t>
      </w:r>
      <w:r w:rsidRPr="008C1ADE">
        <w:rPr>
          <w:rFonts w:ascii="Times New Roman" w:hAnsi="Times New Roman"/>
          <w:sz w:val="24"/>
          <w:szCs w:val="24"/>
        </w:rPr>
        <w:t>(</w:t>
      </w:r>
      <w:proofErr w:type="spellStart"/>
      <w:r w:rsidRPr="008C1ADE">
        <w:rPr>
          <w:rFonts w:ascii="Times New Roman" w:hAnsi="Times New Roman"/>
          <w:sz w:val="24"/>
          <w:szCs w:val="24"/>
        </w:rPr>
        <w:t>emPAI</w:t>
      </w:r>
      <w:proofErr w:type="spellEnd"/>
      <w:r w:rsidRPr="008C1ADE">
        <w:rPr>
          <w:rFonts w:ascii="Times New Roman" w:hAnsi="Times New Roman"/>
          <w:sz w:val="24"/>
          <w:szCs w:val="24"/>
        </w:rPr>
        <w:t>)</w:t>
      </w:r>
      <w:r>
        <w:rPr>
          <w:rFonts w:ascii="Times New Roman" w:hAnsi="Times New Roman"/>
          <w:sz w:val="24"/>
          <w:szCs w:val="24"/>
        </w:rPr>
        <w:t xml:space="preserve"> (</w:t>
      </w:r>
      <w:r w:rsidRPr="00AC056D">
        <w:rPr>
          <w:rFonts w:ascii="Times New Roman" w:hAnsi="Times New Roman"/>
          <w:sz w:val="24"/>
          <w:szCs w:val="24"/>
        </w:rPr>
        <w:t>1</w:t>
      </w:r>
      <w:r>
        <w:rPr>
          <w:rFonts w:ascii="Times New Roman" w:hAnsi="Times New Roman"/>
          <w:sz w:val="24"/>
          <w:szCs w:val="24"/>
        </w:rPr>
        <w:t>).</w:t>
      </w:r>
    </w:p>
    <w:p w:rsidR="009F19F5" w:rsidRPr="00604B83" w:rsidRDefault="009F19F5" w:rsidP="009F19F5">
      <w:pPr>
        <w:spacing w:before="120" w:after="120" w:line="360" w:lineRule="auto"/>
        <w:rPr>
          <w:rFonts w:ascii="Times New Roman" w:hAnsi="Times New Roman"/>
          <w:b/>
          <w:sz w:val="24"/>
          <w:szCs w:val="24"/>
        </w:rPr>
      </w:pPr>
      <w:r w:rsidRPr="00604B83">
        <w:rPr>
          <w:rFonts w:ascii="Times New Roman" w:hAnsi="Times New Roman"/>
          <w:b/>
          <w:sz w:val="24"/>
          <w:szCs w:val="24"/>
        </w:rPr>
        <w:t xml:space="preserve">Human tissue </w:t>
      </w:r>
      <w:r w:rsidRPr="001069FF">
        <w:rPr>
          <w:rFonts w:ascii="Times New Roman" w:hAnsi="Times New Roman"/>
          <w:b/>
          <w:sz w:val="24"/>
          <w:szCs w:val="24"/>
        </w:rPr>
        <w:t>m</w:t>
      </w:r>
      <w:r w:rsidRPr="00604B83">
        <w:rPr>
          <w:rFonts w:ascii="Times New Roman" w:hAnsi="Times New Roman"/>
          <w:b/>
          <w:sz w:val="24"/>
          <w:szCs w:val="24"/>
        </w:rPr>
        <w:t>icroarrays</w:t>
      </w:r>
      <w:r>
        <w:rPr>
          <w:rFonts w:ascii="Times New Roman" w:hAnsi="Times New Roman"/>
          <w:b/>
          <w:sz w:val="24"/>
          <w:szCs w:val="24"/>
        </w:rPr>
        <w:t>, IHC and visual scoring</w:t>
      </w:r>
    </w:p>
    <w:p w:rsidR="00C917B2" w:rsidRPr="009F19F5" w:rsidRDefault="009F19F5">
      <w:pPr>
        <w:spacing w:before="120" w:after="120" w:line="360" w:lineRule="auto"/>
        <w:jc w:val="both"/>
        <w:rPr>
          <w:rFonts w:ascii="Times New Roman" w:hAnsi="Times New Roman"/>
          <w:sz w:val="24"/>
          <w:szCs w:val="24"/>
        </w:rPr>
      </w:pPr>
      <w:r w:rsidRPr="00604B83">
        <w:rPr>
          <w:rFonts w:ascii="Times New Roman" w:hAnsi="Times New Roman"/>
          <w:sz w:val="24"/>
          <w:szCs w:val="24"/>
        </w:rPr>
        <w:t>Formalin-fixed, paraffin-embedded (FFPE</w:t>
      </w:r>
      <w:r w:rsidRPr="001069FF">
        <w:rPr>
          <w:rFonts w:ascii="Times New Roman" w:hAnsi="Times New Roman"/>
          <w:sz w:val="24"/>
          <w:szCs w:val="24"/>
        </w:rPr>
        <w:t>)</w:t>
      </w:r>
      <w:r w:rsidRPr="00604B83">
        <w:rPr>
          <w:rFonts w:ascii="Times New Roman" w:hAnsi="Times New Roman"/>
          <w:sz w:val="24"/>
          <w:szCs w:val="24"/>
        </w:rPr>
        <w:t xml:space="preserve"> human </w:t>
      </w:r>
      <w:proofErr w:type="spellStart"/>
      <w:r w:rsidRPr="00604B83">
        <w:rPr>
          <w:rFonts w:ascii="Times New Roman" w:hAnsi="Times New Roman"/>
          <w:sz w:val="24"/>
          <w:szCs w:val="24"/>
        </w:rPr>
        <w:t>tumor</w:t>
      </w:r>
      <w:proofErr w:type="spellEnd"/>
      <w:r w:rsidRPr="00604B83">
        <w:rPr>
          <w:rFonts w:ascii="Times New Roman" w:hAnsi="Times New Roman"/>
          <w:sz w:val="24"/>
          <w:szCs w:val="24"/>
        </w:rPr>
        <w:t xml:space="preserve"> tissue microarrays </w:t>
      </w:r>
      <w:r>
        <w:rPr>
          <w:rFonts w:ascii="Times New Roman" w:hAnsi="Times New Roman"/>
          <w:sz w:val="24"/>
          <w:szCs w:val="24"/>
        </w:rPr>
        <w:t>(TMAs)</w:t>
      </w:r>
      <w:r w:rsidRPr="00604B83">
        <w:rPr>
          <w:rFonts w:ascii="Times New Roman" w:hAnsi="Times New Roman"/>
          <w:sz w:val="24"/>
          <w:szCs w:val="24"/>
        </w:rPr>
        <w:t xml:space="preserve"> included both primary and metastatic </w:t>
      </w:r>
      <w:proofErr w:type="spellStart"/>
      <w:r w:rsidRPr="00604B83">
        <w:rPr>
          <w:rFonts w:ascii="Times New Roman" w:hAnsi="Times New Roman"/>
          <w:sz w:val="24"/>
          <w:szCs w:val="24"/>
        </w:rPr>
        <w:t>tumor</w:t>
      </w:r>
      <w:proofErr w:type="spellEnd"/>
      <w:r w:rsidRPr="00604B83">
        <w:rPr>
          <w:rFonts w:ascii="Times New Roman" w:hAnsi="Times New Roman"/>
          <w:sz w:val="24"/>
          <w:szCs w:val="24"/>
        </w:rPr>
        <w:t xml:space="preserve"> samples f</w:t>
      </w:r>
      <w:r>
        <w:rPr>
          <w:rFonts w:ascii="Times New Roman" w:hAnsi="Times New Roman"/>
          <w:sz w:val="24"/>
          <w:szCs w:val="24"/>
        </w:rPr>
        <w:t>rom</w:t>
      </w:r>
      <w:r w:rsidRPr="00604B83">
        <w:rPr>
          <w:rFonts w:ascii="Times New Roman" w:hAnsi="Times New Roman"/>
          <w:sz w:val="24"/>
          <w:szCs w:val="24"/>
        </w:rPr>
        <w:t xml:space="preserve"> ovarian, bladder, breast, gastric, pancreatic, lung, and colorectal cancers. </w:t>
      </w:r>
      <w:r w:rsidRPr="001069FF">
        <w:rPr>
          <w:rFonts w:ascii="Times New Roman" w:hAnsi="Times New Roman"/>
          <w:sz w:val="24"/>
          <w:szCs w:val="24"/>
        </w:rPr>
        <w:t xml:space="preserve">Slides were </w:t>
      </w:r>
      <w:proofErr w:type="spellStart"/>
      <w:r w:rsidRPr="001069FF">
        <w:rPr>
          <w:rFonts w:ascii="Times New Roman" w:hAnsi="Times New Roman"/>
          <w:sz w:val="24"/>
          <w:szCs w:val="24"/>
        </w:rPr>
        <w:t>dewaxed</w:t>
      </w:r>
      <w:proofErr w:type="spellEnd"/>
      <w:r w:rsidRPr="001069FF">
        <w:rPr>
          <w:rFonts w:ascii="Times New Roman" w:hAnsi="Times New Roman"/>
          <w:sz w:val="24"/>
          <w:szCs w:val="24"/>
        </w:rPr>
        <w:t xml:space="preserve"> and rehydrated.  Antigen retrieval was performed in a </w:t>
      </w:r>
      <w:proofErr w:type="spellStart"/>
      <w:r w:rsidRPr="001069FF">
        <w:rPr>
          <w:rFonts w:ascii="Times New Roman" w:hAnsi="Times New Roman"/>
          <w:sz w:val="24"/>
          <w:szCs w:val="24"/>
        </w:rPr>
        <w:t>Tris</w:t>
      </w:r>
      <w:proofErr w:type="spellEnd"/>
      <w:r w:rsidRPr="001069FF">
        <w:rPr>
          <w:rFonts w:ascii="Times New Roman" w:hAnsi="Times New Roman"/>
          <w:sz w:val="24"/>
          <w:szCs w:val="24"/>
        </w:rPr>
        <w:t xml:space="preserve"> pH 9.0 buffer and a standard IHC protocol was used to assess expression of the target antigen. </w:t>
      </w:r>
      <w:r w:rsidRPr="00604B83">
        <w:rPr>
          <w:rFonts w:ascii="Times New Roman" w:hAnsi="Times New Roman"/>
          <w:sz w:val="24"/>
          <w:szCs w:val="24"/>
        </w:rPr>
        <w:t xml:space="preserve">Staining was performed using </w:t>
      </w:r>
      <w:r>
        <w:rPr>
          <w:rFonts w:ascii="Times New Roman" w:hAnsi="Times New Roman"/>
          <w:sz w:val="24"/>
          <w:szCs w:val="24"/>
        </w:rPr>
        <w:t xml:space="preserve">a </w:t>
      </w:r>
      <w:r w:rsidRPr="00604B83">
        <w:rPr>
          <w:rFonts w:ascii="Times New Roman" w:hAnsi="Times New Roman"/>
          <w:sz w:val="24"/>
          <w:szCs w:val="24"/>
        </w:rPr>
        <w:t xml:space="preserve">mouse monoclonal primary antibody </w:t>
      </w:r>
      <w:r>
        <w:rPr>
          <w:rFonts w:ascii="Times New Roman" w:hAnsi="Times New Roman"/>
          <w:sz w:val="24"/>
          <w:szCs w:val="24"/>
        </w:rPr>
        <w:t xml:space="preserve">against </w:t>
      </w:r>
      <w:r w:rsidRPr="00604B83">
        <w:rPr>
          <w:rFonts w:ascii="Times New Roman" w:hAnsi="Times New Roman"/>
          <w:sz w:val="24"/>
          <w:szCs w:val="24"/>
        </w:rPr>
        <w:t>CD205 (</w:t>
      </w:r>
      <w:proofErr w:type="spellStart"/>
      <w:r w:rsidRPr="00604B83">
        <w:rPr>
          <w:rFonts w:ascii="Times New Roman" w:hAnsi="Times New Roman"/>
          <w:sz w:val="24"/>
          <w:szCs w:val="24"/>
        </w:rPr>
        <w:t>Leica</w:t>
      </w:r>
      <w:proofErr w:type="spellEnd"/>
      <w:r w:rsidRPr="00604B83">
        <w:rPr>
          <w:rFonts w:ascii="Times New Roman" w:hAnsi="Times New Roman"/>
          <w:sz w:val="24"/>
          <w:szCs w:val="24"/>
        </w:rPr>
        <w:t xml:space="preserve">; clone 11A10 [NC-L-DEC205]) and </w:t>
      </w:r>
      <w:r>
        <w:rPr>
          <w:rFonts w:ascii="Times New Roman" w:hAnsi="Times New Roman"/>
          <w:sz w:val="24"/>
          <w:szCs w:val="24"/>
        </w:rPr>
        <w:t>a m</w:t>
      </w:r>
      <w:r w:rsidRPr="00604B83">
        <w:rPr>
          <w:rFonts w:ascii="Times New Roman" w:hAnsi="Times New Roman"/>
          <w:sz w:val="24"/>
          <w:szCs w:val="24"/>
        </w:rPr>
        <w:t xml:space="preserve">ouse </w:t>
      </w:r>
      <w:proofErr w:type="spellStart"/>
      <w:r w:rsidRPr="00604B83">
        <w:rPr>
          <w:rFonts w:ascii="Times New Roman" w:hAnsi="Times New Roman"/>
          <w:sz w:val="24"/>
          <w:szCs w:val="24"/>
        </w:rPr>
        <w:t>IgG</w:t>
      </w:r>
      <w:proofErr w:type="spellEnd"/>
      <w:r w:rsidRPr="00604B83">
        <w:rPr>
          <w:rFonts w:ascii="Times New Roman" w:hAnsi="Times New Roman"/>
          <w:sz w:val="24"/>
          <w:szCs w:val="24"/>
        </w:rPr>
        <w:t xml:space="preserve"> </w:t>
      </w:r>
      <w:proofErr w:type="spellStart"/>
      <w:r>
        <w:rPr>
          <w:rFonts w:ascii="Times New Roman" w:hAnsi="Times New Roman"/>
          <w:sz w:val="24"/>
          <w:szCs w:val="24"/>
        </w:rPr>
        <w:t>i</w:t>
      </w:r>
      <w:r w:rsidRPr="00604B83">
        <w:rPr>
          <w:rFonts w:ascii="Times New Roman" w:hAnsi="Times New Roman"/>
          <w:sz w:val="24"/>
          <w:szCs w:val="24"/>
        </w:rPr>
        <w:t>sotype</w:t>
      </w:r>
      <w:proofErr w:type="spellEnd"/>
      <w:r w:rsidRPr="00604B83">
        <w:rPr>
          <w:rFonts w:ascii="Times New Roman" w:hAnsi="Times New Roman"/>
          <w:sz w:val="24"/>
          <w:szCs w:val="24"/>
        </w:rPr>
        <w:t xml:space="preserve"> (R&amp;D Systems; MAB002); concentration matched and used at a dilution of 1:80. </w:t>
      </w:r>
      <w:r>
        <w:rPr>
          <w:rFonts w:ascii="Times New Roman" w:hAnsi="Times New Roman"/>
          <w:sz w:val="24"/>
          <w:szCs w:val="24"/>
        </w:rPr>
        <w:t xml:space="preserve">The primary antibody was detected with an anti-mouse-HRP </w:t>
      </w:r>
      <w:proofErr w:type="spellStart"/>
      <w:r>
        <w:rPr>
          <w:rFonts w:ascii="Times New Roman" w:hAnsi="Times New Roman"/>
          <w:sz w:val="24"/>
          <w:szCs w:val="24"/>
        </w:rPr>
        <w:t>labeled</w:t>
      </w:r>
      <w:proofErr w:type="spellEnd"/>
      <w:r>
        <w:rPr>
          <w:rFonts w:ascii="Times New Roman" w:hAnsi="Times New Roman"/>
          <w:sz w:val="24"/>
          <w:szCs w:val="24"/>
        </w:rPr>
        <w:t xml:space="preserve"> secondary antibody polymer (</w:t>
      </w:r>
      <w:proofErr w:type="spellStart"/>
      <w:r>
        <w:rPr>
          <w:rFonts w:ascii="Times New Roman" w:hAnsi="Times New Roman"/>
          <w:sz w:val="24"/>
          <w:szCs w:val="24"/>
        </w:rPr>
        <w:t>Dako</w:t>
      </w:r>
      <w:proofErr w:type="spellEnd"/>
      <w:r>
        <w:rPr>
          <w:rFonts w:ascii="Times New Roman" w:hAnsi="Times New Roman"/>
          <w:sz w:val="24"/>
          <w:szCs w:val="24"/>
        </w:rPr>
        <w:t>) and p</w:t>
      </w:r>
      <w:r w:rsidRPr="00604B83">
        <w:rPr>
          <w:rFonts w:ascii="Times New Roman" w:hAnsi="Times New Roman"/>
          <w:sz w:val="24"/>
          <w:szCs w:val="24"/>
        </w:rPr>
        <w:t xml:space="preserve">ositive signal was detected with DAB </w:t>
      </w:r>
      <w:proofErr w:type="spellStart"/>
      <w:r w:rsidRPr="00604B83">
        <w:rPr>
          <w:rFonts w:ascii="Times New Roman" w:hAnsi="Times New Roman"/>
          <w:sz w:val="24"/>
          <w:szCs w:val="24"/>
        </w:rPr>
        <w:t>chrom</w:t>
      </w:r>
      <w:r>
        <w:rPr>
          <w:rFonts w:ascii="Times New Roman" w:hAnsi="Times New Roman"/>
          <w:sz w:val="24"/>
          <w:szCs w:val="24"/>
        </w:rPr>
        <w:t>o</w:t>
      </w:r>
      <w:r w:rsidRPr="00604B83">
        <w:rPr>
          <w:rFonts w:ascii="Times New Roman" w:hAnsi="Times New Roman"/>
          <w:sz w:val="24"/>
          <w:szCs w:val="24"/>
        </w:rPr>
        <w:t>gen</w:t>
      </w:r>
      <w:proofErr w:type="spellEnd"/>
      <w:r w:rsidRPr="00604B83">
        <w:rPr>
          <w:rFonts w:ascii="Times New Roman" w:hAnsi="Times New Roman"/>
          <w:sz w:val="24"/>
          <w:szCs w:val="24"/>
        </w:rPr>
        <w:t xml:space="preserve">.  </w:t>
      </w:r>
      <w:r>
        <w:rPr>
          <w:rFonts w:ascii="Times New Roman" w:hAnsi="Times New Roman"/>
          <w:sz w:val="24"/>
          <w:szCs w:val="24"/>
        </w:rPr>
        <w:t xml:space="preserve">Alternately, the primary antibody was detected with an anti-mouse </w:t>
      </w:r>
      <w:proofErr w:type="spellStart"/>
      <w:r>
        <w:rPr>
          <w:rFonts w:ascii="Times New Roman" w:hAnsi="Times New Roman"/>
          <w:sz w:val="24"/>
          <w:szCs w:val="24"/>
        </w:rPr>
        <w:t>biotinylated</w:t>
      </w:r>
      <w:proofErr w:type="spellEnd"/>
      <w:r>
        <w:rPr>
          <w:rFonts w:ascii="Times New Roman" w:hAnsi="Times New Roman"/>
          <w:sz w:val="24"/>
          <w:szCs w:val="24"/>
        </w:rPr>
        <w:t xml:space="preserve"> secondary antibody (</w:t>
      </w:r>
      <w:proofErr w:type="spellStart"/>
      <w:r>
        <w:rPr>
          <w:rFonts w:ascii="Times New Roman" w:hAnsi="Times New Roman"/>
          <w:sz w:val="24"/>
          <w:szCs w:val="24"/>
        </w:rPr>
        <w:t>Dako</w:t>
      </w:r>
      <w:proofErr w:type="spellEnd"/>
      <w:r>
        <w:rPr>
          <w:rFonts w:ascii="Times New Roman" w:hAnsi="Times New Roman"/>
          <w:sz w:val="24"/>
          <w:szCs w:val="24"/>
        </w:rPr>
        <w:t xml:space="preserve">), followed by incubation with </w:t>
      </w:r>
      <w:proofErr w:type="spellStart"/>
      <w:r>
        <w:rPr>
          <w:rFonts w:ascii="Times New Roman" w:hAnsi="Times New Roman"/>
          <w:sz w:val="24"/>
          <w:szCs w:val="24"/>
        </w:rPr>
        <w:t>streptavidin</w:t>
      </w:r>
      <w:proofErr w:type="spellEnd"/>
      <w:r>
        <w:rPr>
          <w:rFonts w:ascii="Times New Roman" w:hAnsi="Times New Roman"/>
          <w:sz w:val="24"/>
          <w:szCs w:val="24"/>
        </w:rPr>
        <w:t xml:space="preserve"> </w:t>
      </w:r>
      <w:proofErr w:type="spellStart"/>
      <w:r>
        <w:rPr>
          <w:rFonts w:ascii="Times New Roman" w:hAnsi="Times New Roman"/>
          <w:sz w:val="24"/>
          <w:szCs w:val="24"/>
        </w:rPr>
        <w:t>peroxidase</w:t>
      </w:r>
      <w:proofErr w:type="spellEnd"/>
      <w:r>
        <w:rPr>
          <w:rFonts w:ascii="Times New Roman" w:hAnsi="Times New Roman"/>
          <w:sz w:val="24"/>
          <w:szCs w:val="24"/>
        </w:rPr>
        <w:t xml:space="preserve"> (</w:t>
      </w:r>
      <w:proofErr w:type="spellStart"/>
      <w:r>
        <w:rPr>
          <w:rFonts w:ascii="Times New Roman" w:hAnsi="Times New Roman"/>
          <w:sz w:val="24"/>
          <w:szCs w:val="24"/>
        </w:rPr>
        <w:t>Dako</w:t>
      </w:r>
      <w:proofErr w:type="spellEnd"/>
      <w:r>
        <w:rPr>
          <w:rFonts w:ascii="Times New Roman" w:hAnsi="Times New Roman"/>
          <w:sz w:val="24"/>
          <w:szCs w:val="24"/>
        </w:rPr>
        <w:t xml:space="preserve">) prior to detection with DAB </w:t>
      </w:r>
      <w:proofErr w:type="spellStart"/>
      <w:r>
        <w:rPr>
          <w:rFonts w:ascii="Times New Roman" w:hAnsi="Times New Roman"/>
          <w:sz w:val="24"/>
          <w:szCs w:val="24"/>
        </w:rPr>
        <w:t>chromogen</w:t>
      </w:r>
      <w:proofErr w:type="spellEnd"/>
      <w:r>
        <w:rPr>
          <w:rFonts w:ascii="Times New Roman" w:hAnsi="Times New Roman"/>
          <w:sz w:val="24"/>
          <w:szCs w:val="24"/>
        </w:rPr>
        <w:t xml:space="preserve">. </w:t>
      </w:r>
      <w:r w:rsidRPr="00604B83">
        <w:rPr>
          <w:rFonts w:ascii="Times New Roman" w:hAnsi="Times New Roman"/>
          <w:sz w:val="24"/>
          <w:szCs w:val="24"/>
        </w:rPr>
        <w:t xml:space="preserve">Slides were developed, counterstained, and visualized by </w:t>
      </w:r>
      <w:proofErr w:type="spellStart"/>
      <w:r w:rsidRPr="00604B83">
        <w:rPr>
          <w:rFonts w:ascii="Times New Roman" w:hAnsi="Times New Roman"/>
          <w:sz w:val="24"/>
          <w:szCs w:val="24"/>
        </w:rPr>
        <w:t>brightfield</w:t>
      </w:r>
      <w:proofErr w:type="spellEnd"/>
      <w:r w:rsidRPr="00604B83">
        <w:rPr>
          <w:rFonts w:ascii="Times New Roman" w:hAnsi="Times New Roman"/>
          <w:sz w:val="24"/>
          <w:szCs w:val="24"/>
        </w:rPr>
        <w:t xml:space="preserve"> microscopy. A scoring system was used to evaluate the CD205 antigen expression according to the observable staining. A score of 3+ denoted strong expression, 2+ indicated moderate expression and 1+ corresponded to weak expression. Samples that did not stain positively for CD205 were scored negative (</w:t>
      </w:r>
      <w:r>
        <w:rPr>
          <w:rFonts w:ascii="Times New Roman" w:hAnsi="Times New Roman"/>
          <w:sz w:val="24"/>
          <w:szCs w:val="24"/>
        </w:rPr>
        <w:t>0</w:t>
      </w:r>
      <w:r w:rsidRPr="00604B83">
        <w:rPr>
          <w:rFonts w:ascii="Times New Roman" w:hAnsi="Times New Roman"/>
          <w:sz w:val="24"/>
          <w:szCs w:val="24"/>
        </w:rPr>
        <w:t>).</w:t>
      </w:r>
    </w:p>
    <w:p w:rsidR="00135477" w:rsidRPr="008C1ADE" w:rsidRDefault="00135477" w:rsidP="00135477">
      <w:pPr>
        <w:autoSpaceDE w:val="0"/>
        <w:autoSpaceDN w:val="0"/>
        <w:adjustRightInd w:val="0"/>
        <w:spacing w:before="120" w:after="120" w:line="360" w:lineRule="auto"/>
        <w:rPr>
          <w:rFonts w:ascii="Times New Roman" w:hAnsi="Times New Roman"/>
          <w:b/>
          <w:sz w:val="24"/>
          <w:szCs w:val="24"/>
        </w:rPr>
      </w:pPr>
      <w:r w:rsidRPr="008C1ADE">
        <w:rPr>
          <w:rFonts w:ascii="Times New Roman" w:hAnsi="Times New Roman"/>
          <w:b/>
          <w:sz w:val="24"/>
          <w:szCs w:val="24"/>
        </w:rPr>
        <w:t>RNA extraction and quantitative real time PCR detection</w:t>
      </w:r>
    </w:p>
    <w:p w:rsidR="00135477" w:rsidRDefault="00135477" w:rsidP="00135477">
      <w:pPr>
        <w:autoSpaceDE w:val="0"/>
        <w:autoSpaceDN w:val="0"/>
        <w:adjustRightInd w:val="0"/>
        <w:spacing w:before="120" w:after="120" w:line="360" w:lineRule="auto"/>
        <w:contextualSpacing/>
        <w:jc w:val="both"/>
        <w:rPr>
          <w:rFonts w:ascii="Times New Roman" w:hAnsi="Times New Roman"/>
          <w:sz w:val="24"/>
          <w:szCs w:val="24"/>
        </w:rPr>
      </w:pPr>
      <w:r w:rsidRPr="008C1ADE">
        <w:rPr>
          <w:rFonts w:ascii="Times New Roman" w:hAnsi="Times New Roman"/>
          <w:sz w:val="24"/>
          <w:szCs w:val="24"/>
        </w:rPr>
        <w:t xml:space="preserve">Cell </w:t>
      </w:r>
      <w:proofErr w:type="spellStart"/>
      <w:r w:rsidRPr="008C1ADE">
        <w:rPr>
          <w:rFonts w:ascii="Times New Roman" w:hAnsi="Times New Roman"/>
          <w:sz w:val="24"/>
          <w:szCs w:val="24"/>
        </w:rPr>
        <w:t>lysates</w:t>
      </w:r>
      <w:proofErr w:type="spellEnd"/>
      <w:r w:rsidRPr="008C1ADE">
        <w:rPr>
          <w:rFonts w:ascii="Times New Roman" w:hAnsi="Times New Roman"/>
          <w:sz w:val="24"/>
          <w:szCs w:val="24"/>
        </w:rPr>
        <w:t xml:space="preserve"> and total RNA was prepared with </w:t>
      </w:r>
      <w:proofErr w:type="spellStart"/>
      <w:r w:rsidRPr="008C1ADE">
        <w:rPr>
          <w:rFonts w:ascii="Times New Roman" w:hAnsi="Times New Roman"/>
          <w:sz w:val="24"/>
          <w:szCs w:val="24"/>
        </w:rPr>
        <w:t>RNeasy</w:t>
      </w:r>
      <w:proofErr w:type="spellEnd"/>
      <w:r w:rsidRPr="008C1ADE">
        <w:rPr>
          <w:rFonts w:ascii="Times New Roman" w:hAnsi="Times New Roman"/>
          <w:sz w:val="24"/>
          <w:szCs w:val="24"/>
        </w:rPr>
        <w:t xml:space="preserve"> Mini Kit (</w:t>
      </w:r>
      <w:proofErr w:type="spellStart"/>
      <w:r w:rsidRPr="008C1ADE">
        <w:rPr>
          <w:rFonts w:ascii="Times New Roman" w:hAnsi="Times New Roman"/>
          <w:sz w:val="24"/>
          <w:szCs w:val="24"/>
        </w:rPr>
        <w:t>Qiagen</w:t>
      </w:r>
      <w:proofErr w:type="spellEnd"/>
      <w:r w:rsidRPr="008C1ADE">
        <w:rPr>
          <w:rFonts w:ascii="Times New Roman" w:hAnsi="Times New Roman"/>
          <w:sz w:val="24"/>
          <w:szCs w:val="24"/>
        </w:rPr>
        <w:t xml:space="preserve">) according to manufacturer instructions. The corresponding </w:t>
      </w:r>
      <w:proofErr w:type="spellStart"/>
      <w:r w:rsidRPr="008C1ADE">
        <w:rPr>
          <w:rFonts w:ascii="Times New Roman" w:hAnsi="Times New Roman"/>
          <w:sz w:val="24"/>
          <w:szCs w:val="24"/>
        </w:rPr>
        <w:t>cDNAs</w:t>
      </w:r>
      <w:proofErr w:type="spellEnd"/>
      <w:r w:rsidRPr="008C1ADE">
        <w:rPr>
          <w:rFonts w:ascii="Times New Roman" w:hAnsi="Times New Roman"/>
          <w:sz w:val="24"/>
          <w:szCs w:val="24"/>
        </w:rPr>
        <w:t xml:space="preserve"> were synthesized using the High-Capacity </w:t>
      </w:r>
      <w:proofErr w:type="spellStart"/>
      <w:r w:rsidRPr="008C1ADE">
        <w:rPr>
          <w:rFonts w:ascii="Times New Roman" w:hAnsi="Times New Roman"/>
          <w:sz w:val="24"/>
          <w:szCs w:val="24"/>
        </w:rPr>
        <w:t>cDNA</w:t>
      </w:r>
      <w:proofErr w:type="spellEnd"/>
      <w:r w:rsidRPr="008C1ADE">
        <w:rPr>
          <w:rFonts w:ascii="Times New Roman" w:hAnsi="Times New Roman"/>
          <w:sz w:val="24"/>
          <w:szCs w:val="24"/>
        </w:rPr>
        <w:t xml:space="preserve"> Reverse </w:t>
      </w:r>
      <w:r w:rsidRPr="008C1ADE">
        <w:rPr>
          <w:rFonts w:ascii="Times New Roman" w:hAnsi="Times New Roman"/>
          <w:sz w:val="24"/>
          <w:szCs w:val="24"/>
        </w:rPr>
        <w:lastRenderedPageBreak/>
        <w:t xml:space="preserve">Transcription Kit (Applied </w:t>
      </w:r>
      <w:proofErr w:type="spellStart"/>
      <w:r w:rsidRPr="008C1ADE">
        <w:rPr>
          <w:rFonts w:ascii="Times New Roman" w:hAnsi="Times New Roman"/>
          <w:sz w:val="24"/>
          <w:szCs w:val="24"/>
        </w:rPr>
        <w:t>Biosystems</w:t>
      </w:r>
      <w:proofErr w:type="spellEnd"/>
      <w:r w:rsidRPr="008C1ADE">
        <w:rPr>
          <w:rFonts w:ascii="Times New Roman" w:hAnsi="Times New Roman"/>
          <w:sz w:val="24"/>
          <w:szCs w:val="24"/>
        </w:rPr>
        <w:t xml:space="preserve">). To determine the expression levels of </w:t>
      </w:r>
      <w:r>
        <w:rPr>
          <w:rFonts w:ascii="Times New Roman" w:hAnsi="Times New Roman"/>
          <w:sz w:val="24"/>
          <w:szCs w:val="24"/>
        </w:rPr>
        <w:t xml:space="preserve">the </w:t>
      </w:r>
      <w:r w:rsidRPr="008C1ADE">
        <w:rPr>
          <w:rFonts w:ascii="Times New Roman" w:hAnsi="Times New Roman"/>
          <w:sz w:val="24"/>
          <w:szCs w:val="24"/>
        </w:rPr>
        <w:t>CD205 transcript, duplicate</w:t>
      </w:r>
      <w:r>
        <w:rPr>
          <w:rFonts w:ascii="Times New Roman" w:hAnsi="Times New Roman"/>
          <w:sz w:val="24"/>
          <w:szCs w:val="24"/>
        </w:rPr>
        <w:t>s</w:t>
      </w:r>
      <w:r w:rsidRPr="008C1ADE">
        <w:rPr>
          <w:rFonts w:ascii="Times New Roman" w:hAnsi="Times New Roman"/>
          <w:sz w:val="24"/>
          <w:szCs w:val="24"/>
        </w:rPr>
        <w:t xml:space="preserve"> of 1:5 dilutions of </w:t>
      </w:r>
      <w:proofErr w:type="spellStart"/>
      <w:r w:rsidRPr="008C1ADE">
        <w:rPr>
          <w:rFonts w:ascii="Times New Roman" w:hAnsi="Times New Roman"/>
          <w:sz w:val="24"/>
          <w:szCs w:val="24"/>
        </w:rPr>
        <w:t>cDNA</w:t>
      </w:r>
      <w:proofErr w:type="spellEnd"/>
      <w:r w:rsidRPr="008C1ADE">
        <w:rPr>
          <w:rFonts w:ascii="Times New Roman" w:hAnsi="Times New Roman"/>
          <w:sz w:val="24"/>
          <w:szCs w:val="24"/>
        </w:rPr>
        <w:t xml:space="preserve"> samples were amplified in 25 </w:t>
      </w:r>
      <w:proofErr w:type="spellStart"/>
      <w:r w:rsidRPr="008C1ADE">
        <w:rPr>
          <w:rFonts w:ascii="Times New Roman" w:hAnsi="Times New Roman"/>
          <w:sz w:val="24"/>
          <w:szCs w:val="24"/>
        </w:rPr>
        <w:t>μl</w:t>
      </w:r>
      <w:proofErr w:type="spellEnd"/>
      <w:r w:rsidRPr="008C1ADE">
        <w:rPr>
          <w:rFonts w:ascii="Times New Roman" w:hAnsi="Times New Roman"/>
          <w:sz w:val="24"/>
          <w:szCs w:val="24"/>
        </w:rPr>
        <w:t xml:space="preserve"> of </w:t>
      </w:r>
      <w:proofErr w:type="spellStart"/>
      <w:r w:rsidRPr="008C1ADE">
        <w:rPr>
          <w:rFonts w:ascii="Times New Roman" w:hAnsi="Times New Roman"/>
          <w:sz w:val="24"/>
          <w:szCs w:val="24"/>
        </w:rPr>
        <w:t>TaqMan</w:t>
      </w:r>
      <w:proofErr w:type="spellEnd"/>
      <w:r w:rsidRPr="008C1ADE">
        <w:rPr>
          <w:rFonts w:ascii="Times New Roman" w:hAnsi="Times New Roman"/>
          <w:sz w:val="24"/>
          <w:szCs w:val="24"/>
        </w:rPr>
        <w:t xml:space="preserve"> Universal PCR Master Mix using 1.25 </w:t>
      </w:r>
      <w:proofErr w:type="spellStart"/>
      <w:r w:rsidRPr="008C1ADE">
        <w:rPr>
          <w:rFonts w:ascii="Times New Roman" w:hAnsi="Times New Roman"/>
          <w:sz w:val="24"/>
          <w:szCs w:val="24"/>
        </w:rPr>
        <w:t>μl</w:t>
      </w:r>
      <w:proofErr w:type="spellEnd"/>
      <w:r w:rsidRPr="008C1ADE">
        <w:rPr>
          <w:rFonts w:ascii="Times New Roman" w:hAnsi="Times New Roman"/>
          <w:sz w:val="24"/>
          <w:szCs w:val="24"/>
        </w:rPr>
        <w:t xml:space="preserve"> of the 20X Inventoried Assay purchased from Applied </w:t>
      </w:r>
      <w:proofErr w:type="spellStart"/>
      <w:r w:rsidRPr="008C1ADE">
        <w:rPr>
          <w:rFonts w:ascii="Times New Roman" w:hAnsi="Times New Roman"/>
          <w:sz w:val="24"/>
          <w:szCs w:val="24"/>
        </w:rPr>
        <w:t>Biosystem</w:t>
      </w:r>
      <w:proofErr w:type="spellEnd"/>
      <w:r w:rsidRPr="008C1ADE">
        <w:rPr>
          <w:rFonts w:ascii="Times New Roman" w:hAnsi="Times New Roman"/>
          <w:sz w:val="24"/>
          <w:szCs w:val="24"/>
        </w:rPr>
        <w:t xml:space="preserve">. The inventoried assays used were Hs00158966_m1 (Human LY75) and Hs99999905_m1 (human GAPDH as endogenous control), Applied </w:t>
      </w:r>
      <w:proofErr w:type="spellStart"/>
      <w:r w:rsidRPr="008C1ADE">
        <w:rPr>
          <w:rFonts w:ascii="Times New Roman" w:hAnsi="Times New Roman"/>
          <w:sz w:val="24"/>
          <w:szCs w:val="24"/>
        </w:rPr>
        <w:t>Biosystem</w:t>
      </w:r>
      <w:proofErr w:type="spellEnd"/>
      <w:r w:rsidRPr="008C1ADE">
        <w:rPr>
          <w:rFonts w:ascii="Times New Roman" w:hAnsi="Times New Roman"/>
          <w:sz w:val="24"/>
          <w:szCs w:val="24"/>
        </w:rPr>
        <w:t xml:space="preserve">. Threshold cycle values (Ct) were selected from the geometric phase of the amplification curves and Ct values greater than 34 were considered not detectable. The amplification and quantitative real time detection was performed in a 7300 Real Time PCR system (Applied </w:t>
      </w:r>
      <w:proofErr w:type="spellStart"/>
      <w:r w:rsidRPr="008C1ADE">
        <w:rPr>
          <w:rFonts w:ascii="Times New Roman" w:hAnsi="Times New Roman"/>
          <w:sz w:val="24"/>
          <w:szCs w:val="24"/>
        </w:rPr>
        <w:t>Biosystems</w:t>
      </w:r>
      <w:proofErr w:type="spellEnd"/>
      <w:r w:rsidRPr="008C1ADE">
        <w:rPr>
          <w:rFonts w:ascii="Times New Roman" w:hAnsi="Times New Roman"/>
          <w:sz w:val="24"/>
          <w:szCs w:val="24"/>
        </w:rPr>
        <w:t>). Data were presented as mean relative copy number (RCN) using RCN = 2-ΔCt , where ∆Ct is the Ct(target) – Ct(GAPDH).</w:t>
      </w:r>
    </w:p>
    <w:p w:rsidR="00135477" w:rsidRPr="00135477" w:rsidRDefault="00135477">
      <w:pPr>
        <w:spacing w:before="120" w:after="120" w:line="360" w:lineRule="auto"/>
        <w:jc w:val="both"/>
        <w:rPr>
          <w:rFonts w:ascii="Times New Roman" w:hAnsi="Times New Roman"/>
          <w:b/>
          <w:sz w:val="24"/>
          <w:szCs w:val="24"/>
        </w:rPr>
      </w:pPr>
    </w:p>
    <w:p w:rsidR="007F18AD" w:rsidRPr="007F18AD" w:rsidRDefault="003659B4">
      <w:pPr>
        <w:spacing w:before="120" w:after="120" w:line="360" w:lineRule="auto"/>
        <w:jc w:val="both"/>
        <w:rPr>
          <w:rFonts w:ascii="Times New Roman" w:hAnsi="Times New Roman"/>
          <w:b/>
          <w:sz w:val="24"/>
          <w:szCs w:val="24"/>
          <w:lang w:val="en-US"/>
        </w:rPr>
      </w:pPr>
      <w:r w:rsidRPr="003659B4">
        <w:rPr>
          <w:rFonts w:ascii="Times New Roman" w:hAnsi="Times New Roman"/>
          <w:b/>
          <w:sz w:val="24"/>
          <w:szCs w:val="24"/>
          <w:lang w:val="en-US"/>
        </w:rPr>
        <w:t>MEN1309</w:t>
      </w:r>
      <w:r w:rsidR="00EB29AE">
        <w:rPr>
          <w:rFonts w:ascii="Times New Roman" w:hAnsi="Times New Roman"/>
          <w:b/>
          <w:sz w:val="24"/>
          <w:szCs w:val="24"/>
          <w:lang w:val="en-US"/>
        </w:rPr>
        <w:t>/OBT076</w:t>
      </w:r>
      <w:r w:rsidRPr="003659B4">
        <w:rPr>
          <w:rFonts w:ascii="Times New Roman" w:hAnsi="Times New Roman"/>
          <w:b/>
          <w:sz w:val="24"/>
          <w:szCs w:val="24"/>
          <w:lang w:val="en-US"/>
        </w:rPr>
        <w:t xml:space="preserve"> binding to Fc</w:t>
      </w:r>
      <w:r w:rsidR="00700C2C">
        <w:rPr>
          <w:rFonts w:ascii="Times New Roman" w:hAnsi="Times New Roman"/>
          <w:b/>
          <w:sz w:val="24"/>
          <w:szCs w:val="24"/>
          <w:lang w:val="en-US"/>
        </w:rPr>
        <w:t>γ</w:t>
      </w:r>
      <w:r w:rsidRPr="003659B4">
        <w:rPr>
          <w:rFonts w:ascii="Times New Roman" w:hAnsi="Times New Roman"/>
          <w:b/>
          <w:sz w:val="24"/>
          <w:szCs w:val="24"/>
          <w:lang w:val="en-US"/>
        </w:rPr>
        <w:t>RIIIA-158V </w:t>
      </w:r>
    </w:p>
    <w:p w:rsidR="00297BCD" w:rsidRDefault="001C24B2">
      <w:pPr>
        <w:shd w:val="clear" w:color="auto" w:fill="FFFFFF"/>
        <w:spacing w:before="120" w:after="120" w:line="360" w:lineRule="auto"/>
        <w:jc w:val="both"/>
        <w:rPr>
          <w:rFonts w:ascii="Times New Roman" w:hAnsi="Times New Roman"/>
          <w:sz w:val="24"/>
          <w:szCs w:val="24"/>
          <w:lang w:val="en-US"/>
        </w:rPr>
      </w:pPr>
      <w:r w:rsidRPr="001C24B2">
        <w:rPr>
          <w:rFonts w:ascii="Times New Roman" w:hAnsi="Times New Roman"/>
          <w:sz w:val="24"/>
          <w:szCs w:val="24"/>
          <w:lang w:val="en-US"/>
        </w:rPr>
        <w:t xml:space="preserve">An ELISA method was performed to measure the binding affinity of both </w:t>
      </w:r>
      <w:proofErr w:type="spellStart"/>
      <w:r w:rsidRPr="001C24B2">
        <w:rPr>
          <w:rFonts w:ascii="Times New Roman" w:hAnsi="Times New Roman"/>
          <w:sz w:val="24"/>
          <w:szCs w:val="24"/>
          <w:lang w:val="en-US"/>
        </w:rPr>
        <w:t>unconjugated</w:t>
      </w:r>
      <w:proofErr w:type="spellEnd"/>
      <w:r w:rsidRPr="001C24B2">
        <w:rPr>
          <w:rFonts w:ascii="Times New Roman" w:hAnsi="Times New Roman"/>
          <w:sz w:val="24"/>
          <w:szCs w:val="24"/>
          <w:lang w:val="en-US"/>
        </w:rPr>
        <w:t xml:space="preserve"> and conjugated MEN1309</w:t>
      </w:r>
      <w:r w:rsidR="00EB29AE">
        <w:rPr>
          <w:rFonts w:ascii="Times New Roman" w:hAnsi="Times New Roman"/>
          <w:sz w:val="24"/>
          <w:szCs w:val="24"/>
          <w:lang w:val="en-US"/>
        </w:rPr>
        <w:t>/OBT076</w:t>
      </w:r>
      <w:r w:rsidRPr="001C24B2">
        <w:rPr>
          <w:rFonts w:ascii="Times New Roman" w:hAnsi="Times New Roman"/>
          <w:sz w:val="24"/>
          <w:szCs w:val="24"/>
          <w:lang w:val="en-US"/>
        </w:rPr>
        <w:t xml:space="preserve"> to Fc</w:t>
      </w:r>
      <w:r w:rsidR="00700C2C">
        <w:rPr>
          <w:rFonts w:ascii="Times New Roman" w:hAnsi="Times New Roman"/>
          <w:sz w:val="24"/>
          <w:szCs w:val="24"/>
          <w:lang w:val="en-US"/>
        </w:rPr>
        <w:t>γ</w:t>
      </w:r>
      <w:r w:rsidRPr="001C24B2">
        <w:rPr>
          <w:rFonts w:ascii="Times New Roman" w:hAnsi="Times New Roman"/>
          <w:sz w:val="24"/>
          <w:szCs w:val="24"/>
          <w:lang w:val="en-US"/>
        </w:rPr>
        <w:t xml:space="preserve">RIIIa-158V. Briefly, </w:t>
      </w:r>
      <w:proofErr w:type="spellStart"/>
      <w:r w:rsidRPr="001C24B2">
        <w:rPr>
          <w:rFonts w:ascii="Times New Roman" w:hAnsi="Times New Roman"/>
          <w:sz w:val="24"/>
          <w:szCs w:val="24"/>
          <w:lang w:val="en-US"/>
        </w:rPr>
        <w:t>MaxiSorp</w:t>
      </w:r>
      <w:proofErr w:type="spellEnd"/>
      <w:r w:rsidRPr="001C24B2">
        <w:rPr>
          <w:rFonts w:ascii="Times New Roman" w:hAnsi="Times New Roman"/>
          <w:sz w:val="24"/>
          <w:szCs w:val="24"/>
          <w:lang w:val="en-US"/>
        </w:rPr>
        <w:t xml:space="preserve"> 96-well plates (Roskilde, Denmark) were coated with 100 ml/well 2 </w:t>
      </w:r>
      <w:proofErr w:type="spellStart"/>
      <w:r w:rsidRPr="001C24B2">
        <w:rPr>
          <w:rFonts w:ascii="Times New Roman" w:hAnsi="Times New Roman"/>
          <w:sz w:val="24"/>
          <w:szCs w:val="24"/>
          <w:lang w:val="en-US"/>
        </w:rPr>
        <w:t>μg</w:t>
      </w:r>
      <w:proofErr w:type="spellEnd"/>
      <w:r w:rsidRPr="001C24B2">
        <w:rPr>
          <w:rFonts w:ascii="Times New Roman" w:hAnsi="Times New Roman"/>
          <w:sz w:val="24"/>
          <w:szCs w:val="24"/>
          <w:lang w:val="en-US"/>
        </w:rPr>
        <w:t xml:space="preserve">/ml of anti-Tetra His antibody and incubated at 4°C overnight. The plates were washed 4 times with 300 </w:t>
      </w:r>
      <w:r w:rsidR="008F13AC">
        <w:rPr>
          <w:rFonts w:ascii="Times New Roman" w:hAnsi="Times New Roman"/>
          <w:sz w:val="24"/>
          <w:szCs w:val="24"/>
          <w:lang w:val="en-US"/>
        </w:rPr>
        <w:t>µ</w:t>
      </w:r>
      <w:r w:rsidRPr="001C24B2">
        <w:rPr>
          <w:rFonts w:ascii="Times New Roman" w:hAnsi="Times New Roman"/>
          <w:sz w:val="24"/>
          <w:szCs w:val="24"/>
          <w:lang w:val="en-US"/>
        </w:rPr>
        <w:t xml:space="preserve">l/well PBS containing 0.05% </w:t>
      </w:r>
      <w:proofErr w:type="spellStart"/>
      <w:r w:rsidRPr="001C24B2">
        <w:rPr>
          <w:rFonts w:ascii="Times New Roman" w:hAnsi="Times New Roman"/>
          <w:sz w:val="24"/>
          <w:szCs w:val="24"/>
          <w:lang w:val="en-US"/>
        </w:rPr>
        <w:t>Tween</w:t>
      </w:r>
      <w:proofErr w:type="spellEnd"/>
      <w:r w:rsidRPr="001C24B2">
        <w:rPr>
          <w:rFonts w:ascii="Times New Roman" w:hAnsi="Times New Roman"/>
          <w:sz w:val="24"/>
          <w:szCs w:val="24"/>
          <w:lang w:val="en-US"/>
        </w:rPr>
        <w:t xml:space="preserve"> 20 and blocked with 100 µl/well PBS containing 0,5% BSA. After 1 hour incubation at room temperature and </w:t>
      </w:r>
      <w:proofErr w:type="spellStart"/>
      <w:r w:rsidRPr="001C24B2">
        <w:rPr>
          <w:rFonts w:ascii="Times New Roman" w:hAnsi="Times New Roman"/>
          <w:sz w:val="24"/>
          <w:szCs w:val="24"/>
          <w:lang w:val="en-US"/>
        </w:rPr>
        <w:t>washig</w:t>
      </w:r>
      <w:proofErr w:type="spellEnd"/>
      <w:r w:rsidRPr="001C24B2">
        <w:rPr>
          <w:rFonts w:ascii="Times New Roman" w:hAnsi="Times New Roman"/>
          <w:sz w:val="24"/>
          <w:szCs w:val="24"/>
          <w:lang w:val="en-US"/>
        </w:rPr>
        <w:t xml:space="preserve"> 100 µl/well of 1.5 µg/ml Fc</w:t>
      </w:r>
      <w:r w:rsidR="00700C2C">
        <w:rPr>
          <w:rFonts w:ascii="Times New Roman" w:hAnsi="Times New Roman"/>
          <w:sz w:val="24"/>
          <w:szCs w:val="24"/>
          <w:lang w:val="en-US"/>
        </w:rPr>
        <w:t>γ</w:t>
      </w:r>
      <w:r w:rsidRPr="001C24B2">
        <w:rPr>
          <w:rFonts w:ascii="Times New Roman" w:hAnsi="Times New Roman"/>
          <w:sz w:val="24"/>
          <w:szCs w:val="24"/>
          <w:lang w:val="en-US"/>
        </w:rPr>
        <w:t xml:space="preserve">RIIIa-158V (Sino </w:t>
      </w:r>
      <w:proofErr w:type="spellStart"/>
      <w:r w:rsidRPr="001C24B2">
        <w:rPr>
          <w:rFonts w:ascii="Times New Roman" w:hAnsi="Times New Roman"/>
          <w:sz w:val="24"/>
          <w:szCs w:val="24"/>
          <w:lang w:val="en-US"/>
        </w:rPr>
        <w:t>Biologicals</w:t>
      </w:r>
      <w:proofErr w:type="spellEnd"/>
      <w:r w:rsidRPr="001C24B2">
        <w:rPr>
          <w:rFonts w:ascii="Times New Roman" w:hAnsi="Times New Roman"/>
          <w:sz w:val="24"/>
          <w:szCs w:val="24"/>
          <w:lang w:val="en-US"/>
        </w:rPr>
        <w:t xml:space="preserve">) were added to plates and incubated at room temperature for 1 hour. After washing, 100 </w:t>
      </w:r>
      <w:r w:rsidR="008F13AC">
        <w:rPr>
          <w:rFonts w:ascii="Times New Roman" w:hAnsi="Times New Roman"/>
          <w:sz w:val="24"/>
          <w:szCs w:val="24"/>
          <w:lang w:val="en-US"/>
        </w:rPr>
        <w:t>µ</w:t>
      </w:r>
      <w:r w:rsidRPr="001C24B2">
        <w:rPr>
          <w:rFonts w:ascii="Times New Roman" w:hAnsi="Times New Roman"/>
          <w:sz w:val="24"/>
          <w:szCs w:val="24"/>
          <w:lang w:val="en-US"/>
        </w:rPr>
        <w:t xml:space="preserve">l/well of three-folds serial dilutions of antibodies were incubated at room temperature for 2 hours. Bound antibodies were detected using (1:40000) </w:t>
      </w:r>
      <w:proofErr w:type="spellStart"/>
      <w:r w:rsidRPr="001C24B2">
        <w:rPr>
          <w:rFonts w:ascii="Times New Roman" w:hAnsi="Times New Roman"/>
          <w:sz w:val="24"/>
          <w:szCs w:val="24"/>
          <w:lang w:val="en-US"/>
        </w:rPr>
        <w:t>peroxidase</w:t>
      </w:r>
      <w:proofErr w:type="spellEnd"/>
      <w:r w:rsidRPr="001C24B2">
        <w:rPr>
          <w:rFonts w:ascii="Times New Roman" w:hAnsi="Times New Roman"/>
          <w:sz w:val="24"/>
          <w:szCs w:val="24"/>
          <w:lang w:val="en-US"/>
        </w:rPr>
        <w:t xml:space="preserve">-labeled goat antihuman </w:t>
      </w:r>
      <w:proofErr w:type="spellStart"/>
      <w:r w:rsidRPr="001C24B2">
        <w:rPr>
          <w:rFonts w:ascii="Times New Roman" w:hAnsi="Times New Roman"/>
          <w:sz w:val="24"/>
          <w:szCs w:val="24"/>
          <w:lang w:val="en-US"/>
        </w:rPr>
        <w:t>IgG</w:t>
      </w:r>
      <w:proofErr w:type="spellEnd"/>
      <w:r w:rsidRPr="001C24B2">
        <w:rPr>
          <w:rFonts w:ascii="Times New Roman" w:hAnsi="Times New Roman"/>
          <w:sz w:val="24"/>
          <w:szCs w:val="24"/>
          <w:lang w:val="en-US"/>
        </w:rPr>
        <w:t xml:space="preserve"> F(</w:t>
      </w:r>
      <w:proofErr w:type="spellStart"/>
      <w:r w:rsidRPr="001C24B2">
        <w:rPr>
          <w:rFonts w:ascii="Times New Roman" w:hAnsi="Times New Roman"/>
          <w:sz w:val="24"/>
          <w:szCs w:val="24"/>
          <w:lang w:val="en-US"/>
        </w:rPr>
        <w:t>ab</w:t>
      </w:r>
      <w:proofErr w:type="spellEnd"/>
      <w:r w:rsidRPr="001C24B2">
        <w:rPr>
          <w:rFonts w:ascii="Times New Roman" w:hAnsi="Times New Roman"/>
          <w:sz w:val="24"/>
          <w:szCs w:val="24"/>
          <w:lang w:val="en-US"/>
        </w:rPr>
        <w:t xml:space="preserve">’)2 fragment specific (Jackson </w:t>
      </w:r>
      <w:proofErr w:type="spellStart"/>
      <w:r w:rsidRPr="001C24B2">
        <w:rPr>
          <w:rFonts w:ascii="Times New Roman" w:hAnsi="Times New Roman"/>
          <w:sz w:val="24"/>
          <w:szCs w:val="24"/>
          <w:lang w:val="en-US"/>
        </w:rPr>
        <w:t>ImmunoResearch</w:t>
      </w:r>
      <w:proofErr w:type="spellEnd"/>
      <w:r w:rsidRPr="001C24B2">
        <w:rPr>
          <w:rFonts w:ascii="Times New Roman" w:hAnsi="Times New Roman"/>
          <w:sz w:val="24"/>
          <w:szCs w:val="24"/>
          <w:lang w:val="en-US"/>
        </w:rPr>
        <w:t xml:space="preserve"> Laboratories) and 100 µl/well 3,3′,5,5′-Tetramethylbenzidine (TMB) as substrate (Thermo scientific, Waltham, MA, USA). The reaction was stopped with 100 µl/well Stop solution, and the </w:t>
      </w:r>
      <w:proofErr w:type="spellStart"/>
      <w:r w:rsidRPr="001C24B2">
        <w:rPr>
          <w:rFonts w:ascii="Times New Roman" w:hAnsi="Times New Roman"/>
          <w:sz w:val="24"/>
          <w:szCs w:val="24"/>
          <w:lang w:val="en-US"/>
        </w:rPr>
        <w:t>adsorbance</w:t>
      </w:r>
      <w:proofErr w:type="spellEnd"/>
      <w:r w:rsidRPr="001C24B2">
        <w:rPr>
          <w:rFonts w:ascii="Times New Roman" w:hAnsi="Times New Roman"/>
          <w:sz w:val="24"/>
          <w:szCs w:val="24"/>
          <w:lang w:val="en-US"/>
        </w:rPr>
        <w:t xml:space="preserve"> at 450 nm was measured on an Infinite M200 plate reader (</w:t>
      </w:r>
      <w:proofErr w:type="spellStart"/>
      <w:r w:rsidRPr="001C24B2">
        <w:rPr>
          <w:rFonts w:ascii="Times New Roman" w:hAnsi="Times New Roman"/>
          <w:sz w:val="24"/>
          <w:szCs w:val="24"/>
          <w:lang w:val="en-US"/>
        </w:rPr>
        <w:t>Tecan</w:t>
      </w:r>
      <w:proofErr w:type="spellEnd"/>
      <w:r w:rsidRPr="001C24B2">
        <w:rPr>
          <w:rFonts w:ascii="Times New Roman" w:hAnsi="Times New Roman"/>
          <w:sz w:val="24"/>
          <w:szCs w:val="24"/>
          <w:lang w:val="en-US"/>
        </w:rPr>
        <w:t>, Switzerland).</w:t>
      </w:r>
    </w:p>
    <w:p w:rsidR="0049203E" w:rsidRPr="00697B73" w:rsidRDefault="003659B4" w:rsidP="0049203E">
      <w:pPr>
        <w:spacing w:before="120" w:after="120" w:line="360" w:lineRule="auto"/>
        <w:jc w:val="both"/>
        <w:rPr>
          <w:rFonts w:ascii="Times New Roman" w:hAnsi="Times New Roman"/>
          <w:b/>
          <w:sz w:val="24"/>
          <w:szCs w:val="24"/>
          <w:lang w:val="en-US"/>
        </w:rPr>
      </w:pPr>
      <w:r w:rsidRPr="003659B4">
        <w:rPr>
          <w:rFonts w:ascii="Times New Roman" w:hAnsi="Times New Roman"/>
          <w:b/>
          <w:sz w:val="24"/>
          <w:szCs w:val="24"/>
          <w:lang w:val="en-US"/>
        </w:rPr>
        <w:t>ADCC assay</w:t>
      </w:r>
    </w:p>
    <w:p w:rsidR="0049203E" w:rsidRPr="0049203E" w:rsidRDefault="0049203E" w:rsidP="0049203E">
      <w:pPr>
        <w:spacing w:before="120" w:after="120" w:line="360" w:lineRule="auto"/>
        <w:jc w:val="both"/>
        <w:rPr>
          <w:rFonts w:ascii="Times New Roman" w:hAnsi="Times New Roman"/>
          <w:sz w:val="24"/>
          <w:szCs w:val="24"/>
          <w:lang w:val="en-US"/>
        </w:rPr>
      </w:pPr>
      <w:r w:rsidRPr="0049203E">
        <w:rPr>
          <w:rFonts w:ascii="Times New Roman" w:hAnsi="Times New Roman"/>
          <w:sz w:val="24"/>
          <w:szCs w:val="24"/>
          <w:lang w:val="en-US"/>
        </w:rPr>
        <w:t xml:space="preserve">The ADCC assay was performed using the ADCC Reporter Bioassay from </w:t>
      </w:r>
      <w:proofErr w:type="spellStart"/>
      <w:r w:rsidRPr="0049203E">
        <w:rPr>
          <w:rFonts w:ascii="Times New Roman" w:hAnsi="Times New Roman"/>
          <w:sz w:val="24"/>
          <w:szCs w:val="24"/>
          <w:lang w:val="en-US"/>
        </w:rPr>
        <w:t>Promega</w:t>
      </w:r>
      <w:proofErr w:type="spellEnd"/>
      <w:r w:rsidRPr="0049203E">
        <w:rPr>
          <w:rFonts w:ascii="Times New Roman" w:hAnsi="Times New Roman"/>
          <w:sz w:val="24"/>
          <w:szCs w:val="24"/>
          <w:lang w:val="en-US"/>
        </w:rPr>
        <w:t xml:space="preserve">, following the kit instructions with some modifications. Briefly, 4x106 THP-1 target cells were washed and re-suspended in 4 </w:t>
      </w:r>
      <w:proofErr w:type="spellStart"/>
      <w:r w:rsidRPr="0049203E">
        <w:rPr>
          <w:rFonts w:ascii="Times New Roman" w:hAnsi="Times New Roman"/>
          <w:sz w:val="24"/>
          <w:szCs w:val="24"/>
          <w:lang w:val="en-US"/>
        </w:rPr>
        <w:t>mL</w:t>
      </w:r>
      <w:proofErr w:type="spellEnd"/>
      <w:r w:rsidRPr="0049203E">
        <w:rPr>
          <w:rFonts w:ascii="Times New Roman" w:hAnsi="Times New Roman"/>
          <w:sz w:val="24"/>
          <w:szCs w:val="24"/>
          <w:lang w:val="en-US"/>
        </w:rPr>
        <w:t xml:space="preserve"> of ADCC buffer  and were seeded on a white 96-well plate. Serial dilutions of  antibodies, ranging from 0.3 </w:t>
      </w:r>
      <w:proofErr w:type="spellStart"/>
      <w:r w:rsidRPr="0049203E">
        <w:rPr>
          <w:rFonts w:ascii="Times New Roman" w:hAnsi="Times New Roman"/>
          <w:sz w:val="24"/>
          <w:szCs w:val="24"/>
          <w:lang w:val="en-US"/>
        </w:rPr>
        <w:t>ng</w:t>
      </w:r>
      <w:proofErr w:type="spellEnd"/>
      <w:r w:rsidRPr="0049203E">
        <w:rPr>
          <w:rFonts w:ascii="Times New Roman" w:hAnsi="Times New Roman"/>
          <w:sz w:val="24"/>
          <w:szCs w:val="24"/>
          <w:lang w:val="en-US"/>
        </w:rPr>
        <w:t>/</w:t>
      </w:r>
      <w:proofErr w:type="spellStart"/>
      <w:r w:rsidRPr="0049203E">
        <w:rPr>
          <w:rFonts w:ascii="Times New Roman" w:hAnsi="Times New Roman"/>
          <w:sz w:val="24"/>
          <w:szCs w:val="24"/>
          <w:lang w:val="en-US"/>
        </w:rPr>
        <w:t>mL</w:t>
      </w:r>
      <w:proofErr w:type="spellEnd"/>
      <w:r w:rsidRPr="0049203E">
        <w:rPr>
          <w:rFonts w:ascii="Times New Roman" w:hAnsi="Times New Roman"/>
          <w:sz w:val="24"/>
          <w:szCs w:val="24"/>
          <w:lang w:val="en-US"/>
        </w:rPr>
        <w:t xml:space="preserve"> up to 1 µg/</w:t>
      </w:r>
      <w:proofErr w:type="spellStart"/>
      <w:r w:rsidRPr="0049203E">
        <w:rPr>
          <w:rFonts w:ascii="Times New Roman" w:hAnsi="Times New Roman"/>
          <w:sz w:val="24"/>
          <w:szCs w:val="24"/>
          <w:lang w:val="en-US"/>
        </w:rPr>
        <w:t>mL</w:t>
      </w:r>
      <w:proofErr w:type="spellEnd"/>
      <w:r w:rsidRPr="0049203E">
        <w:rPr>
          <w:rFonts w:ascii="Times New Roman" w:hAnsi="Times New Roman"/>
          <w:sz w:val="24"/>
          <w:szCs w:val="24"/>
          <w:lang w:val="en-US"/>
        </w:rPr>
        <w:t xml:space="preserve">, were seeded adding a further volume of 25 µl/well. </w:t>
      </w:r>
      <w:proofErr w:type="spellStart"/>
      <w:r w:rsidRPr="0049203E">
        <w:rPr>
          <w:rFonts w:ascii="Times New Roman" w:hAnsi="Times New Roman"/>
          <w:sz w:val="24"/>
          <w:szCs w:val="24"/>
          <w:lang w:val="en-US"/>
        </w:rPr>
        <w:t>Jurkat</w:t>
      </w:r>
      <w:proofErr w:type="spellEnd"/>
      <w:r w:rsidRPr="0049203E">
        <w:rPr>
          <w:rFonts w:ascii="Times New Roman" w:hAnsi="Times New Roman"/>
          <w:sz w:val="24"/>
          <w:szCs w:val="24"/>
          <w:lang w:val="en-US"/>
        </w:rPr>
        <w:t xml:space="preserve"> </w:t>
      </w:r>
      <w:proofErr w:type="spellStart"/>
      <w:r w:rsidRPr="0049203E">
        <w:rPr>
          <w:rFonts w:ascii="Times New Roman" w:hAnsi="Times New Roman"/>
          <w:sz w:val="24"/>
          <w:szCs w:val="24"/>
          <w:lang w:val="en-US"/>
        </w:rPr>
        <w:t>effector</w:t>
      </w:r>
      <w:proofErr w:type="spellEnd"/>
      <w:r w:rsidRPr="0049203E">
        <w:rPr>
          <w:rFonts w:ascii="Times New Roman" w:hAnsi="Times New Roman"/>
          <w:sz w:val="24"/>
          <w:szCs w:val="24"/>
          <w:lang w:val="en-US"/>
        </w:rPr>
        <w:t xml:space="preserve"> cells were prepared by adding to 630 µl cells from the stock vial to 3600 µl of ADCC buffer. 25 </w:t>
      </w:r>
      <w:proofErr w:type="spellStart"/>
      <w:r w:rsidRPr="0049203E">
        <w:rPr>
          <w:rFonts w:ascii="Times New Roman" w:hAnsi="Times New Roman"/>
          <w:sz w:val="24"/>
          <w:szCs w:val="24"/>
          <w:lang w:val="en-US"/>
        </w:rPr>
        <w:t>ul</w:t>
      </w:r>
      <w:proofErr w:type="spellEnd"/>
      <w:r w:rsidRPr="0049203E">
        <w:rPr>
          <w:rFonts w:ascii="Times New Roman" w:hAnsi="Times New Roman"/>
          <w:sz w:val="24"/>
          <w:szCs w:val="24"/>
          <w:lang w:val="en-US"/>
        </w:rPr>
        <w:t xml:space="preserve"> of this dilution were added to each well obtaining a </w:t>
      </w:r>
      <w:proofErr w:type="spellStart"/>
      <w:r w:rsidRPr="0049203E">
        <w:rPr>
          <w:rFonts w:ascii="Times New Roman" w:hAnsi="Times New Roman"/>
          <w:sz w:val="24"/>
          <w:szCs w:val="24"/>
          <w:lang w:val="en-US"/>
        </w:rPr>
        <w:t>Effector</w:t>
      </w:r>
      <w:proofErr w:type="spellEnd"/>
      <w:r w:rsidRPr="0049203E">
        <w:rPr>
          <w:rFonts w:ascii="Times New Roman" w:hAnsi="Times New Roman"/>
          <w:sz w:val="24"/>
          <w:szCs w:val="24"/>
          <w:lang w:val="en-US"/>
        </w:rPr>
        <w:t xml:space="preserve"> / Target cell Ratio = 3 / 1 (75000 / 25000). Plates were incubated 6h at 37°C. After a second incubation at RT </w:t>
      </w:r>
      <w:r w:rsidRPr="0049203E">
        <w:rPr>
          <w:rFonts w:ascii="Times New Roman" w:hAnsi="Times New Roman"/>
          <w:sz w:val="24"/>
          <w:szCs w:val="24"/>
          <w:lang w:val="en-US"/>
        </w:rPr>
        <w:lastRenderedPageBreak/>
        <w:t xml:space="preserve">for 15 min, 75 </w:t>
      </w:r>
      <w:proofErr w:type="spellStart"/>
      <w:r w:rsidRPr="0049203E">
        <w:rPr>
          <w:rFonts w:ascii="Times New Roman" w:hAnsi="Times New Roman"/>
          <w:sz w:val="24"/>
          <w:szCs w:val="24"/>
          <w:lang w:val="en-US"/>
        </w:rPr>
        <w:t>ul</w:t>
      </w:r>
      <w:proofErr w:type="spellEnd"/>
      <w:r w:rsidRPr="0049203E">
        <w:rPr>
          <w:rFonts w:ascii="Times New Roman" w:hAnsi="Times New Roman"/>
          <w:sz w:val="24"/>
          <w:szCs w:val="24"/>
          <w:lang w:val="en-US"/>
        </w:rPr>
        <w:t xml:space="preserve"> of </w:t>
      </w:r>
      <w:proofErr w:type="spellStart"/>
      <w:r w:rsidRPr="0049203E">
        <w:rPr>
          <w:rFonts w:ascii="Times New Roman" w:hAnsi="Times New Roman"/>
          <w:sz w:val="24"/>
          <w:szCs w:val="24"/>
          <w:lang w:val="en-US"/>
        </w:rPr>
        <w:t>BioGlo</w:t>
      </w:r>
      <w:proofErr w:type="spellEnd"/>
      <w:r w:rsidRPr="0049203E">
        <w:rPr>
          <w:rFonts w:ascii="Times New Roman" w:hAnsi="Times New Roman"/>
          <w:sz w:val="24"/>
          <w:szCs w:val="24"/>
          <w:lang w:val="en-US"/>
        </w:rPr>
        <w:t xml:space="preserve"> reagent/well were added. Plates were maintained 1 min in the dark and then the developed luminescence was detected in the Infinite M200 reader.</w:t>
      </w:r>
    </w:p>
    <w:p w:rsidR="0049203E" w:rsidRPr="00697B73" w:rsidRDefault="003659B4" w:rsidP="0049203E">
      <w:pPr>
        <w:spacing w:before="120" w:after="120" w:line="360" w:lineRule="auto"/>
        <w:jc w:val="both"/>
        <w:rPr>
          <w:rFonts w:ascii="Times New Roman" w:hAnsi="Times New Roman"/>
          <w:b/>
          <w:sz w:val="24"/>
          <w:szCs w:val="24"/>
          <w:lang w:val="en-US"/>
        </w:rPr>
      </w:pPr>
      <w:r w:rsidRPr="003659B4">
        <w:rPr>
          <w:rFonts w:ascii="Times New Roman" w:hAnsi="Times New Roman"/>
          <w:b/>
          <w:sz w:val="24"/>
          <w:szCs w:val="24"/>
          <w:lang w:val="en-US"/>
        </w:rPr>
        <w:t>CDC assay</w:t>
      </w:r>
    </w:p>
    <w:p w:rsidR="0049203E" w:rsidRPr="0049203E" w:rsidRDefault="0049203E" w:rsidP="0049203E">
      <w:pPr>
        <w:spacing w:before="120" w:after="120" w:line="360" w:lineRule="auto"/>
        <w:jc w:val="both"/>
        <w:rPr>
          <w:rFonts w:ascii="Times New Roman" w:hAnsi="Times New Roman"/>
          <w:sz w:val="24"/>
          <w:szCs w:val="24"/>
          <w:lang w:val="en-US"/>
        </w:rPr>
      </w:pPr>
      <w:r w:rsidRPr="0049203E">
        <w:rPr>
          <w:rFonts w:ascii="Times New Roman" w:hAnsi="Times New Roman"/>
          <w:sz w:val="24"/>
          <w:szCs w:val="24"/>
          <w:lang w:val="en-US"/>
        </w:rPr>
        <w:t>The CDC assay was performed using purified human serum complement (</w:t>
      </w:r>
      <w:proofErr w:type="spellStart"/>
      <w:r w:rsidRPr="0049203E">
        <w:rPr>
          <w:rFonts w:ascii="Times New Roman" w:hAnsi="Times New Roman"/>
          <w:sz w:val="24"/>
          <w:szCs w:val="24"/>
          <w:lang w:val="en-US"/>
        </w:rPr>
        <w:t>Quidel</w:t>
      </w:r>
      <w:proofErr w:type="spellEnd"/>
      <w:r w:rsidRPr="0049203E">
        <w:rPr>
          <w:rFonts w:ascii="Times New Roman" w:hAnsi="Times New Roman"/>
          <w:sz w:val="24"/>
          <w:szCs w:val="24"/>
          <w:lang w:val="en-US"/>
        </w:rPr>
        <w:t xml:space="preserve">, San Diego, CA). MEN1309 (100 </w:t>
      </w:r>
      <w:proofErr w:type="spellStart"/>
      <w:r w:rsidRPr="0049203E">
        <w:rPr>
          <w:rFonts w:ascii="Times New Roman" w:hAnsi="Times New Roman"/>
          <w:sz w:val="24"/>
          <w:szCs w:val="24"/>
          <w:lang w:val="en-US"/>
        </w:rPr>
        <w:t>μg</w:t>
      </w:r>
      <w:proofErr w:type="spellEnd"/>
      <w:r w:rsidRPr="0049203E">
        <w:rPr>
          <w:rFonts w:ascii="Times New Roman" w:hAnsi="Times New Roman"/>
          <w:sz w:val="24"/>
          <w:szCs w:val="24"/>
          <w:lang w:val="en-US"/>
        </w:rPr>
        <w:t xml:space="preserve">/ml-0,00001 </w:t>
      </w:r>
      <w:proofErr w:type="spellStart"/>
      <w:r w:rsidRPr="0049203E">
        <w:rPr>
          <w:rFonts w:ascii="Times New Roman" w:hAnsi="Times New Roman"/>
          <w:sz w:val="24"/>
          <w:szCs w:val="24"/>
          <w:lang w:val="en-US"/>
        </w:rPr>
        <w:t>μg</w:t>
      </w:r>
      <w:proofErr w:type="spellEnd"/>
      <w:r w:rsidRPr="0049203E">
        <w:rPr>
          <w:rFonts w:ascii="Times New Roman" w:hAnsi="Times New Roman"/>
          <w:sz w:val="24"/>
          <w:szCs w:val="24"/>
          <w:lang w:val="en-US"/>
        </w:rPr>
        <w:t xml:space="preserve">/ml) was diluted with RHB buffer (RPMI 1640 No Phenol Red, Life Technologies, 20 </w:t>
      </w:r>
      <w:proofErr w:type="spellStart"/>
      <w:r w:rsidRPr="0049203E">
        <w:rPr>
          <w:rFonts w:ascii="Times New Roman" w:hAnsi="Times New Roman"/>
          <w:sz w:val="24"/>
          <w:szCs w:val="24"/>
          <w:lang w:val="en-US"/>
        </w:rPr>
        <w:t>mM</w:t>
      </w:r>
      <w:proofErr w:type="spellEnd"/>
      <w:r w:rsidRPr="0049203E">
        <w:rPr>
          <w:rFonts w:ascii="Times New Roman" w:hAnsi="Times New Roman"/>
          <w:sz w:val="24"/>
          <w:szCs w:val="24"/>
          <w:lang w:val="en-US"/>
        </w:rPr>
        <w:t xml:space="preserve"> HEPES, pH 7.2, 2 </w:t>
      </w:r>
      <w:proofErr w:type="spellStart"/>
      <w:r w:rsidRPr="0049203E">
        <w:rPr>
          <w:rFonts w:ascii="Times New Roman" w:hAnsi="Times New Roman"/>
          <w:sz w:val="24"/>
          <w:szCs w:val="24"/>
          <w:lang w:val="en-US"/>
        </w:rPr>
        <w:t>mM</w:t>
      </w:r>
      <w:proofErr w:type="spellEnd"/>
      <w:r w:rsidRPr="0049203E">
        <w:rPr>
          <w:rFonts w:ascii="Times New Roman" w:hAnsi="Times New Roman"/>
          <w:sz w:val="24"/>
          <w:szCs w:val="24"/>
          <w:lang w:val="en-US"/>
        </w:rPr>
        <w:t xml:space="preserve"> glutamine, 0.1% BSA). </w:t>
      </w:r>
      <w:proofErr w:type="spellStart"/>
      <w:r w:rsidRPr="0049203E">
        <w:rPr>
          <w:rFonts w:ascii="Times New Roman" w:hAnsi="Times New Roman"/>
          <w:sz w:val="24"/>
          <w:szCs w:val="24"/>
          <w:lang w:val="en-US"/>
        </w:rPr>
        <w:t>Raji</w:t>
      </w:r>
      <w:proofErr w:type="spellEnd"/>
      <w:r w:rsidRPr="0049203E">
        <w:rPr>
          <w:rFonts w:ascii="Times New Roman" w:hAnsi="Times New Roman"/>
          <w:sz w:val="24"/>
          <w:szCs w:val="24"/>
          <w:lang w:val="en-US"/>
        </w:rPr>
        <w:t xml:space="preserve"> cells were washed in RHB buffer and </w:t>
      </w:r>
      <w:proofErr w:type="spellStart"/>
      <w:r w:rsidRPr="0049203E">
        <w:rPr>
          <w:rFonts w:ascii="Times New Roman" w:hAnsi="Times New Roman"/>
          <w:sz w:val="24"/>
          <w:szCs w:val="24"/>
          <w:lang w:val="en-US"/>
        </w:rPr>
        <w:t>resuspended</w:t>
      </w:r>
      <w:proofErr w:type="spellEnd"/>
      <w:r w:rsidRPr="0049203E">
        <w:rPr>
          <w:rFonts w:ascii="Times New Roman" w:hAnsi="Times New Roman"/>
          <w:sz w:val="24"/>
          <w:szCs w:val="24"/>
          <w:lang w:val="en-US"/>
        </w:rPr>
        <w:t xml:space="preserve"> at a density of 1x10</w:t>
      </w:r>
      <w:r w:rsidR="004C611F" w:rsidRPr="004C611F">
        <w:rPr>
          <w:rFonts w:ascii="Times New Roman" w:hAnsi="Times New Roman"/>
          <w:sz w:val="24"/>
          <w:szCs w:val="24"/>
          <w:vertAlign w:val="superscript"/>
          <w:lang w:val="en-US"/>
        </w:rPr>
        <w:t>6</w:t>
      </w:r>
      <w:r w:rsidRPr="0049203E">
        <w:rPr>
          <w:rFonts w:ascii="Times New Roman" w:hAnsi="Times New Roman"/>
          <w:sz w:val="24"/>
          <w:szCs w:val="24"/>
          <w:lang w:val="en-US"/>
        </w:rPr>
        <w:t xml:space="preserve"> cells/ml. In a typical assay, 50 µl of a cell suspension (50,000 cells/well), 50 µl of diluted human complement (4%) and 50 </w:t>
      </w:r>
      <w:proofErr w:type="spellStart"/>
      <w:r w:rsidRPr="0049203E">
        <w:rPr>
          <w:rFonts w:ascii="Times New Roman" w:hAnsi="Times New Roman"/>
          <w:sz w:val="24"/>
          <w:szCs w:val="24"/>
          <w:lang w:val="en-US"/>
        </w:rPr>
        <w:t>μl</w:t>
      </w:r>
      <w:proofErr w:type="spellEnd"/>
      <w:r w:rsidRPr="0049203E">
        <w:rPr>
          <w:rFonts w:ascii="Times New Roman" w:hAnsi="Times New Roman"/>
          <w:sz w:val="24"/>
          <w:szCs w:val="24"/>
          <w:lang w:val="en-US"/>
        </w:rPr>
        <w:t xml:space="preserve"> of diluted MEN1309 were added to a flat-bottom tissue culture 96-well plate. A control curve with </w:t>
      </w:r>
      <w:proofErr w:type="spellStart"/>
      <w:r w:rsidRPr="0049203E">
        <w:rPr>
          <w:rFonts w:ascii="Times New Roman" w:hAnsi="Times New Roman"/>
          <w:sz w:val="24"/>
          <w:szCs w:val="24"/>
          <w:lang w:val="en-US"/>
        </w:rPr>
        <w:t>Rituximab</w:t>
      </w:r>
      <w:proofErr w:type="spellEnd"/>
      <w:r w:rsidRPr="0049203E">
        <w:rPr>
          <w:rFonts w:ascii="Times New Roman" w:hAnsi="Times New Roman"/>
          <w:sz w:val="24"/>
          <w:szCs w:val="24"/>
          <w:lang w:val="en-US"/>
        </w:rPr>
        <w:t xml:space="preserve"> antibody was added. The mixture was incubated for 3 hours at 37°C in a 5% CO2 incubator to facilitate complement-mediated cell </w:t>
      </w:r>
      <w:proofErr w:type="spellStart"/>
      <w:r w:rsidRPr="0049203E">
        <w:rPr>
          <w:rFonts w:ascii="Times New Roman" w:hAnsi="Times New Roman"/>
          <w:sz w:val="24"/>
          <w:szCs w:val="24"/>
          <w:lang w:val="en-US"/>
        </w:rPr>
        <w:t>lysis</w:t>
      </w:r>
      <w:proofErr w:type="spellEnd"/>
      <w:r w:rsidRPr="0049203E">
        <w:rPr>
          <w:rFonts w:ascii="Times New Roman" w:hAnsi="Times New Roman"/>
          <w:sz w:val="24"/>
          <w:szCs w:val="24"/>
          <w:lang w:val="en-US"/>
        </w:rPr>
        <w:t xml:space="preserve">. Then, 50 </w:t>
      </w:r>
      <w:proofErr w:type="spellStart"/>
      <w:r w:rsidRPr="0049203E">
        <w:rPr>
          <w:rFonts w:ascii="Times New Roman" w:hAnsi="Times New Roman"/>
          <w:sz w:val="24"/>
          <w:szCs w:val="24"/>
          <w:lang w:val="en-US"/>
        </w:rPr>
        <w:t>μl</w:t>
      </w:r>
      <w:proofErr w:type="spellEnd"/>
      <w:r w:rsidRPr="0049203E">
        <w:rPr>
          <w:rFonts w:ascii="Times New Roman" w:hAnsi="Times New Roman"/>
          <w:sz w:val="24"/>
          <w:szCs w:val="24"/>
          <w:lang w:val="en-US"/>
        </w:rPr>
        <w:t xml:space="preserve"> of </w:t>
      </w:r>
      <w:proofErr w:type="spellStart"/>
      <w:r w:rsidRPr="0049203E">
        <w:rPr>
          <w:rFonts w:ascii="Times New Roman" w:hAnsi="Times New Roman"/>
          <w:sz w:val="24"/>
          <w:szCs w:val="24"/>
          <w:lang w:val="en-US"/>
        </w:rPr>
        <w:t>Alamar</w:t>
      </w:r>
      <w:proofErr w:type="spellEnd"/>
      <w:r w:rsidRPr="0049203E">
        <w:rPr>
          <w:rFonts w:ascii="Times New Roman" w:hAnsi="Times New Roman"/>
          <w:sz w:val="24"/>
          <w:szCs w:val="24"/>
          <w:lang w:val="en-US"/>
        </w:rPr>
        <w:t xml:space="preserve"> Blue (</w:t>
      </w:r>
      <w:proofErr w:type="spellStart"/>
      <w:r w:rsidRPr="0049203E">
        <w:rPr>
          <w:rFonts w:ascii="Times New Roman" w:hAnsi="Times New Roman"/>
          <w:sz w:val="24"/>
          <w:szCs w:val="24"/>
          <w:lang w:val="en-US"/>
        </w:rPr>
        <w:t>Accumed</w:t>
      </w:r>
      <w:proofErr w:type="spellEnd"/>
      <w:r w:rsidRPr="0049203E">
        <w:rPr>
          <w:rFonts w:ascii="Times New Roman" w:hAnsi="Times New Roman"/>
          <w:sz w:val="24"/>
          <w:szCs w:val="24"/>
          <w:lang w:val="en-US"/>
        </w:rPr>
        <w:t xml:space="preserve"> International, Westlake, OH) was added to each well and incubated overnight at 37°C. Fluorescence was read using a 96-well </w:t>
      </w:r>
      <w:proofErr w:type="spellStart"/>
      <w:r w:rsidRPr="0049203E">
        <w:rPr>
          <w:rFonts w:ascii="Times New Roman" w:hAnsi="Times New Roman"/>
          <w:sz w:val="24"/>
          <w:szCs w:val="24"/>
          <w:lang w:val="en-US"/>
        </w:rPr>
        <w:t>fluorometer</w:t>
      </w:r>
      <w:proofErr w:type="spellEnd"/>
      <w:r w:rsidRPr="0049203E">
        <w:rPr>
          <w:rFonts w:ascii="Times New Roman" w:hAnsi="Times New Roman"/>
          <w:sz w:val="24"/>
          <w:szCs w:val="24"/>
          <w:lang w:val="en-US"/>
        </w:rPr>
        <w:t xml:space="preserve"> with excitation at 530 nm and emission at 590 nm. The results are expressed in relative percentage of </w:t>
      </w:r>
      <w:proofErr w:type="spellStart"/>
      <w:r w:rsidRPr="0049203E">
        <w:rPr>
          <w:rFonts w:ascii="Times New Roman" w:hAnsi="Times New Roman"/>
          <w:sz w:val="24"/>
          <w:szCs w:val="24"/>
          <w:lang w:val="en-US"/>
        </w:rPr>
        <w:t>cytotoxicity</w:t>
      </w:r>
      <w:proofErr w:type="spellEnd"/>
      <w:r w:rsidRPr="0049203E">
        <w:rPr>
          <w:rFonts w:ascii="Times New Roman" w:hAnsi="Times New Roman"/>
          <w:sz w:val="24"/>
          <w:szCs w:val="24"/>
          <w:lang w:val="en-US"/>
        </w:rPr>
        <w:t xml:space="preserve"> that is proportional to the number of viable cells. The percent CDC activity was calculated as follows: 100 -  [(RFU test/RFU background) x100]</w:t>
      </w:r>
    </w:p>
    <w:p w:rsidR="006D733F" w:rsidRDefault="006D733F" w:rsidP="006D733F">
      <w:pPr>
        <w:spacing w:before="120" w:after="120" w:line="360" w:lineRule="auto"/>
        <w:contextualSpacing/>
        <w:jc w:val="both"/>
        <w:rPr>
          <w:rFonts w:ascii="Times New Roman" w:hAnsi="Times New Roman"/>
          <w:sz w:val="24"/>
          <w:szCs w:val="24"/>
          <w:lang w:val="en-US"/>
        </w:rPr>
      </w:pPr>
      <w:r>
        <w:rPr>
          <w:rFonts w:ascii="Times New Roman" w:hAnsi="Times New Roman"/>
          <w:b/>
          <w:sz w:val="24"/>
          <w:szCs w:val="24"/>
          <w:lang w:val="en-US"/>
        </w:rPr>
        <w:t>In vivo study on PDX</w:t>
      </w:r>
    </w:p>
    <w:p w:rsidR="006D733F" w:rsidRDefault="006D733F" w:rsidP="006D733F">
      <w:pPr>
        <w:spacing w:before="120" w:after="120" w:line="360" w:lineRule="auto"/>
        <w:contextualSpacing/>
        <w:jc w:val="both"/>
        <w:rPr>
          <w:rFonts w:ascii="Times New Roman" w:hAnsi="Times New Roman"/>
          <w:sz w:val="24"/>
          <w:szCs w:val="24"/>
          <w:lang w:val="en-US"/>
        </w:rPr>
      </w:pPr>
      <w:r w:rsidRPr="008C1ADE">
        <w:rPr>
          <w:rFonts w:ascii="Times New Roman" w:hAnsi="Times New Roman"/>
          <w:sz w:val="24"/>
          <w:szCs w:val="24"/>
          <w:lang w:val="en-US"/>
        </w:rPr>
        <w:t>Briefly, in the Champion</w:t>
      </w:r>
      <w:r>
        <w:rPr>
          <w:rFonts w:ascii="Times New Roman" w:hAnsi="Times New Roman"/>
          <w:sz w:val="24"/>
          <w:szCs w:val="24"/>
          <w:lang w:val="en-US"/>
        </w:rPr>
        <w:t>s</w:t>
      </w:r>
      <w:r w:rsidRPr="008C1ADE">
        <w:rPr>
          <w:rFonts w:ascii="Times New Roman" w:hAnsi="Times New Roman"/>
          <w:sz w:val="24"/>
          <w:szCs w:val="24"/>
          <w:lang w:val="en-US"/>
        </w:rPr>
        <w:t xml:space="preserve"> Oncology </w:t>
      </w:r>
      <w:r>
        <w:rPr>
          <w:rFonts w:ascii="Times New Roman" w:hAnsi="Times New Roman"/>
          <w:sz w:val="24"/>
          <w:szCs w:val="24"/>
          <w:lang w:val="en-US"/>
        </w:rPr>
        <w:t>studies</w:t>
      </w:r>
      <w:r w:rsidRPr="008C1ADE">
        <w:rPr>
          <w:rFonts w:ascii="Times New Roman" w:hAnsi="Times New Roman"/>
          <w:sz w:val="24"/>
          <w:szCs w:val="24"/>
          <w:lang w:val="en-US"/>
        </w:rPr>
        <w:t xml:space="preserve">, </w:t>
      </w:r>
      <w:proofErr w:type="spellStart"/>
      <w:r w:rsidRPr="008C1ADE">
        <w:rPr>
          <w:rFonts w:ascii="Times New Roman" w:hAnsi="Times New Roman"/>
          <w:sz w:val="24"/>
          <w:szCs w:val="24"/>
          <w:lang w:val="en-US"/>
        </w:rPr>
        <w:t>immunocompromised</w:t>
      </w:r>
      <w:proofErr w:type="spellEnd"/>
      <w:r w:rsidRPr="008C1ADE">
        <w:rPr>
          <w:rFonts w:ascii="Times New Roman" w:hAnsi="Times New Roman"/>
          <w:sz w:val="24"/>
          <w:szCs w:val="24"/>
          <w:lang w:val="en-US"/>
        </w:rPr>
        <w:t xml:space="preserve"> female</w:t>
      </w:r>
      <w:r w:rsidR="00242913">
        <w:rPr>
          <w:rFonts w:ascii="Times New Roman" w:hAnsi="Times New Roman"/>
          <w:sz w:val="24"/>
          <w:szCs w:val="24"/>
          <w:lang w:val="en-US"/>
        </w:rPr>
        <w:t xml:space="preserve"> </w:t>
      </w:r>
      <w:r w:rsidRPr="008C1ADE">
        <w:rPr>
          <w:rFonts w:ascii="Times New Roman" w:hAnsi="Times New Roman"/>
          <w:sz w:val="24"/>
          <w:szCs w:val="24"/>
          <w:lang w:val="en-US"/>
        </w:rPr>
        <w:t xml:space="preserve"> </w:t>
      </w:r>
      <w:r w:rsidR="00571D35">
        <w:rPr>
          <w:rFonts w:ascii="Times New Roman" w:hAnsi="Times New Roman"/>
          <w:sz w:val="24"/>
          <w:szCs w:val="24"/>
          <w:lang w:val="en-US"/>
        </w:rPr>
        <w:t xml:space="preserve">nude </w:t>
      </w:r>
      <w:r w:rsidRPr="008C1ADE">
        <w:rPr>
          <w:rFonts w:ascii="Times New Roman" w:hAnsi="Times New Roman"/>
          <w:sz w:val="24"/>
          <w:szCs w:val="24"/>
          <w:lang w:val="en-US"/>
        </w:rPr>
        <w:t>mice</w:t>
      </w:r>
      <w:r w:rsidR="00571D35">
        <w:rPr>
          <w:rFonts w:ascii="Times New Roman" w:hAnsi="Times New Roman"/>
          <w:sz w:val="24"/>
          <w:szCs w:val="24"/>
          <w:lang w:val="en-US"/>
        </w:rPr>
        <w:t>,</w:t>
      </w:r>
      <w:r w:rsidRPr="008C1ADE">
        <w:rPr>
          <w:rFonts w:ascii="Times New Roman" w:hAnsi="Times New Roman"/>
          <w:sz w:val="24"/>
          <w:szCs w:val="24"/>
          <w:lang w:val="en-US"/>
        </w:rPr>
        <w:t xml:space="preserve"> from Harlan Laboratories (Indianapolis, IN, USA) between 5-8 weeks of age were housed on irradiated, Alpha-twist-enriched 1/8” corncob bedding (</w:t>
      </w:r>
      <w:proofErr w:type="spellStart"/>
      <w:r w:rsidRPr="008C1ADE">
        <w:rPr>
          <w:rFonts w:ascii="Times New Roman" w:hAnsi="Times New Roman"/>
          <w:sz w:val="24"/>
          <w:szCs w:val="24"/>
          <w:lang w:val="en-US"/>
        </w:rPr>
        <w:t>Sheperd</w:t>
      </w:r>
      <w:proofErr w:type="spellEnd"/>
      <w:r w:rsidRPr="008C1ADE">
        <w:rPr>
          <w:rFonts w:ascii="Times New Roman" w:hAnsi="Times New Roman"/>
          <w:sz w:val="24"/>
          <w:szCs w:val="24"/>
          <w:lang w:val="en-US"/>
        </w:rPr>
        <w:t>) in individual HEPA ventilated cages (</w:t>
      </w:r>
      <w:proofErr w:type="spellStart"/>
      <w:r w:rsidRPr="008C1ADE">
        <w:rPr>
          <w:rFonts w:ascii="Times New Roman" w:hAnsi="Times New Roman"/>
          <w:sz w:val="24"/>
          <w:szCs w:val="24"/>
          <w:lang w:val="en-US"/>
        </w:rPr>
        <w:t>Innocage</w:t>
      </w:r>
      <w:proofErr w:type="spellEnd"/>
      <w:r w:rsidRPr="008C1ADE">
        <w:rPr>
          <w:rFonts w:ascii="Times New Roman" w:hAnsi="Times New Roman"/>
          <w:sz w:val="24"/>
          <w:szCs w:val="24"/>
          <w:vertAlign w:val="superscript"/>
          <w:lang w:val="en-US"/>
        </w:rPr>
        <w:t>®</w:t>
      </w:r>
      <w:r w:rsidRPr="008C1ADE">
        <w:rPr>
          <w:rFonts w:ascii="Times New Roman" w:hAnsi="Times New Roman"/>
          <w:sz w:val="24"/>
          <w:szCs w:val="24"/>
          <w:lang w:val="en-US"/>
        </w:rPr>
        <w:t xml:space="preserve"> IVC, </w:t>
      </w:r>
      <w:proofErr w:type="spellStart"/>
      <w:r w:rsidRPr="008C1ADE">
        <w:rPr>
          <w:rFonts w:ascii="Times New Roman" w:hAnsi="Times New Roman"/>
          <w:sz w:val="24"/>
          <w:szCs w:val="24"/>
          <w:lang w:val="en-US"/>
        </w:rPr>
        <w:t>Innovive</w:t>
      </w:r>
      <w:proofErr w:type="spellEnd"/>
      <w:r w:rsidRPr="008C1ADE">
        <w:rPr>
          <w:rFonts w:ascii="Times New Roman" w:hAnsi="Times New Roman"/>
          <w:sz w:val="24"/>
          <w:szCs w:val="24"/>
          <w:lang w:val="en-US"/>
        </w:rPr>
        <w:t xml:space="preserve"> USA) on a 12-hour light-dark cycle at 68-74°F (20-23°C) and 30-70% humidity.  Animals were fed with water (reverse osmosis, 2 </w:t>
      </w:r>
      <w:proofErr w:type="spellStart"/>
      <w:r w:rsidRPr="008C1ADE">
        <w:rPr>
          <w:rFonts w:ascii="Times New Roman" w:hAnsi="Times New Roman"/>
          <w:sz w:val="24"/>
          <w:szCs w:val="24"/>
          <w:lang w:val="en-US"/>
        </w:rPr>
        <w:t>ppm</w:t>
      </w:r>
      <w:proofErr w:type="spellEnd"/>
      <w:r w:rsidRPr="008C1ADE">
        <w:rPr>
          <w:rFonts w:ascii="Times New Roman" w:hAnsi="Times New Roman"/>
          <w:sz w:val="24"/>
          <w:szCs w:val="24"/>
          <w:lang w:val="en-US"/>
        </w:rPr>
        <w:t xml:space="preserve"> Cl</w:t>
      </w:r>
      <w:r w:rsidRPr="008C1ADE">
        <w:rPr>
          <w:rFonts w:ascii="Times New Roman" w:hAnsi="Times New Roman"/>
          <w:sz w:val="24"/>
          <w:szCs w:val="24"/>
          <w:vertAlign w:val="subscript"/>
          <w:lang w:val="en-US"/>
        </w:rPr>
        <w:t>2</w:t>
      </w:r>
      <w:r w:rsidRPr="008C1ADE">
        <w:rPr>
          <w:rFonts w:ascii="Times New Roman" w:hAnsi="Times New Roman"/>
          <w:sz w:val="24"/>
          <w:szCs w:val="24"/>
          <w:lang w:val="en-US"/>
        </w:rPr>
        <w:t>) and an irradiated test rodent diet (</w:t>
      </w:r>
      <w:proofErr w:type="spellStart"/>
      <w:r w:rsidRPr="008C1ADE">
        <w:rPr>
          <w:rFonts w:ascii="Times New Roman" w:hAnsi="Times New Roman"/>
          <w:sz w:val="24"/>
          <w:szCs w:val="24"/>
          <w:lang w:val="en-US"/>
        </w:rPr>
        <w:t>Teklad</w:t>
      </w:r>
      <w:proofErr w:type="spellEnd"/>
      <w:r w:rsidRPr="008C1ADE">
        <w:rPr>
          <w:rFonts w:ascii="Times New Roman" w:hAnsi="Times New Roman"/>
          <w:sz w:val="24"/>
          <w:szCs w:val="24"/>
          <w:lang w:val="en-US"/>
        </w:rPr>
        <w:t xml:space="preserve"> 2919; 19% protein, 9% fat, and 4% fiber) ad </w:t>
      </w:r>
      <w:proofErr w:type="spellStart"/>
      <w:r w:rsidRPr="008C1ADE">
        <w:rPr>
          <w:rFonts w:ascii="Times New Roman" w:hAnsi="Times New Roman"/>
          <w:sz w:val="24"/>
          <w:szCs w:val="24"/>
          <w:lang w:val="en-US"/>
        </w:rPr>
        <w:t>libitum</w:t>
      </w:r>
      <w:proofErr w:type="spellEnd"/>
      <w:r w:rsidRPr="008C1ADE">
        <w:rPr>
          <w:rFonts w:ascii="Times New Roman" w:hAnsi="Times New Roman"/>
          <w:sz w:val="24"/>
          <w:szCs w:val="24"/>
          <w:lang w:val="en-US"/>
        </w:rPr>
        <w:t xml:space="preserve">. </w:t>
      </w:r>
      <w:r>
        <w:rPr>
          <w:rFonts w:ascii="Times New Roman" w:hAnsi="Times New Roman"/>
          <w:sz w:val="24"/>
          <w:szCs w:val="24"/>
          <w:lang w:val="en-US"/>
        </w:rPr>
        <w:t>M</w:t>
      </w:r>
      <w:r w:rsidRPr="008C1ADE">
        <w:rPr>
          <w:rFonts w:ascii="Times New Roman" w:hAnsi="Times New Roman"/>
          <w:sz w:val="24"/>
          <w:szCs w:val="24"/>
          <w:lang w:val="en-US"/>
        </w:rPr>
        <w:t xml:space="preserve">ice were implanted with tumor fragments from Champions </w:t>
      </w:r>
      <w:proofErr w:type="spellStart"/>
      <w:r w:rsidRPr="008C1ADE">
        <w:rPr>
          <w:rFonts w:ascii="Times New Roman" w:hAnsi="Times New Roman"/>
          <w:sz w:val="24"/>
          <w:szCs w:val="24"/>
          <w:lang w:val="en-US"/>
        </w:rPr>
        <w:t>TumorGraft</w:t>
      </w:r>
      <w:proofErr w:type="spellEnd"/>
      <w:r w:rsidRPr="008C1ADE">
        <w:rPr>
          <w:rFonts w:ascii="Times New Roman" w:hAnsi="Times New Roman"/>
          <w:sz w:val="24"/>
          <w:szCs w:val="24"/>
          <w:vertAlign w:val="superscript"/>
          <w:lang w:val="en-US"/>
        </w:rPr>
        <w:t>®</w:t>
      </w:r>
      <w:r w:rsidRPr="008C1ADE">
        <w:rPr>
          <w:rFonts w:ascii="Times New Roman" w:hAnsi="Times New Roman"/>
          <w:sz w:val="24"/>
          <w:szCs w:val="24"/>
          <w:lang w:val="en-US"/>
        </w:rPr>
        <w:t xml:space="preserve"> models CTG-1388 or CTG-1652. When the </w:t>
      </w:r>
      <w:r>
        <w:rPr>
          <w:rFonts w:ascii="Times New Roman" w:hAnsi="Times New Roman"/>
          <w:sz w:val="24"/>
          <w:szCs w:val="24"/>
          <w:lang w:val="en-US"/>
        </w:rPr>
        <w:t>tumor volume (</w:t>
      </w:r>
      <w:r w:rsidRPr="008C1ADE">
        <w:rPr>
          <w:rFonts w:ascii="Times New Roman" w:hAnsi="Times New Roman"/>
          <w:sz w:val="24"/>
          <w:szCs w:val="24"/>
          <w:lang w:val="en-US"/>
        </w:rPr>
        <w:t>TV</w:t>
      </w:r>
      <w:r>
        <w:rPr>
          <w:rFonts w:ascii="Times New Roman" w:hAnsi="Times New Roman"/>
          <w:sz w:val="24"/>
          <w:szCs w:val="24"/>
          <w:lang w:val="en-US"/>
        </w:rPr>
        <w:t>)</w:t>
      </w:r>
      <w:r w:rsidRPr="008C1ADE">
        <w:rPr>
          <w:rFonts w:ascii="Times New Roman" w:hAnsi="Times New Roman"/>
          <w:sz w:val="24"/>
          <w:szCs w:val="24"/>
          <w:lang w:val="en-US"/>
        </w:rPr>
        <w:t xml:space="preserve"> reached approximately 150-300 mm</w:t>
      </w:r>
      <w:r w:rsidRPr="008C1ADE">
        <w:rPr>
          <w:rFonts w:ascii="Times New Roman" w:hAnsi="Times New Roman"/>
          <w:sz w:val="24"/>
          <w:szCs w:val="24"/>
          <w:vertAlign w:val="superscript"/>
          <w:lang w:val="en-US"/>
        </w:rPr>
        <w:t>3</w:t>
      </w:r>
      <w:r w:rsidRPr="008C1ADE">
        <w:rPr>
          <w:rFonts w:ascii="Times New Roman" w:hAnsi="Times New Roman"/>
          <w:sz w:val="24"/>
          <w:szCs w:val="24"/>
          <w:lang w:val="en-US"/>
        </w:rPr>
        <w:t xml:space="preserve">, animals were </w:t>
      </w:r>
      <w:r>
        <w:rPr>
          <w:rFonts w:ascii="Times New Roman" w:hAnsi="Times New Roman"/>
          <w:sz w:val="24"/>
          <w:szCs w:val="24"/>
          <w:lang w:val="en-US"/>
        </w:rPr>
        <w:t>randomized into groups and treatments were initiated.</w:t>
      </w:r>
      <w:r w:rsidRPr="008C1ADE">
        <w:rPr>
          <w:rFonts w:ascii="Times New Roman" w:hAnsi="Times New Roman"/>
          <w:sz w:val="24"/>
          <w:szCs w:val="24"/>
          <w:lang w:val="en-US"/>
        </w:rPr>
        <w:t xml:space="preserve"> Tumor growth was monitored twice a week using digital calipers and the TV was calculated using the formula (0.52 </w:t>
      </w:r>
      <w:r w:rsidRPr="008C1ADE">
        <w:rPr>
          <w:rFonts w:ascii="Times New Roman" w:hAnsi="Times New Roman"/>
          <w:sz w:val="24"/>
          <w:szCs w:val="24"/>
          <w:lang w:val="en-US"/>
        </w:rPr>
        <w:sym w:font="Symbol" w:char="F0B4"/>
      </w:r>
      <w:r w:rsidRPr="008C1ADE">
        <w:rPr>
          <w:rFonts w:ascii="Times New Roman" w:hAnsi="Times New Roman"/>
          <w:sz w:val="24"/>
          <w:szCs w:val="24"/>
          <w:lang w:val="en-US"/>
        </w:rPr>
        <w:t xml:space="preserve"> [length </w:t>
      </w:r>
      <w:r w:rsidRPr="008C1ADE">
        <w:rPr>
          <w:rFonts w:ascii="Times New Roman" w:hAnsi="Times New Roman"/>
          <w:sz w:val="24"/>
          <w:szCs w:val="24"/>
          <w:lang w:val="en-US"/>
        </w:rPr>
        <w:sym w:font="Symbol" w:char="F0B4"/>
      </w:r>
      <w:r w:rsidRPr="008C1ADE">
        <w:rPr>
          <w:rFonts w:ascii="Times New Roman" w:hAnsi="Times New Roman"/>
          <w:sz w:val="24"/>
          <w:szCs w:val="24"/>
          <w:lang w:val="en-US"/>
        </w:rPr>
        <w:t xml:space="preserve"> width</w:t>
      </w:r>
      <w:r w:rsidRPr="008C1ADE">
        <w:rPr>
          <w:rFonts w:ascii="Times New Roman" w:hAnsi="Times New Roman"/>
          <w:sz w:val="24"/>
          <w:szCs w:val="24"/>
          <w:vertAlign w:val="superscript"/>
          <w:lang w:val="en-US"/>
        </w:rPr>
        <w:t>2</w:t>
      </w:r>
      <w:r w:rsidRPr="008C1ADE">
        <w:rPr>
          <w:rFonts w:ascii="Times New Roman" w:hAnsi="Times New Roman"/>
          <w:sz w:val="24"/>
          <w:szCs w:val="24"/>
          <w:lang w:val="en-US"/>
        </w:rPr>
        <w:t xml:space="preserve">]). </w:t>
      </w:r>
      <w:r>
        <w:rPr>
          <w:rFonts w:ascii="Times New Roman" w:hAnsi="Times New Roman"/>
          <w:sz w:val="24"/>
          <w:szCs w:val="24"/>
          <w:lang w:val="en-US"/>
        </w:rPr>
        <w:t>Body weight was determined</w:t>
      </w:r>
      <w:r w:rsidRPr="008C1ADE">
        <w:rPr>
          <w:rFonts w:ascii="Times New Roman" w:hAnsi="Times New Roman"/>
          <w:sz w:val="24"/>
          <w:szCs w:val="24"/>
          <w:lang w:val="en-US"/>
        </w:rPr>
        <w:t xml:space="preserve"> twice a week using a digital scale. The studies were terminated when the mean tumor volume in the control group reached approximately 1500 mm</w:t>
      </w:r>
      <w:r w:rsidRPr="008C1ADE">
        <w:rPr>
          <w:rFonts w:ascii="Times New Roman" w:hAnsi="Times New Roman"/>
          <w:sz w:val="24"/>
          <w:szCs w:val="24"/>
          <w:vertAlign w:val="superscript"/>
          <w:lang w:val="en-US"/>
        </w:rPr>
        <w:t>3</w:t>
      </w:r>
      <w:r w:rsidRPr="008C1ADE">
        <w:rPr>
          <w:rFonts w:ascii="Times New Roman" w:hAnsi="Times New Roman"/>
          <w:sz w:val="24"/>
          <w:szCs w:val="24"/>
          <w:lang w:val="en-US"/>
        </w:rPr>
        <w:t xml:space="preserve"> or up to Day 60, whichever occurred first.</w:t>
      </w:r>
    </w:p>
    <w:p w:rsidR="006D733F" w:rsidRPr="003427D8" w:rsidRDefault="006D733F" w:rsidP="006D733F">
      <w:pPr>
        <w:spacing w:before="120" w:after="120" w:line="360" w:lineRule="auto"/>
        <w:contextualSpacing/>
        <w:jc w:val="both"/>
        <w:rPr>
          <w:rFonts w:ascii="Times New Roman" w:hAnsi="Times New Roman"/>
          <w:sz w:val="24"/>
          <w:szCs w:val="24"/>
          <w:lang w:val="en-US"/>
        </w:rPr>
      </w:pPr>
      <w:r>
        <w:rPr>
          <w:rFonts w:ascii="Times New Roman" w:hAnsi="Times New Roman"/>
          <w:sz w:val="24"/>
          <w:szCs w:val="24"/>
          <w:lang w:val="en-US"/>
        </w:rPr>
        <w:t>In</w:t>
      </w:r>
      <w:r w:rsidRPr="003427D8">
        <w:rPr>
          <w:rFonts w:ascii="Times New Roman" w:hAnsi="Times New Roman"/>
          <w:sz w:val="24"/>
          <w:szCs w:val="24"/>
          <w:lang w:val="en-US"/>
        </w:rPr>
        <w:t xml:space="preserve"> </w:t>
      </w:r>
      <w:proofErr w:type="spellStart"/>
      <w:r>
        <w:rPr>
          <w:rFonts w:ascii="Times New Roman" w:hAnsi="Times New Roman"/>
          <w:sz w:val="24"/>
          <w:szCs w:val="24"/>
          <w:lang w:val="en-US"/>
        </w:rPr>
        <w:t>Vall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d’Hebron</w:t>
      </w:r>
      <w:proofErr w:type="spellEnd"/>
      <w:r>
        <w:rPr>
          <w:rFonts w:ascii="Times New Roman" w:hAnsi="Times New Roman"/>
          <w:sz w:val="24"/>
          <w:szCs w:val="24"/>
          <w:lang w:val="en-US"/>
        </w:rPr>
        <w:t xml:space="preserve"> Institute of Oncology, </w:t>
      </w:r>
      <w:r w:rsidRPr="003427D8">
        <w:rPr>
          <w:rFonts w:ascii="Times New Roman" w:hAnsi="Times New Roman"/>
          <w:sz w:val="24"/>
          <w:szCs w:val="24"/>
          <w:lang w:val="en-US"/>
        </w:rPr>
        <w:t xml:space="preserve">6 week-old </w:t>
      </w:r>
      <w:r w:rsidR="009777BC">
        <w:rPr>
          <w:rFonts w:ascii="Times New Roman" w:hAnsi="Times New Roman"/>
          <w:sz w:val="24"/>
          <w:szCs w:val="24"/>
          <w:lang w:val="en-US"/>
        </w:rPr>
        <w:t xml:space="preserve">female </w:t>
      </w:r>
      <w:r w:rsidRPr="003427D8">
        <w:rPr>
          <w:rFonts w:ascii="Times New Roman" w:hAnsi="Times New Roman"/>
          <w:sz w:val="24"/>
          <w:szCs w:val="24"/>
          <w:lang w:val="en-US"/>
        </w:rPr>
        <w:t>NOD/SCID mice</w:t>
      </w:r>
      <w:r w:rsidR="005E2BCE">
        <w:rPr>
          <w:rFonts w:ascii="Times New Roman" w:hAnsi="Times New Roman"/>
          <w:sz w:val="24"/>
          <w:szCs w:val="24"/>
          <w:lang w:val="en-US"/>
        </w:rPr>
        <w:t xml:space="preserve"> </w:t>
      </w:r>
      <w:r w:rsidR="005E2BCE" w:rsidRPr="00775498">
        <w:rPr>
          <w:rFonts w:ascii="Times New Roman" w:hAnsi="Times New Roman"/>
          <w:sz w:val="24"/>
          <w:szCs w:val="24"/>
        </w:rPr>
        <w:t>(NOD.CB17/</w:t>
      </w:r>
      <w:proofErr w:type="spellStart"/>
      <w:r w:rsidR="005E2BCE" w:rsidRPr="00775498">
        <w:rPr>
          <w:rFonts w:ascii="Times New Roman" w:hAnsi="Times New Roman"/>
          <w:sz w:val="24"/>
          <w:szCs w:val="24"/>
        </w:rPr>
        <w:t>AlhnRj-Prkdc</w:t>
      </w:r>
      <w:proofErr w:type="spellEnd"/>
      <w:r w:rsidR="005E2BCE" w:rsidRPr="00775498">
        <w:rPr>
          <w:rFonts w:ascii="Times New Roman" w:hAnsi="Times New Roman"/>
          <w:sz w:val="24"/>
          <w:szCs w:val="24"/>
        </w:rPr>
        <w:t xml:space="preserve"> </w:t>
      </w:r>
      <w:proofErr w:type="spellStart"/>
      <w:r w:rsidR="005E2BCE" w:rsidRPr="00775498">
        <w:rPr>
          <w:rFonts w:ascii="Times New Roman" w:hAnsi="Times New Roman"/>
          <w:sz w:val="24"/>
          <w:szCs w:val="24"/>
        </w:rPr>
        <w:t>Scid</w:t>
      </w:r>
      <w:proofErr w:type="spellEnd"/>
      <w:r w:rsidR="005E2BCE" w:rsidRPr="00775498">
        <w:rPr>
          <w:rFonts w:ascii="Times New Roman" w:hAnsi="Times New Roman"/>
          <w:sz w:val="24"/>
          <w:szCs w:val="24"/>
        </w:rPr>
        <w:t xml:space="preserve">, </w:t>
      </w:r>
      <w:proofErr w:type="spellStart"/>
      <w:r w:rsidR="005E2BCE" w:rsidRPr="00775498">
        <w:rPr>
          <w:rFonts w:ascii="Times New Roman" w:hAnsi="Times New Roman"/>
          <w:sz w:val="24"/>
          <w:szCs w:val="24"/>
        </w:rPr>
        <w:t>Janvier</w:t>
      </w:r>
      <w:proofErr w:type="spellEnd"/>
      <w:r w:rsidR="005E2BCE" w:rsidRPr="00775498">
        <w:rPr>
          <w:rFonts w:ascii="Times New Roman" w:hAnsi="Times New Roman"/>
          <w:sz w:val="24"/>
          <w:szCs w:val="24"/>
        </w:rPr>
        <w:t xml:space="preserve"> Labs) </w:t>
      </w:r>
      <w:r w:rsidRPr="00775498">
        <w:rPr>
          <w:rFonts w:ascii="Times New Roman" w:hAnsi="Times New Roman"/>
          <w:sz w:val="24"/>
          <w:szCs w:val="24"/>
          <w:lang w:val="en-US"/>
        </w:rPr>
        <w:t>w</w:t>
      </w:r>
      <w:r>
        <w:rPr>
          <w:rFonts w:ascii="Times New Roman" w:hAnsi="Times New Roman"/>
          <w:sz w:val="24"/>
          <w:szCs w:val="24"/>
          <w:lang w:val="en-US"/>
        </w:rPr>
        <w:t>ere</w:t>
      </w:r>
      <w:r w:rsidRPr="00614A5C">
        <w:rPr>
          <w:rFonts w:ascii="Times New Roman" w:hAnsi="Times New Roman"/>
          <w:sz w:val="24"/>
          <w:szCs w:val="24"/>
          <w:lang w:val="en-US"/>
        </w:rPr>
        <w:t xml:space="preserve"> </w:t>
      </w:r>
      <w:proofErr w:type="spellStart"/>
      <w:r w:rsidRPr="00614A5C">
        <w:rPr>
          <w:rFonts w:ascii="Times New Roman" w:hAnsi="Times New Roman"/>
          <w:sz w:val="24"/>
          <w:szCs w:val="24"/>
          <w:lang w:val="en-US"/>
        </w:rPr>
        <w:t>orthotopically</w:t>
      </w:r>
      <w:proofErr w:type="spellEnd"/>
      <w:r w:rsidRPr="00614A5C">
        <w:rPr>
          <w:rFonts w:ascii="Times New Roman" w:hAnsi="Times New Roman"/>
          <w:sz w:val="24"/>
          <w:szCs w:val="24"/>
          <w:lang w:val="en-US"/>
        </w:rPr>
        <w:t xml:space="preserve"> implanted into the mammary fad pad </w:t>
      </w:r>
      <w:r>
        <w:rPr>
          <w:rFonts w:ascii="Times New Roman" w:hAnsi="Times New Roman"/>
          <w:sz w:val="24"/>
          <w:szCs w:val="24"/>
          <w:lang w:val="en-US"/>
        </w:rPr>
        <w:t xml:space="preserve">with breast tumor fragments </w:t>
      </w:r>
      <w:r w:rsidR="005E2BCE">
        <w:rPr>
          <w:rFonts w:ascii="Times New Roman" w:hAnsi="Times New Roman"/>
          <w:sz w:val="24"/>
          <w:szCs w:val="24"/>
          <w:lang w:val="en-US"/>
        </w:rPr>
        <w:t>or</w:t>
      </w:r>
      <w:r>
        <w:rPr>
          <w:rFonts w:ascii="Times New Roman" w:hAnsi="Times New Roman"/>
          <w:sz w:val="24"/>
          <w:szCs w:val="24"/>
          <w:lang w:val="en-US"/>
        </w:rPr>
        <w:t xml:space="preserve"> </w:t>
      </w:r>
      <w:r w:rsidR="005E2BCE" w:rsidRPr="00614A5C">
        <w:rPr>
          <w:rFonts w:ascii="Times New Roman" w:hAnsi="Times New Roman"/>
          <w:sz w:val="24"/>
          <w:szCs w:val="24"/>
          <w:lang w:val="en-US"/>
        </w:rPr>
        <w:t xml:space="preserve">embedded in </w:t>
      </w:r>
      <w:proofErr w:type="spellStart"/>
      <w:r w:rsidR="005E2BCE" w:rsidRPr="00614A5C">
        <w:rPr>
          <w:rFonts w:ascii="Times New Roman" w:hAnsi="Times New Roman"/>
          <w:sz w:val="24"/>
          <w:szCs w:val="24"/>
          <w:lang w:val="en-US"/>
        </w:rPr>
        <w:t>Matrigel</w:t>
      </w:r>
      <w:proofErr w:type="spellEnd"/>
      <w:r w:rsidR="005E2BCE">
        <w:rPr>
          <w:rFonts w:ascii="Times New Roman" w:hAnsi="Times New Roman"/>
          <w:sz w:val="24"/>
          <w:szCs w:val="24"/>
          <w:lang w:val="en-US"/>
        </w:rPr>
        <w:t xml:space="preserve"> </w:t>
      </w:r>
      <w:r w:rsidR="005E2BCE" w:rsidRPr="00614A5C">
        <w:rPr>
          <w:rFonts w:ascii="Times New Roman" w:hAnsi="Times New Roman"/>
          <w:sz w:val="24"/>
          <w:szCs w:val="24"/>
          <w:lang w:val="en-US"/>
        </w:rPr>
        <w:t>and subcutaneously</w:t>
      </w:r>
      <w:r w:rsidR="005E2BCE">
        <w:rPr>
          <w:rFonts w:ascii="Times New Roman" w:hAnsi="Times New Roman"/>
          <w:sz w:val="24"/>
          <w:szCs w:val="24"/>
          <w:lang w:val="en-US"/>
        </w:rPr>
        <w:t xml:space="preserve"> implanted with  pancreatic cancer tumor </w:t>
      </w:r>
      <w:r>
        <w:rPr>
          <w:rFonts w:ascii="Times New Roman" w:hAnsi="Times New Roman"/>
          <w:sz w:val="24"/>
          <w:szCs w:val="24"/>
          <w:lang w:val="en-US"/>
        </w:rPr>
        <w:t>p</w:t>
      </w:r>
      <w:r w:rsidRPr="00614A5C">
        <w:rPr>
          <w:rFonts w:ascii="Times New Roman" w:hAnsi="Times New Roman"/>
          <w:sz w:val="24"/>
          <w:szCs w:val="24"/>
          <w:lang w:val="en-US"/>
        </w:rPr>
        <w:t>ieces of approximately 3x3mm</w:t>
      </w:r>
      <w:r>
        <w:rPr>
          <w:rFonts w:ascii="Times New Roman" w:hAnsi="Times New Roman"/>
          <w:sz w:val="24"/>
          <w:szCs w:val="24"/>
          <w:lang w:val="en-US"/>
        </w:rPr>
        <w:t>.</w:t>
      </w:r>
      <w:r w:rsidRPr="00614A5C">
        <w:rPr>
          <w:rFonts w:ascii="Times New Roman" w:hAnsi="Times New Roman"/>
          <w:sz w:val="24"/>
          <w:szCs w:val="24"/>
          <w:lang w:val="en-US"/>
        </w:rPr>
        <w:t xml:space="preserve"> </w:t>
      </w:r>
      <w:r>
        <w:rPr>
          <w:rFonts w:ascii="Times New Roman" w:hAnsi="Times New Roman"/>
          <w:sz w:val="24"/>
          <w:szCs w:val="24"/>
          <w:lang w:val="en-US"/>
        </w:rPr>
        <w:t>Breast PDX models</w:t>
      </w:r>
      <w:r w:rsidRPr="00614A5C">
        <w:rPr>
          <w:rFonts w:ascii="Times New Roman" w:hAnsi="Times New Roman"/>
          <w:sz w:val="24"/>
          <w:szCs w:val="24"/>
          <w:lang w:val="en-US"/>
        </w:rPr>
        <w:t xml:space="preserve"> were maintained with 17-ß-estradiol</w:t>
      </w:r>
      <w:r>
        <w:rPr>
          <w:rFonts w:ascii="Times New Roman" w:hAnsi="Times New Roman"/>
          <w:sz w:val="24"/>
          <w:szCs w:val="24"/>
          <w:lang w:val="en-US"/>
        </w:rPr>
        <w:t xml:space="preserve"> </w:t>
      </w:r>
      <w:r w:rsidRPr="00614A5C">
        <w:rPr>
          <w:rFonts w:ascii="Times New Roman" w:hAnsi="Times New Roman"/>
          <w:sz w:val="24"/>
          <w:szCs w:val="24"/>
          <w:lang w:val="en-US"/>
        </w:rPr>
        <w:t>(1</w:t>
      </w:r>
      <w:r w:rsidRPr="003427D8">
        <w:rPr>
          <w:rFonts w:ascii="Times New Roman" w:hAnsi="Times New Roman"/>
          <w:sz w:val="24"/>
          <w:szCs w:val="24"/>
          <w:lang w:val="it-IT"/>
        </w:rPr>
        <w:t>μ</w:t>
      </w:r>
      <w:r w:rsidRPr="00614A5C">
        <w:rPr>
          <w:rFonts w:ascii="Times New Roman" w:hAnsi="Times New Roman"/>
          <w:sz w:val="24"/>
          <w:szCs w:val="24"/>
          <w:lang w:val="en-US"/>
        </w:rPr>
        <w:t>M) in the drinking water during all the experimental procedure.</w:t>
      </w:r>
      <w:r>
        <w:rPr>
          <w:rFonts w:ascii="Times New Roman" w:hAnsi="Times New Roman"/>
          <w:sz w:val="24"/>
          <w:szCs w:val="24"/>
          <w:lang w:val="en-US"/>
        </w:rPr>
        <w:t xml:space="preserve"> </w:t>
      </w:r>
      <w:r w:rsidRPr="00614A5C">
        <w:rPr>
          <w:rFonts w:ascii="Times New Roman" w:hAnsi="Times New Roman"/>
          <w:sz w:val="24"/>
          <w:szCs w:val="24"/>
          <w:lang w:val="en-US"/>
        </w:rPr>
        <w:t xml:space="preserve">Tumor </w:t>
      </w:r>
      <w:r>
        <w:rPr>
          <w:rFonts w:ascii="Times New Roman" w:hAnsi="Times New Roman"/>
          <w:sz w:val="24"/>
          <w:szCs w:val="24"/>
          <w:lang w:val="en-US"/>
        </w:rPr>
        <w:t>PDX</w:t>
      </w:r>
      <w:r w:rsidRPr="00614A5C">
        <w:rPr>
          <w:rFonts w:ascii="Times New Roman" w:hAnsi="Times New Roman"/>
          <w:sz w:val="24"/>
          <w:szCs w:val="24"/>
          <w:lang w:val="en-US"/>
        </w:rPr>
        <w:t xml:space="preserve"> were meas</w:t>
      </w:r>
      <w:r>
        <w:rPr>
          <w:rFonts w:ascii="Times New Roman" w:hAnsi="Times New Roman"/>
          <w:sz w:val="24"/>
          <w:szCs w:val="24"/>
          <w:lang w:val="en-US"/>
        </w:rPr>
        <w:t xml:space="preserve">ured </w:t>
      </w:r>
      <w:r>
        <w:rPr>
          <w:rFonts w:ascii="Times New Roman" w:hAnsi="Times New Roman"/>
          <w:sz w:val="24"/>
          <w:szCs w:val="24"/>
          <w:lang w:val="en-US"/>
        </w:rPr>
        <w:lastRenderedPageBreak/>
        <w:t xml:space="preserve">with calipers </w:t>
      </w:r>
      <w:r w:rsidR="005E2BCE">
        <w:rPr>
          <w:rFonts w:ascii="Times New Roman" w:hAnsi="Times New Roman"/>
          <w:sz w:val="24"/>
          <w:szCs w:val="24"/>
          <w:lang w:val="en-US"/>
        </w:rPr>
        <w:t>twice</w:t>
      </w:r>
      <w:r>
        <w:rPr>
          <w:rFonts w:ascii="Times New Roman" w:hAnsi="Times New Roman"/>
          <w:sz w:val="24"/>
          <w:szCs w:val="24"/>
          <w:lang w:val="en-US"/>
        </w:rPr>
        <w:t xml:space="preserve"> a week. </w:t>
      </w:r>
      <w:r w:rsidRPr="00614A5C">
        <w:rPr>
          <w:rFonts w:ascii="Times New Roman" w:hAnsi="Times New Roman"/>
          <w:sz w:val="24"/>
          <w:szCs w:val="24"/>
          <w:lang w:val="en-US"/>
        </w:rPr>
        <w:t>Once tumors reached a volume of 150-200 mm</w:t>
      </w:r>
      <w:r>
        <w:rPr>
          <w:rFonts w:ascii="Times New Roman" w:hAnsi="Times New Roman"/>
          <w:sz w:val="24"/>
          <w:szCs w:val="24"/>
          <w:lang w:val="en-US"/>
        </w:rPr>
        <w:t>3</w:t>
      </w:r>
      <w:r w:rsidRPr="00614A5C">
        <w:rPr>
          <w:rFonts w:ascii="Times New Roman" w:hAnsi="Times New Roman"/>
          <w:sz w:val="24"/>
          <w:szCs w:val="24"/>
          <w:lang w:val="en-US"/>
        </w:rPr>
        <w:t xml:space="preserve"> mice were randomized</w:t>
      </w:r>
      <w:r>
        <w:rPr>
          <w:rFonts w:ascii="Times New Roman" w:hAnsi="Times New Roman"/>
          <w:sz w:val="24"/>
          <w:szCs w:val="24"/>
          <w:lang w:val="en-US"/>
        </w:rPr>
        <w:t xml:space="preserve"> and treated.</w:t>
      </w:r>
      <w:r w:rsidR="00A429B2">
        <w:rPr>
          <w:rFonts w:ascii="Times New Roman" w:hAnsi="Times New Roman"/>
          <w:sz w:val="24"/>
          <w:szCs w:val="24"/>
          <w:lang w:val="en-US"/>
        </w:rPr>
        <w:t xml:space="preserve"> </w:t>
      </w:r>
      <w:r w:rsidR="00A429B2" w:rsidRPr="000706C3">
        <w:rPr>
          <w:rFonts w:ascii="Times New Roman" w:hAnsi="Times New Roman"/>
          <w:sz w:val="24"/>
          <w:szCs w:val="24"/>
        </w:rPr>
        <w:t xml:space="preserve">Mice were maintained and treated in accordance with institutional guidelines of </w:t>
      </w:r>
      <w:proofErr w:type="spellStart"/>
      <w:r w:rsidR="00A429B2" w:rsidRPr="000706C3">
        <w:rPr>
          <w:rFonts w:ascii="Times New Roman" w:hAnsi="Times New Roman"/>
          <w:sz w:val="24"/>
          <w:szCs w:val="24"/>
        </w:rPr>
        <w:t>Vall</w:t>
      </w:r>
      <w:proofErr w:type="spellEnd"/>
      <w:r w:rsidR="00A429B2" w:rsidRPr="000706C3">
        <w:rPr>
          <w:rFonts w:ascii="Times New Roman" w:hAnsi="Times New Roman"/>
          <w:sz w:val="24"/>
          <w:szCs w:val="24"/>
        </w:rPr>
        <w:t xml:space="preserve"> </w:t>
      </w:r>
      <w:proofErr w:type="spellStart"/>
      <w:r w:rsidR="00A429B2" w:rsidRPr="000706C3">
        <w:rPr>
          <w:rFonts w:ascii="Times New Roman" w:hAnsi="Times New Roman"/>
          <w:sz w:val="24"/>
          <w:szCs w:val="24"/>
        </w:rPr>
        <w:t>d’Hebron</w:t>
      </w:r>
      <w:proofErr w:type="spellEnd"/>
      <w:r w:rsidR="00A429B2" w:rsidRPr="000706C3">
        <w:rPr>
          <w:rFonts w:ascii="Times New Roman" w:hAnsi="Times New Roman"/>
          <w:sz w:val="24"/>
          <w:szCs w:val="24"/>
        </w:rPr>
        <w:t xml:space="preserve"> University Hospital Care and Use Committee.</w:t>
      </w:r>
    </w:p>
    <w:p w:rsidR="006D733F" w:rsidRDefault="006D733F" w:rsidP="00604B83">
      <w:pPr>
        <w:spacing w:before="120" w:after="120" w:line="360" w:lineRule="auto"/>
        <w:jc w:val="both"/>
        <w:rPr>
          <w:rFonts w:ascii="Times New Roman" w:hAnsi="Times New Roman"/>
          <w:b/>
          <w:sz w:val="24"/>
          <w:szCs w:val="24"/>
        </w:rPr>
      </w:pPr>
      <w:r w:rsidRPr="008C1ADE">
        <w:rPr>
          <w:rFonts w:ascii="Times New Roman" w:hAnsi="Times New Roman"/>
          <w:bCs/>
          <w:color w:val="000000"/>
          <w:sz w:val="24"/>
          <w:szCs w:val="24"/>
          <w:lang w:val="en-US"/>
        </w:rPr>
        <w:t xml:space="preserve">The response was also determined by comparing tumor volume change at time t to its baseline:  % tumor volume change = </w:t>
      </w:r>
      <w:proofErr w:type="spellStart"/>
      <w:r w:rsidRPr="008C1ADE">
        <w:rPr>
          <w:rFonts w:ascii="Times New Roman" w:hAnsi="Times New Roman"/>
          <w:bCs/>
          <w:color w:val="000000"/>
          <w:sz w:val="24"/>
          <w:szCs w:val="24"/>
          <w:lang w:val="en-US"/>
        </w:rPr>
        <w:t>ΔVol</w:t>
      </w:r>
      <w:r w:rsidRPr="008C1ADE">
        <w:rPr>
          <w:rFonts w:ascii="Times New Roman" w:hAnsi="Times New Roman"/>
          <w:bCs/>
          <w:color w:val="000000"/>
          <w:sz w:val="24"/>
          <w:szCs w:val="24"/>
          <w:vertAlign w:val="subscript"/>
          <w:lang w:val="en-US"/>
        </w:rPr>
        <w:t>t</w:t>
      </w:r>
      <w:proofErr w:type="spellEnd"/>
      <w:r w:rsidRPr="008C1ADE">
        <w:rPr>
          <w:rFonts w:ascii="Times New Roman" w:hAnsi="Times New Roman"/>
          <w:bCs/>
          <w:color w:val="000000"/>
          <w:sz w:val="24"/>
          <w:szCs w:val="24"/>
          <w:lang w:val="en-US"/>
        </w:rPr>
        <w:t xml:space="preserve"> = [100x(Vol</w:t>
      </w:r>
      <w:r w:rsidRPr="008C1ADE">
        <w:rPr>
          <w:rFonts w:ascii="Times New Roman" w:hAnsi="Times New Roman"/>
          <w:bCs/>
          <w:color w:val="000000"/>
          <w:sz w:val="24"/>
          <w:szCs w:val="24"/>
          <w:vertAlign w:val="subscript"/>
          <w:lang w:val="en-US"/>
        </w:rPr>
        <w:t>t</w:t>
      </w:r>
      <w:r w:rsidRPr="008C1ADE">
        <w:rPr>
          <w:rFonts w:ascii="Times New Roman" w:hAnsi="Times New Roman"/>
          <w:bCs/>
          <w:color w:val="000000"/>
          <w:sz w:val="24"/>
          <w:szCs w:val="24"/>
          <w:lang w:val="en-US"/>
        </w:rPr>
        <w:t xml:space="preserve"> – </w:t>
      </w:r>
      <w:proofErr w:type="spellStart"/>
      <w:r w:rsidRPr="008C1ADE">
        <w:rPr>
          <w:rFonts w:ascii="Times New Roman" w:hAnsi="Times New Roman"/>
          <w:bCs/>
          <w:color w:val="000000"/>
          <w:sz w:val="24"/>
          <w:szCs w:val="24"/>
          <w:lang w:val="en-US"/>
        </w:rPr>
        <w:t>Vol</w:t>
      </w:r>
      <w:r w:rsidRPr="008C1ADE">
        <w:rPr>
          <w:rFonts w:ascii="Times New Roman" w:hAnsi="Times New Roman"/>
          <w:bCs/>
          <w:color w:val="000000"/>
          <w:sz w:val="24"/>
          <w:szCs w:val="24"/>
          <w:vertAlign w:val="subscript"/>
          <w:lang w:val="en-US"/>
        </w:rPr>
        <w:t>i</w:t>
      </w:r>
      <w:proofErr w:type="spellEnd"/>
      <w:r w:rsidRPr="008C1ADE">
        <w:rPr>
          <w:rFonts w:ascii="Times New Roman" w:hAnsi="Times New Roman"/>
          <w:bCs/>
          <w:color w:val="000000"/>
          <w:sz w:val="24"/>
          <w:szCs w:val="24"/>
          <w:lang w:val="en-US"/>
        </w:rPr>
        <w:t xml:space="preserve">) / </w:t>
      </w:r>
      <w:proofErr w:type="spellStart"/>
      <w:r w:rsidRPr="008C1ADE">
        <w:rPr>
          <w:rFonts w:ascii="Times New Roman" w:hAnsi="Times New Roman"/>
          <w:bCs/>
          <w:color w:val="000000"/>
          <w:sz w:val="24"/>
          <w:szCs w:val="24"/>
          <w:lang w:val="en-US"/>
        </w:rPr>
        <w:t>Vol</w:t>
      </w:r>
      <w:r w:rsidRPr="008C1ADE">
        <w:rPr>
          <w:rFonts w:ascii="Times New Roman" w:hAnsi="Times New Roman"/>
          <w:bCs/>
          <w:color w:val="000000"/>
          <w:sz w:val="24"/>
          <w:szCs w:val="24"/>
          <w:vertAlign w:val="subscript"/>
          <w:lang w:val="en-US"/>
        </w:rPr>
        <w:t>i</w:t>
      </w:r>
      <w:proofErr w:type="spellEnd"/>
      <w:r w:rsidRPr="008C1ADE">
        <w:rPr>
          <w:rFonts w:ascii="Times New Roman" w:hAnsi="Times New Roman"/>
          <w:bCs/>
          <w:color w:val="000000"/>
          <w:sz w:val="24"/>
          <w:szCs w:val="24"/>
          <w:lang w:val="en-US"/>
        </w:rPr>
        <w:t>] for t = one week after the last treatment. We called this value Best Response and the average at the same t was called Best Average Response.</w:t>
      </w:r>
    </w:p>
    <w:p w:rsidR="00604B83" w:rsidRPr="00604B83" w:rsidRDefault="00604B83" w:rsidP="00604B83">
      <w:pPr>
        <w:spacing w:before="120" w:after="120" w:line="360" w:lineRule="auto"/>
        <w:jc w:val="both"/>
        <w:rPr>
          <w:rFonts w:ascii="Times New Roman" w:hAnsi="Times New Roman"/>
          <w:b/>
          <w:sz w:val="24"/>
          <w:szCs w:val="24"/>
        </w:rPr>
      </w:pPr>
      <w:r>
        <w:rPr>
          <w:rFonts w:ascii="Times New Roman" w:hAnsi="Times New Roman"/>
          <w:b/>
          <w:sz w:val="24"/>
          <w:szCs w:val="24"/>
        </w:rPr>
        <w:t>Detailed IHC protocol</w:t>
      </w:r>
      <w:r w:rsidR="00E63822">
        <w:rPr>
          <w:rFonts w:ascii="Times New Roman" w:hAnsi="Times New Roman"/>
          <w:b/>
          <w:sz w:val="24"/>
          <w:szCs w:val="24"/>
        </w:rPr>
        <w:t xml:space="preserve"> </w:t>
      </w:r>
      <w:r w:rsidR="00E63822" w:rsidRPr="00AC056D">
        <w:rPr>
          <w:rFonts w:ascii="Times New Roman" w:hAnsi="Times New Roman"/>
          <w:b/>
          <w:sz w:val="24"/>
          <w:szCs w:val="24"/>
        </w:rPr>
        <w:t>and GLP tissue reactivity study</w:t>
      </w:r>
    </w:p>
    <w:p w:rsidR="00904CCB" w:rsidRDefault="00604B83" w:rsidP="00604B83">
      <w:pPr>
        <w:spacing w:before="120" w:after="120" w:line="360" w:lineRule="auto"/>
        <w:contextualSpacing/>
        <w:jc w:val="both"/>
        <w:rPr>
          <w:rFonts w:ascii="Times New Roman" w:hAnsi="Times New Roman"/>
          <w:sz w:val="24"/>
          <w:szCs w:val="24"/>
        </w:rPr>
      </w:pPr>
      <w:r w:rsidRPr="008C1ADE">
        <w:rPr>
          <w:rFonts w:ascii="Times New Roman" w:hAnsi="Times New Roman"/>
          <w:sz w:val="24"/>
          <w:szCs w:val="24"/>
        </w:rPr>
        <w:t xml:space="preserve">To visualize CD205 expression, </w:t>
      </w:r>
      <w:r>
        <w:rPr>
          <w:rFonts w:ascii="Times New Roman" w:hAnsi="Times New Roman"/>
          <w:sz w:val="24"/>
          <w:szCs w:val="24"/>
        </w:rPr>
        <w:t xml:space="preserve">two IHC protocols were used – one developed at </w:t>
      </w:r>
      <w:proofErr w:type="spellStart"/>
      <w:r>
        <w:rPr>
          <w:rFonts w:ascii="Times New Roman" w:hAnsi="Times New Roman"/>
          <w:sz w:val="24"/>
          <w:szCs w:val="24"/>
        </w:rPr>
        <w:t>Menarini</w:t>
      </w:r>
      <w:proofErr w:type="spellEnd"/>
      <w:r>
        <w:rPr>
          <w:rFonts w:ascii="Times New Roman" w:hAnsi="Times New Roman"/>
          <w:sz w:val="24"/>
          <w:szCs w:val="24"/>
        </w:rPr>
        <w:t xml:space="preserve"> and one at Oxford </w:t>
      </w:r>
      <w:proofErr w:type="spellStart"/>
      <w:r>
        <w:rPr>
          <w:rFonts w:ascii="Times New Roman" w:hAnsi="Times New Roman"/>
          <w:sz w:val="24"/>
          <w:szCs w:val="24"/>
        </w:rPr>
        <w:t>BioTherapeutics</w:t>
      </w:r>
      <w:proofErr w:type="spellEnd"/>
      <w:r>
        <w:rPr>
          <w:rFonts w:ascii="Times New Roman" w:hAnsi="Times New Roman"/>
          <w:sz w:val="24"/>
          <w:szCs w:val="24"/>
        </w:rPr>
        <w:t xml:space="preserve">. The protocol used at Oxford </w:t>
      </w:r>
      <w:proofErr w:type="spellStart"/>
      <w:r>
        <w:rPr>
          <w:rFonts w:ascii="Times New Roman" w:hAnsi="Times New Roman"/>
          <w:sz w:val="24"/>
          <w:szCs w:val="24"/>
        </w:rPr>
        <w:t>BioTherapeutics</w:t>
      </w:r>
      <w:proofErr w:type="spellEnd"/>
      <w:r>
        <w:rPr>
          <w:rFonts w:ascii="Times New Roman" w:hAnsi="Times New Roman"/>
          <w:sz w:val="24"/>
          <w:szCs w:val="24"/>
        </w:rPr>
        <w:t xml:space="preserve"> is as follows. CD205 IHC was performed on FFPE</w:t>
      </w:r>
      <w:r w:rsidRPr="008C1ADE">
        <w:rPr>
          <w:rFonts w:ascii="Times New Roman" w:hAnsi="Times New Roman"/>
          <w:sz w:val="24"/>
          <w:szCs w:val="24"/>
        </w:rPr>
        <w:t xml:space="preserve"> </w:t>
      </w:r>
      <w:proofErr w:type="spellStart"/>
      <w:r w:rsidRPr="008C1ADE">
        <w:rPr>
          <w:rFonts w:ascii="Times New Roman" w:hAnsi="Times New Roman"/>
          <w:sz w:val="24"/>
          <w:szCs w:val="24"/>
        </w:rPr>
        <w:t>tumor</w:t>
      </w:r>
      <w:proofErr w:type="spellEnd"/>
      <w:r w:rsidRPr="008C1ADE">
        <w:rPr>
          <w:rFonts w:ascii="Times New Roman" w:hAnsi="Times New Roman"/>
          <w:sz w:val="24"/>
          <w:szCs w:val="24"/>
        </w:rPr>
        <w:t xml:space="preserve"> sections</w:t>
      </w:r>
      <w:r>
        <w:rPr>
          <w:rFonts w:ascii="Times New Roman" w:hAnsi="Times New Roman"/>
          <w:sz w:val="24"/>
          <w:szCs w:val="24"/>
        </w:rPr>
        <w:t xml:space="preserve"> cut at 4um thickness. Sections</w:t>
      </w:r>
      <w:r w:rsidRPr="008C1ADE">
        <w:rPr>
          <w:rFonts w:ascii="Times New Roman" w:hAnsi="Times New Roman"/>
          <w:sz w:val="24"/>
          <w:szCs w:val="24"/>
        </w:rPr>
        <w:t xml:space="preserve"> were deparaffinised</w:t>
      </w:r>
      <w:r>
        <w:rPr>
          <w:rFonts w:ascii="Times New Roman" w:hAnsi="Times New Roman"/>
          <w:sz w:val="24"/>
          <w:szCs w:val="24"/>
        </w:rPr>
        <w:t xml:space="preserve"> and hydrated. </w:t>
      </w:r>
      <w:r w:rsidRPr="008C1ADE">
        <w:rPr>
          <w:rFonts w:ascii="Times New Roman" w:hAnsi="Times New Roman"/>
          <w:sz w:val="24"/>
          <w:szCs w:val="24"/>
        </w:rPr>
        <w:t xml:space="preserve">Unmasking of antigenic sites was performed in </w:t>
      </w:r>
      <w:r>
        <w:rPr>
          <w:rFonts w:ascii="Times New Roman" w:hAnsi="Times New Roman"/>
          <w:sz w:val="24"/>
          <w:szCs w:val="24"/>
        </w:rPr>
        <w:t>a pressure cooker</w:t>
      </w:r>
      <w:r w:rsidRPr="008C1ADE">
        <w:rPr>
          <w:rFonts w:ascii="Times New Roman" w:hAnsi="Times New Roman"/>
          <w:sz w:val="24"/>
          <w:szCs w:val="24"/>
        </w:rPr>
        <w:t xml:space="preserve"> with </w:t>
      </w:r>
      <w:r>
        <w:rPr>
          <w:rFonts w:ascii="Times New Roman" w:hAnsi="Times New Roman"/>
          <w:sz w:val="24"/>
          <w:szCs w:val="24"/>
        </w:rPr>
        <w:t>Antigen Unmasking Solution</w:t>
      </w:r>
      <w:r w:rsidRPr="008C1ADE">
        <w:rPr>
          <w:rFonts w:ascii="Times New Roman" w:hAnsi="Times New Roman"/>
          <w:sz w:val="24"/>
          <w:szCs w:val="24"/>
        </w:rPr>
        <w:t xml:space="preserve"> pH 9.00 (</w:t>
      </w:r>
      <w:r>
        <w:rPr>
          <w:rFonts w:ascii="Times New Roman" w:hAnsi="Times New Roman"/>
          <w:sz w:val="24"/>
          <w:szCs w:val="24"/>
        </w:rPr>
        <w:t>Vector; H-3301</w:t>
      </w:r>
      <w:r w:rsidRPr="008C1ADE">
        <w:rPr>
          <w:rFonts w:ascii="Times New Roman" w:hAnsi="Times New Roman"/>
          <w:sz w:val="24"/>
          <w:szCs w:val="24"/>
        </w:rPr>
        <w:t xml:space="preserve">) for </w:t>
      </w:r>
      <w:r>
        <w:rPr>
          <w:rFonts w:ascii="Times New Roman" w:hAnsi="Times New Roman"/>
          <w:sz w:val="24"/>
          <w:szCs w:val="24"/>
        </w:rPr>
        <w:t xml:space="preserve">20 min. at high pressure (40 min retrieval required for </w:t>
      </w:r>
      <w:proofErr w:type="spellStart"/>
      <w:r>
        <w:rPr>
          <w:rFonts w:ascii="Times New Roman" w:hAnsi="Times New Roman"/>
          <w:sz w:val="24"/>
          <w:szCs w:val="24"/>
        </w:rPr>
        <w:t>xenografts</w:t>
      </w:r>
      <w:proofErr w:type="spellEnd"/>
      <w:r>
        <w:rPr>
          <w:rFonts w:ascii="Times New Roman" w:hAnsi="Times New Roman"/>
          <w:sz w:val="24"/>
          <w:szCs w:val="24"/>
        </w:rPr>
        <w:t>)</w:t>
      </w:r>
      <w:r w:rsidRPr="008C1ADE">
        <w:rPr>
          <w:rFonts w:ascii="Times New Roman" w:hAnsi="Times New Roman"/>
          <w:sz w:val="24"/>
          <w:szCs w:val="24"/>
        </w:rPr>
        <w:t>. Sections were then incubated with</w:t>
      </w:r>
      <w:r w:rsidDel="000A53B8">
        <w:rPr>
          <w:rFonts w:ascii="Times New Roman" w:hAnsi="Times New Roman"/>
          <w:sz w:val="24"/>
          <w:szCs w:val="24"/>
        </w:rPr>
        <w:t xml:space="preserve"> </w:t>
      </w:r>
      <w:proofErr w:type="spellStart"/>
      <w:r>
        <w:rPr>
          <w:rFonts w:ascii="Times New Roman" w:hAnsi="Times New Roman"/>
          <w:sz w:val="24"/>
          <w:szCs w:val="24"/>
        </w:rPr>
        <w:t>peroxidase</w:t>
      </w:r>
      <w:proofErr w:type="spellEnd"/>
      <w:r>
        <w:rPr>
          <w:rFonts w:ascii="Times New Roman" w:hAnsi="Times New Roman"/>
          <w:sz w:val="24"/>
          <w:szCs w:val="24"/>
        </w:rPr>
        <w:t xml:space="preserve"> suppressing reagent (Thermo; 3500) for 5 minutes at room temperature to quench endogenous </w:t>
      </w:r>
      <w:proofErr w:type="spellStart"/>
      <w:r>
        <w:rPr>
          <w:rFonts w:ascii="Times New Roman" w:hAnsi="Times New Roman"/>
          <w:sz w:val="24"/>
          <w:szCs w:val="24"/>
        </w:rPr>
        <w:t>peroxidase</w:t>
      </w:r>
      <w:proofErr w:type="spellEnd"/>
      <w:r>
        <w:rPr>
          <w:rFonts w:ascii="Times New Roman" w:hAnsi="Times New Roman"/>
          <w:sz w:val="24"/>
          <w:szCs w:val="24"/>
        </w:rPr>
        <w:t>, followed by 10% normal goat serum (NGS) (Thermo; 31873) for 30 minutes at room temperature to block non-specific protein interactions.</w:t>
      </w:r>
      <w:r w:rsidRPr="008C1ADE">
        <w:rPr>
          <w:rFonts w:ascii="Times New Roman" w:hAnsi="Times New Roman"/>
          <w:sz w:val="24"/>
          <w:szCs w:val="24"/>
        </w:rPr>
        <w:t xml:space="preserve"> </w:t>
      </w:r>
      <w:r>
        <w:rPr>
          <w:rFonts w:ascii="Times New Roman" w:hAnsi="Times New Roman"/>
          <w:sz w:val="24"/>
          <w:szCs w:val="24"/>
        </w:rPr>
        <w:t>M</w:t>
      </w:r>
      <w:r w:rsidRPr="008C1ADE">
        <w:rPr>
          <w:rFonts w:ascii="Times New Roman" w:hAnsi="Times New Roman"/>
          <w:sz w:val="24"/>
          <w:szCs w:val="24"/>
        </w:rPr>
        <w:t>ouse monoclonal primary antibody CD205 (</w:t>
      </w:r>
      <w:proofErr w:type="spellStart"/>
      <w:r>
        <w:rPr>
          <w:rFonts w:ascii="Times New Roman" w:hAnsi="Times New Roman"/>
          <w:sz w:val="24"/>
          <w:szCs w:val="24"/>
        </w:rPr>
        <w:t>Leica</w:t>
      </w:r>
      <w:proofErr w:type="spellEnd"/>
      <w:r>
        <w:rPr>
          <w:rFonts w:ascii="Times New Roman" w:hAnsi="Times New Roman"/>
          <w:sz w:val="24"/>
          <w:szCs w:val="24"/>
        </w:rPr>
        <w:t xml:space="preserve">; </w:t>
      </w:r>
      <w:r w:rsidRPr="008C1ADE">
        <w:rPr>
          <w:rFonts w:ascii="Times New Roman" w:hAnsi="Times New Roman"/>
          <w:sz w:val="24"/>
          <w:szCs w:val="24"/>
        </w:rPr>
        <w:t>clone 11A10 [N</w:t>
      </w:r>
      <w:r>
        <w:rPr>
          <w:rFonts w:ascii="Times New Roman" w:hAnsi="Times New Roman"/>
          <w:sz w:val="24"/>
          <w:szCs w:val="24"/>
        </w:rPr>
        <w:t>C-L-DEC205]</w:t>
      </w:r>
      <w:r w:rsidRPr="008C1ADE">
        <w:rPr>
          <w:rFonts w:ascii="Times New Roman" w:hAnsi="Times New Roman"/>
          <w:sz w:val="24"/>
          <w:szCs w:val="24"/>
        </w:rPr>
        <w:t>)</w:t>
      </w:r>
      <w:r>
        <w:rPr>
          <w:rFonts w:ascii="Times New Roman" w:hAnsi="Times New Roman"/>
          <w:sz w:val="24"/>
          <w:szCs w:val="24"/>
        </w:rPr>
        <w:t xml:space="preserve"> and Mouse </w:t>
      </w:r>
      <w:proofErr w:type="spellStart"/>
      <w:r>
        <w:rPr>
          <w:rFonts w:ascii="Times New Roman" w:hAnsi="Times New Roman"/>
          <w:sz w:val="24"/>
          <w:szCs w:val="24"/>
        </w:rPr>
        <w:t>IgG</w:t>
      </w:r>
      <w:proofErr w:type="spellEnd"/>
      <w:r>
        <w:rPr>
          <w:rFonts w:ascii="Times New Roman" w:hAnsi="Times New Roman"/>
          <w:sz w:val="24"/>
          <w:szCs w:val="24"/>
        </w:rPr>
        <w:t xml:space="preserve"> </w:t>
      </w:r>
      <w:proofErr w:type="spellStart"/>
      <w:r>
        <w:rPr>
          <w:rFonts w:ascii="Times New Roman" w:hAnsi="Times New Roman"/>
          <w:sz w:val="24"/>
          <w:szCs w:val="24"/>
        </w:rPr>
        <w:t>Isotype</w:t>
      </w:r>
      <w:proofErr w:type="spellEnd"/>
      <w:r>
        <w:rPr>
          <w:rFonts w:ascii="Times New Roman" w:hAnsi="Times New Roman"/>
          <w:sz w:val="24"/>
          <w:szCs w:val="24"/>
        </w:rPr>
        <w:t xml:space="preserve"> (R&amp;D Systems; MAB002) were concentration matched and</w:t>
      </w:r>
      <w:r w:rsidRPr="008C1ADE">
        <w:rPr>
          <w:rFonts w:ascii="Times New Roman" w:hAnsi="Times New Roman"/>
          <w:sz w:val="24"/>
          <w:szCs w:val="24"/>
        </w:rPr>
        <w:t xml:space="preserve"> diluted 1:80 in </w:t>
      </w:r>
      <w:r>
        <w:rPr>
          <w:rFonts w:ascii="Times New Roman" w:hAnsi="Times New Roman"/>
          <w:sz w:val="24"/>
          <w:szCs w:val="24"/>
        </w:rPr>
        <w:t>10% NGS for 45 minutes</w:t>
      </w:r>
      <w:r w:rsidRPr="008C1ADE">
        <w:rPr>
          <w:rFonts w:ascii="Times New Roman" w:hAnsi="Times New Roman"/>
          <w:sz w:val="24"/>
          <w:szCs w:val="24"/>
        </w:rPr>
        <w:t>. After incubation with primary antibody</w:t>
      </w:r>
      <w:r>
        <w:rPr>
          <w:rFonts w:ascii="Times New Roman" w:hAnsi="Times New Roman"/>
          <w:sz w:val="24"/>
          <w:szCs w:val="24"/>
        </w:rPr>
        <w:t xml:space="preserve"> and </w:t>
      </w:r>
      <w:proofErr w:type="spellStart"/>
      <w:r>
        <w:rPr>
          <w:rFonts w:ascii="Times New Roman" w:hAnsi="Times New Roman"/>
          <w:sz w:val="24"/>
          <w:szCs w:val="24"/>
        </w:rPr>
        <w:t>isotype</w:t>
      </w:r>
      <w:proofErr w:type="spellEnd"/>
      <w:r w:rsidRPr="008C1ADE">
        <w:rPr>
          <w:rFonts w:ascii="Times New Roman" w:hAnsi="Times New Roman"/>
          <w:sz w:val="24"/>
          <w:szCs w:val="24"/>
        </w:rPr>
        <w:t>, tissue sections were incubated with</w:t>
      </w:r>
      <w:r w:rsidRPr="00D3350B">
        <w:t xml:space="preserve"> </w:t>
      </w:r>
      <w:proofErr w:type="spellStart"/>
      <w:r>
        <w:rPr>
          <w:rFonts w:ascii="Times New Roman" w:hAnsi="Times New Roman"/>
          <w:sz w:val="24"/>
          <w:szCs w:val="24"/>
        </w:rPr>
        <w:t>EnVision</w:t>
      </w:r>
      <w:proofErr w:type="spellEnd"/>
      <w:r>
        <w:rPr>
          <w:rFonts w:ascii="Times New Roman" w:hAnsi="Times New Roman"/>
          <w:sz w:val="24"/>
          <w:szCs w:val="24"/>
        </w:rPr>
        <w:t xml:space="preserve">+ System- HRP Labelled Polymer </w:t>
      </w:r>
      <w:r w:rsidRPr="00D3350B">
        <w:rPr>
          <w:rFonts w:ascii="Times New Roman" w:hAnsi="Times New Roman"/>
          <w:sz w:val="24"/>
          <w:szCs w:val="24"/>
        </w:rPr>
        <w:t>Anti-mouse</w:t>
      </w:r>
      <w:r>
        <w:rPr>
          <w:rFonts w:ascii="Times New Roman" w:hAnsi="Times New Roman"/>
          <w:sz w:val="24"/>
          <w:szCs w:val="24"/>
        </w:rPr>
        <w:t xml:space="preserve"> (</w:t>
      </w:r>
      <w:proofErr w:type="spellStart"/>
      <w:r>
        <w:rPr>
          <w:rFonts w:ascii="Times New Roman" w:hAnsi="Times New Roman"/>
          <w:sz w:val="24"/>
          <w:szCs w:val="24"/>
        </w:rPr>
        <w:t>Dako</w:t>
      </w:r>
      <w:proofErr w:type="spellEnd"/>
      <w:r>
        <w:rPr>
          <w:rFonts w:ascii="Times New Roman" w:hAnsi="Times New Roman"/>
          <w:sz w:val="24"/>
          <w:szCs w:val="24"/>
        </w:rPr>
        <w:t>; K4000)</w:t>
      </w:r>
      <w:r w:rsidRPr="008C1ADE">
        <w:rPr>
          <w:rFonts w:ascii="Times New Roman" w:hAnsi="Times New Roman"/>
          <w:sz w:val="24"/>
          <w:szCs w:val="24"/>
        </w:rPr>
        <w:t xml:space="preserve">. Staining was developed with </w:t>
      </w:r>
      <w:r>
        <w:rPr>
          <w:rFonts w:ascii="Times New Roman" w:hAnsi="Times New Roman"/>
          <w:sz w:val="24"/>
          <w:szCs w:val="24"/>
        </w:rPr>
        <w:t xml:space="preserve">Liquid DAB+ Substrate </w:t>
      </w:r>
      <w:proofErr w:type="spellStart"/>
      <w:r w:rsidRPr="00D3350B">
        <w:rPr>
          <w:rFonts w:ascii="Times New Roman" w:hAnsi="Times New Roman"/>
          <w:sz w:val="24"/>
          <w:szCs w:val="24"/>
        </w:rPr>
        <w:t>Chromogen</w:t>
      </w:r>
      <w:proofErr w:type="spellEnd"/>
      <w:r w:rsidRPr="00D3350B">
        <w:rPr>
          <w:rFonts w:ascii="Times New Roman" w:hAnsi="Times New Roman"/>
          <w:sz w:val="24"/>
          <w:szCs w:val="24"/>
        </w:rPr>
        <w:t xml:space="preserve"> System</w:t>
      </w:r>
      <w:r>
        <w:rPr>
          <w:rFonts w:ascii="Times New Roman" w:hAnsi="Times New Roman"/>
          <w:sz w:val="24"/>
          <w:szCs w:val="24"/>
        </w:rPr>
        <w:t xml:space="preserve"> (</w:t>
      </w:r>
      <w:proofErr w:type="spellStart"/>
      <w:r>
        <w:rPr>
          <w:rFonts w:ascii="Times New Roman" w:hAnsi="Times New Roman"/>
          <w:sz w:val="24"/>
          <w:szCs w:val="24"/>
        </w:rPr>
        <w:t>Dako</w:t>
      </w:r>
      <w:proofErr w:type="spellEnd"/>
      <w:r>
        <w:rPr>
          <w:rFonts w:ascii="Times New Roman" w:hAnsi="Times New Roman"/>
          <w:sz w:val="24"/>
          <w:szCs w:val="24"/>
        </w:rPr>
        <w:t>; K3468) for 10 minutes</w:t>
      </w:r>
      <w:r w:rsidRPr="008C1ADE">
        <w:rPr>
          <w:rFonts w:ascii="Times New Roman" w:hAnsi="Times New Roman"/>
          <w:sz w:val="24"/>
          <w:szCs w:val="24"/>
        </w:rPr>
        <w:t>. Slides were counterstained with haematoxylin, dehydrated, and mounted</w:t>
      </w:r>
      <w:r>
        <w:rPr>
          <w:rFonts w:ascii="Times New Roman" w:hAnsi="Times New Roman"/>
          <w:sz w:val="24"/>
          <w:szCs w:val="24"/>
        </w:rPr>
        <w:t>. Sections were then visualized and scored</w:t>
      </w:r>
      <w:r w:rsidR="00242913">
        <w:rPr>
          <w:rFonts w:ascii="Times New Roman" w:hAnsi="Times New Roman"/>
          <w:sz w:val="24"/>
          <w:szCs w:val="24"/>
        </w:rPr>
        <w:t>.</w:t>
      </w:r>
      <w:r w:rsidR="009F19F5">
        <w:rPr>
          <w:rFonts w:ascii="Times New Roman" w:hAnsi="Times New Roman"/>
          <w:sz w:val="24"/>
          <w:szCs w:val="24"/>
        </w:rPr>
        <w:t xml:space="preserve"> </w:t>
      </w:r>
      <w:proofErr w:type="spellStart"/>
      <w:r>
        <w:rPr>
          <w:rFonts w:ascii="Times New Roman" w:hAnsi="Times New Roman"/>
          <w:sz w:val="24"/>
          <w:szCs w:val="24"/>
        </w:rPr>
        <w:t>Menarini</w:t>
      </w:r>
      <w:proofErr w:type="spellEnd"/>
      <w:r>
        <w:rPr>
          <w:rFonts w:ascii="Times New Roman" w:hAnsi="Times New Roman"/>
          <w:sz w:val="24"/>
          <w:szCs w:val="24"/>
        </w:rPr>
        <w:t xml:space="preserve"> CD205 IHC was also performed on FFPE</w:t>
      </w:r>
      <w:r w:rsidRPr="008C1ADE">
        <w:rPr>
          <w:rFonts w:ascii="Times New Roman" w:hAnsi="Times New Roman"/>
          <w:sz w:val="24"/>
          <w:szCs w:val="24"/>
        </w:rPr>
        <w:t xml:space="preserve"> </w:t>
      </w:r>
      <w:proofErr w:type="spellStart"/>
      <w:r>
        <w:rPr>
          <w:rFonts w:ascii="Times New Roman" w:hAnsi="Times New Roman"/>
          <w:sz w:val="24"/>
          <w:szCs w:val="24"/>
        </w:rPr>
        <w:t>xenograft</w:t>
      </w:r>
      <w:proofErr w:type="spellEnd"/>
      <w:r w:rsidRPr="008C1ADE">
        <w:rPr>
          <w:rFonts w:ascii="Times New Roman" w:hAnsi="Times New Roman"/>
          <w:sz w:val="24"/>
          <w:szCs w:val="24"/>
        </w:rPr>
        <w:t xml:space="preserve"> sections</w:t>
      </w:r>
      <w:r>
        <w:rPr>
          <w:rFonts w:ascii="Times New Roman" w:hAnsi="Times New Roman"/>
          <w:sz w:val="24"/>
          <w:szCs w:val="24"/>
        </w:rPr>
        <w:t>. Sections</w:t>
      </w:r>
      <w:r w:rsidRPr="008C1ADE">
        <w:rPr>
          <w:rFonts w:ascii="Times New Roman" w:hAnsi="Times New Roman"/>
          <w:sz w:val="24"/>
          <w:szCs w:val="24"/>
        </w:rPr>
        <w:t xml:space="preserve"> were deparaffinised and hydrated. </w:t>
      </w:r>
      <w:r>
        <w:rPr>
          <w:rFonts w:ascii="Times New Roman" w:hAnsi="Times New Roman"/>
          <w:sz w:val="24"/>
          <w:szCs w:val="24"/>
        </w:rPr>
        <w:t xml:space="preserve"> </w:t>
      </w:r>
      <w:r w:rsidRPr="008C1ADE">
        <w:rPr>
          <w:rFonts w:ascii="Times New Roman" w:hAnsi="Times New Roman"/>
          <w:sz w:val="24"/>
          <w:szCs w:val="24"/>
        </w:rPr>
        <w:t xml:space="preserve">Endogenous </w:t>
      </w:r>
      <w:proofErr w:type="spellStart"/>
      <w:r>
        <w:rPr>
          <w:rFonts w:ascii="Times New Roman" w:hAnsi="Times New Roman"/>
          <w:sz w:val="24"/>
          <w:szCs w:val="24"/>
        </w:rPr>
        <w:t>p</w:t>
      </w:r>
      <w:r w:rsidRPr="008C1ADE">
        <w:rPr>
          <w:rFonts w:ascii="Times New Roman" w:hAnsi="Times New Roman"/>
          <w:sz w:val="24"/>
          <w:szCs w:val="24"/>
        </w:rPr>
        <w:t>eroxidase</w:t>
      </w:r>
      <w:proofErr w:type="spellEnd"/>
      <w:r w:rsidRPr="008C1ADE">
        <w:rPr>
          <w:rFonts w:ascii="Times New Roman" w:hAnsi="Times New Roman"/>
          <w:sz w:val="24"/>
          <w:szCs w:val="24"/>
        </w:rPr>
        <w:t xml:space="preserve"> was inhibited by incubation with H</w:t>
      </w:r>
      <w:r w:rsidRPr="00E55B22">
        <w:rPr>
          <w:rFonts w:ascii="Times New Roman" w:hAnsi="Times New Roman"/>
          <w:sz w:val="24"/>
          <w:szCs w:val="24"/>
          <w:vertAlign w:val="subscript"/>
        </w:rPr>
        <w:t>2</w:t>
      </w:r>
      <w:r w:rsidRPr="008C1ADE">
        <w:rPr>
          <w:rFonts w:ascii="Times New Roman" w:hAnsi="Times New Roman"/>
          <w:sz w:val="24"/>
          <w:szCs w:val="24"/>
        </w:rPr>
        <w:t>O</w:t>
      </w:r>
      <w:r w:rsidRPr="00E55B22">
        <w:rPr>
          <w:rFonts w:ascii="Times New Roman" w:hAnsi="Times New Roman"/>
          <w:sz w:val="24"/>
          <w:szCs w:val="24"/>
          <w:vertAlign w:val="subscript"/>
        </w:rPr>
        <w:t>2</w:t>
      </w:r>
      <w:r w:rsidRPr="008C1ADE">
        <w:rPr>
          <w:rFonts w:ascii="Times New Roman" w:hAnsi="Times New Roman"/>
          <w:sz w:val="24"/>
          <w:szCs w:val="24"/>
        </w:rPr>
        <w:t xml:space="preserve"> at 3%. Unmasking of antigenic sites was performed in microwave with Target Retrieval Solution pH 9.00 (S2368; </w:t>
      </w:r>
      <w:proofErr w:type="spellStart"/>
      <w:r w:rsidRPr="008C1ADE">
        <w:rPr>
          <w:rFonts w:ascii="Times New Roman" w:hAnsi="Times New Roman"/>
          <w:sz w:val="24"/>
          <w:szCs w:val="24"/>
        </w:rPr>
        <w:t>Dako</w:t>
      </w:r>
      <w:proofErr w:type="spellEnd"/>
      <w:r w:rsidRPr="008C1ADE">
        <w:rPr>
          <w:rFonts w:ascii="Times New Roman" w:hAnsi="Times New Roman"/>
          <w:sz w:val="24"/>
          <w:szCs w:val="24"/>
        </w:rPr>
        <w:t>) for 6 min. in a microwave oven at 100C and 650 W. Sections were then incubated with mouse monoclonal primary antibody CD205 (clone 11A10 [NC-L-DE</w:t>
      </w:r>
      <w:r>
        <w:rPr>
          <w:rFonts w:ascii="Times New Roman" w:hAnsi="Times New Roman"/>
          <w:sz w:val="24"/>
          <w:szCs w:val="24"/>
        </w:rPr>
        <w:t>C</w:t>
      </w:r>
      <w:r w:rsidRPr="008C1ADE">
        <w:rPr>
          <w:rFonts w:ascii="Times New Roman" w:hAnsi="Times New Roman"/>
          <w:sz w:val="24"/>
          <w:szCs w:val="24"/>
        </w:rPr>
        <w:t xml:space="preserve">205]; </w:t>
      </w:r>
      <w:proofErr w:type="spellStart"/>
      <w:r w:rsidRPr="008C1ADE">
        <w:rPr>
          <w:rFonts w:ascii="Times New Roman" w:hAnsi="Times New Roman"/>
          <w:sz w:val="24"/>
          <w:szCs w:val="24"/>
        </w:rPr>
        <w:t>Leica</w:t>
      </w:r>
      <w:proofErr w:type="spellEnd"/>
      <w:r w:rsidRPr="008C1ADE">
        <w:rPr>
          <w:rFonts w:ascii="Times New Roman" w:hAnsi="Times New Roman"/>
          <w:sz w:val="24"/>
          <w:szCs w:val="24"/>
        </w:rPr>
        <w:t xml:space="preserve">) diluted at 1:80 in Phosphate Buffer Saline – PBS, for 45 min. at room temperature. After incubation with primary antibody, tissue sections were sequentially incubated with link </w:t>
      </w:r>
      <w:proofErr w:type="spellStart"/>
      <w:r w:rsidRPr="008C1ADE">
        <w:rPr>
          <w:rFonts w:ascii="Times New Roman" w:hAnsi="Times New Roman"/>
          <w:sz w:val="24"/>
          <w:szCs w:val="24"/>
        </w:rPr>
        <w:t>biotinylated</w:t>
      </w:r>
      <w:proofErr w:type="spellEnd"/>
      <w:r w:rsidRPr="008C1ADE">
        <w:rPr>
          <w:rFonts w:ascii="Times New Roman" w:hAnsi="Times New Roman"/>
          <w:sz w:val="24"/>
          <w:szCs w:val="24"/>
        </w:rPr>
        <w:t xml:space="preserve"> secondary antibodies (K5001; </w:t>
      </w:r>
      <w:proofErr w:type="spellStart"/>
      <w:r w:rsidRPr="008C1ADE">
        <w:rPr>
          <w:rFonts w:ascii="Times New Roman" w:hAnsi="Times New Roman"/>
          <w:sz w:val="24"/>
          <w:szCs w:val="24"/>
        </w:rPr>
        <w:t>Dako</w:t>
      </w:r>
      <w:proofErr w:type="spellEnd"/>
      <w:r w:rsidRPr="008C1ADE">
        <w:rPr>
          <w:rFonts w:ascii="Times New Roman" w:hAnsi="Times New Roman"/>
          <w:sz w:val="24"/>
          <w:szCs w:val="24"/>
        </w:rPr>
        <w:t xml:space="preserve"> REAL TM) and with </w:t>
      </w:r>
      <w:proofErr w:type="spellStart"/>
      <w:r w:rsidRPr="008C1ADE">
        <w:rPr>
          <w:rFonts w:ascii="Times New Roman" w:hAnsi="Times New Roman"/>
          <w:sz w:val="24"/>
          <w:szCs w:val="24"/>
        </w:rPr>
        <w:t>streptavidin</w:t>
      </w:r>
      <w:proofErr w:type="spellEnd"/>
      <w:r w:rsidRPr="008C1ADE">
        <w:rPr>
          <w:rFonts w:ascii="Times New Roman" w:hAnsi="Times New Roman"/>
          <w:sz w:val="24"/>
          <w:szCs w:val="24"/>
        </w:rPr>
        <w:t xml:space="preserve"> </w:t>
      </w:r>
      <w:proofErr w:type="spellStart"/>
      <w:r w:rsidRPr="00F9613F">
        <w:rPr>
          <w:rFonts w:ascii="Times New Roman" w:hAnsi="Times New Roman"/>
          <w:sz w:val="24"/>
          <w:szCs w:val="24"/>
        </w:rPr>
        <w:t>peroxidase</w:t>
      </w:r>
      <w:proofErr w:type="spellEnd"/>
      <w:r w:rsidRPr="00F9613F">
        <w:rPr>
          <w:rFonts w:ascii="Times New Roman" w:hAnsi="Times New Roman"/>
          <w:sz w:val="24"/>
          <w:szCs w:val="24"/>
        </w:rPr>
        <w:t xml:space="preserve"> </w:t>
      </w:r>
      <w:r w:rsidRPr="008C1ADE">
        <w:rPr>
          <w:rFonts w:ascii="Times New Roman" w:hAnsi="Times New Roman"/>
          <w:sz w:val="24"/>
          <w:szCs w:val="24"/>
        </w:rPr>
        <w:t xml:space="preserve">(K5001; </w:t>
      </w:r>
      <w:proofErr w:type="spellStart"/>
      <w:r w:rsidRPr="008C1ADE">
        <w:rPr>
          <w:rFonts w:ascii="Times New Roman" w:hAnsi="Times New Roman"/>
          <w:sz w:val="24"/>
          <w:szCs w:val="24"/>
        </w:rPr>
        <w:t>Dako</w:t>
      </w:r>
      <w:proofErr w:type="spellEnd"/>
      <w:r w:rsidRPr="008C1ADE">
        <w:rPr>
          <w:rFonts w:ascii="Times New Roman" w:hAnsi="Times New Roman"/>
          <w:sz w:val="24"/>
          <w:szCs w:val="24"/>
        </w:rPr>
        <w:t xml:space="preserve"> REAL TM). Staining was developed with Di-amino-</w:t>
      </w:r>
      <w:proofErr w:type="spellStart"/>
      <w:r w:rsidRPr="008C1ADE">
        <w:rPr>
          <w:rFonts w:ascii="Times New Roman" w:hAnsi="Times New Roman"/>
          <w:sz w:val="24"/>
          <w:szCs w:val="24"/>
        </w:rPr>
        <w:t>benzidine</w:t>
      </w:r>
      <w:proofErr w:type="spellEnd"/>
      <w:r w:rsidRPr="008C1ADE">
        <w:rPr>
          <w:rFonts w:ascii="Times New Roman" w:hAnsi="Times New Roman"/>
          <w:sz w:val="24"/>
          <w:szCs w:val="24"/>
        </w:rPr>
        <w:t xml:space="preserve"> (K5001; </w:t>
      </w:r>
      <w:proofErr w:type="spellStart"/>
      <w:r w:rsidRPr="008C1ADE">
        <w:rPr>
          <w:rFonts w:ascii="Times New Roman" w:hAnsi="Times New Roman"/>
          <w:sz w:val="24"/>
          <w:szCs w:val="24"/>
        </w:rPr>
        <w:t>DAB+Chromogen</w:t>
      </w:r>
      <w:proofErr w:type="spellEnd"/>
      <w:r w:rsidRPr="008C1ADE">
        <w:rPr>
          <w:rFonts w:ascii="Times New Roman" w:hAnsi="Times New Roman"/>
          <w:sz w:val="24"/>
          <w:szCs w:val="24"/>
        </w:rPr>
        <w:t xml:space="preserve"> x50; </w:t>
      </w:r>
      <w:proofErr w:type="spellStart"/>
      <w:r w:rsidRPr="008C1ADE">
        <w:rPr>
          <w:rFonts w:ascii="Times New Roman" w:hAnsi="Times New Roman"/>
          <w:sz w:val="24"/>
          <w:szCs w:val="24"/>
        </w:rPr>
        <w:t>Dako</w:t>
      </w:r>
      <w:proofErr w:type="spellEnd"/>
      <w:r w:rsidRPr="008C1ADE">
        <w:rPr>
          <w:rFonts w:ascii="Times New Roman" w:hAnsi="Times New Roman"/>
          <w:sz w:val="24"/>
          <w:szCs w:val="24"/>
        </w:rPr>
        <w:t xml:space="preserve"> REAL TM) + Substrate (K5001; HRP Substrate Buffer; </w:t>
      </w:r>
      <w:proofErr w:type="spellStart"/>
      <w:r w:rsidRPr="008C1ADE">
        <w:rPr>
          <w:rFonts w:ascii="Times New Roman" w:hAnsi="Times New Roman"/>
          <w:sz w:val="24"/>
          <w:szCs w:val="24"/>
        </w:rPr>
        <w:t>Dako</w:t>
      </w:r>
      <w:proofErr w:type="spellEnd"/>
      <w:r w:rsidRPr="008C1ADE">
        <w:rPr>
          <w:rFonts w:ascii="Times New Roman" w:hAnsi="Times New Roman"/>
          <w:sz w:val="24"/>
          <w:szCs w:val="24"/>
        </w:rPr>
        <w:t xml:space="preserve"> REAL TM). Slides were counterstained with haematoxylin, dehydrated, and mounted. All masses were used also as negative controls and therefore PBS was used in place of primary antibody. To </w:t>
      </w:r>
      <w:r w:rsidRPr="008C1ADE">
        <w:rPr>
          <w:rFonts w:ascii="Times New Roman" w:hAnsi="Times New Roman"/>
          <w:sz w:val="24"/>
          <w:szCs w:val="24"/>
        </w:rPr>
        <w:lastRenderedPageBreak/>
        <w:t xml:space="preserve">evaluate the </w:t>
      </w:r>
      <w:proofErr w:type="spellStart"/>
      <w:r w:rsidRPr="008C1ADE">
        <w:rPr>
          <w:rFonts w:ascii="Times New Roman" w:hAnsi="Times New Roman"/>
          <w:sz w:val="24"/>
          <w:szCs w:val="24"/>
        </w:rPr>
        <w:t>immunostaining</w:t>
      </w:r>
      <w:proofErr w:type="spellEnd"/>
      <w:r w:rsidRPr="008C1ADE">
        <w:rPr>
          <w:rFonts w:ascii="Times New Roman" w:hAnsi="Times New Roman"/>
          <w:sz w:val="24"/>
          <w:szCs w:val="24"/>
        </w:rPr>
        <w:t xml:space="preserve"> intensity, each slide was examined on </w:t>
      </w:r>
      <w:proofErr w:type="spellStart"/>
      <w:r w:rsidRPr="008C1ADE">
        <w:rPr>
          <w:rFonts w:ascii="Times New Roman" w:hAnsi="Times New Roman"/>
          <w:sz w:val="24"/>
          <w:szCs w:val="24"/>
        </w:rPr>
        <w:t>Leica</w:t>
      </w:r>
      <w:proofErr w:type="spellEnd"/>
      <w:r w:rsidRPr="008C1ADE">
        <w:rPr>
          <w:rFonts w:ascii="Times New Roman" w:hAnsi="Times New Roman"/>
          <w:sz w:val="24"/>
          <w:szCs w:val="24"/>
        </w:rPr>
        <w:t xml:space="preserve"> DMRB microscope. </w:t>
      </w:r>
      <w:r w:rsidR="00904CCB">
        <w:rPr>
          <w:rFonts w:ascii="Times New Roman" w:hAnsi="Times New Roman"/>
          <w:sz w:val="24"/>
          <w:szCs w:val="24"/>
        </w:rPr>
        <w:t>IHC</w:t>
      </w:r>
      <w:r w:rsidR="00904CCB" w:rsidRPr="008C1ADE">
        <w:rPr>
          <w:rFonts w:ascii="Times New Roman" w:hAnsi="Times New Roman"/>
          <w:sz w:val="24"/>
          <w:szCs w:val="24"/>
        </w:rPr>
        <w:t xml:space="preserve"> </w:t>
      </w:r>
      <w:r w:rsidRPr="008C1ADE">
        <w:rPr>
          <w:rFonts w:ascii="Times New Roman" w:hAnsi="Times New Roman"/>
          <w:sz w:val="24"/>
          <w:szCs w:val="24"/>
        </w:rPr>
        <w:t xml:space="preserve">scoring was performed using a semi-quantitative method considering the staining intensity of the immunoreactions. Each </w:t>
      </w:r>
      <w:proofErr w:type="spellStart"/>
      <w:r w:rsidRPr="008C1ADE">
        <w:rPr>
          <w:rFonts w:ascii="Times New Roman" w:hAnsi="Times New Roman"/>
          <w:sz w:val="24"/>
          <w:szCs w:val="24"/>
        </w:rPr>
        <w:t>tumor</w:t>
      </w:r>
      <w:proofErr w:type="spellEnd"/>
      <w:r w:rsidRPr="008C1ADE">
        <w:rPr>
          <w:rFonts w:ascii="Times New Roman" w:hAnsi="Times New Roman"/>
          <w:sz w:val="24"/>
          <w:szCs w:val="24"/>
        </w:rPr>
        <w:t xml:space="preserve"> was given a score according to the intensity of </w:t>
      </w:r>
      <w:r>
        <w:rPr>
          <w:rFonts w:ascii="Times New Roman" w:hAnsi="Times New Roman"/>
          <w:sz w:val="24"/>
          <w:szCs w:val="24"/>
        </w:rPr>
        <w:t>membrane</w:t>
      </w:r>
      <w:r w:rsidRPr="008C1ADE">
        <w:rPr>
          <w:rFonts w:ascii="Times New Roman" w:hAnsi="Times New Roman"/>
          <w:sz w:val="24"/>
          <w:szCs w:val="24"/>
        </w:rPr>
        <w:t xml:space="preserve"> staining as reported in below.</w:t>
      </w:r>
    </w:p>
    <w:p w:rsidR="00904CCB" w:rsidRPr="008C1ADE" w:rsidRDefault="00904CCB" w:rsidP="00604B83">
      <w:pPr>
        <w:spacing w:before="120" w:after="120" w:line="360" w:lineRule="auto"/>
        <w:contextualSpacing/>
        <w:jc w:val="both"/>
        <w:rPr>
          <w:rFonts w:ascii="Times New Roman" w:hAnsi="Times New Roman"/>
          <w:sz w:val="24"/>
          <w:szCs w:val="24"/>
        </w:rPr>
      </w:pPr>
    </w:p>
    <w:p w:rsidR="00604B83" w:rsidRPr="008C1ADE" w:rsidRDefault="00604B83" w:rsidP="00604B83">
      <w:pPr>
        <w:spacing w:before="120" w:after="120" w:line="360" w:lineRule="auto"/>
        <w:ind w:firstLine="708"/>
        <w:contextualSpacing/>
        <w:jc w:val="both"/>
        <w:rPr>
          <w:rFonts w:ascii="Times New Roman" w:hAnsi="Times New Roman"/>
          <w:sz w:val="24"/>
          <w:szCs w:val="24"/>
          <w:lang w:val="en-US"/>
        </w:rPr>
      </w:pPr>
      <w:r w:rsidRPr="008C1ADE">
        <w:rPr>
          <w:rFonts w:ascii="Times New Roman" w:hAnsi="Times New Roman"/>
          <w:sz w:val="24"/>
          <w:szCs w:val="24"/>
          <w:lang w:val="en-US"/>
        </w:rPr>
        <w:t>Scoring system</w:t>
      </w:r>
    </w:p>
    <w:tbl>
      <w:tblPr>
        <w:tblW w:w="0" w:type="auto"/>
        <w:tblInd w:w="648" w:type="dxa"/>
        <w:tblBorders>
          <w:top w:val="single" w:sz="12" w:space="0" w:color="auto"/>
          <w:bottom w:val="single" w:sz="12" w:space="0" w:color="auto"/>
          <w:insideH w:val="single" w:sz="4" w:space="0" w:color="auto"/>
        </w:tblBorders>
        <w:tblLayout w:type="fixed"/>
        <w:tblLook w:val="01E0"/>
      </w:tblPr>
      <w:tblGrid>
        <w:gridCol w:w="1985"/>
        <w:gridCol w:w="1985"/>
        <w:gridCol w:w="1985"/>
        <w:gridCol w:w="1985"/>
      </w:tblGrid>
      <w:tr w:rsidR="00604B83" w:rsidRPr="008C1ADE" w:rsidTr="00604B83">
        <w:trPr>
          <w:trHeight w:val="567"/>
        </w:trPr>
        <w:tc>
          <w:tcPr>
            <w:tcW w:w="1985" w:type="dxa"/>
            <w:vAlign w:val="center"/>
          </w:tcPr>
          <w:p w:rsidR="00604B83" w:rsidRPr="008C1ADE" w:rsidRDefault="005708D5" w:rsidP="00604B83">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Strong</w:t>
            </w:r>
          </w:p>
        </w:tc>
        <w:tc>
          <w:tcPr>
            <w:tcW w:w="1985" w:type="dxa"/>
            <w:vAlign w:val="center"/>
          </w:tcPr>
          <w:p w:rsidR="00604B83" w:rsidRPr="008C1ADE" w:rsidRDefault="005708D5" w:rsidP="00604B83">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Moderate</w:t>
            </w:r>
          </w:p>
        </w:tc>
        <w:tc>
          <w:tcPr>
            <w:tcW w:w="1985" w:type="dxa"/>
            <w:vAlign w:val="center"/>
          </w:tcPr>
          <w:p w:rsidR="00604B83" w:rsidRPr="008C1ADE" w:rsidRDefault="005708D5" w:rsidP="00604B83">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Weak</w:t>
            </w:r>
          </w:p>
        </w:tc>
        <w:tc>
          <w:tcPr>
            <w:tcW w:w="1985" w:type="dxa"/>
            <w:vAlign w:val="center"/>
          </w:tcPr>
          <w:p w:rsidR="00604B83" w:rsidRPr="008C1ADE" w:rsidRDefault="00604B83" w:rsidP="00604B83">
            <w:pPr>
              <w:spacing w:before="120" w:after="120" w:line="360" w:lineRule="auto"/>
              <w:jc w:val="center"/>
              <w:rPr>
                <w:rFonts w:ascii="Times New Roman" w:hAnsi="Times New Roman"/>
                <w:sz w:val="24"/>
                <w:szCs w:val="24"/>
                <w:lang w:val="en-US"/>
              </w:rPr>
            </w:pPr>
            <w:r w:rsidRPr="008C1ADE">
              <w:rPr>
                <w:rFonts w:ascii="Times New Roman" w:hAnsi="Times New Roman"/>
                <w:sz w:val="24"/>
                <w:szCs w:val="24"/>
                <w:lang w:val="en-US"/>
              </w:rPr>
              <w:t>Negative</w:t>
            </w:r>
          </w:p>
        </w:tc>
      </w:tr>
      <w:tr w:rsidR="00604B83" w:rsidRPr="008C1ADE" w:rsidTr="00604B83">
        <w:trPr>
          <w:trHeight w:val="567"/>
        </w:trPr>
        <w:tc>
          <w:tcPr>
            <w:tcW w:w="1985" w:type="dxa"/>
            <w:vAlign w:val="center"/>
          </w:tcPr>
          <w:p w:rsidR="00604B83" w:rsidRPr="008C1ADE" w:rsidRDefault="00604B83" w:rsidP="00604B83">
            <w:pPr>
              <w:spacing w:before="120" w:after="120" w:line="360" w:lineRule="auto"/>
              <w:jc w:val="center"/>
              <w:rPr>
                <w:rFonts w:ascii="Times New Roman" w:hAnsi="Times New Roman"/>
                <w:sz w:val="24"/>
                <w:szCs w:val="24"/>
                <w:lang w:val="en-US"/>
              </w:rPr>
            </w:pPr>
            <w:r w:rsidRPr="008C1ADE">
              <w:rPr>
                <w:rFonts w:ascii="Times New Roman" w:hAnsi="Times New Roman"/>
                <w:sz w:val="24"/>
                <w:szCs w:val="24"/>
                <w:lang w:val="en-US"/>
              </w:rPr>
              <w:t>3/+++</w:t>
            </w:r>
          </w:p>
        </w:tc>
        <w:tc>
          <w:tcPr>
            <w:tcW w:w="1985" w:type="dxa"/>
            <w:vAlign w:val="center"/>
          </w:tcPr>
          <w:p w:rsidR="00604B83" w:rsidRPr="008C1ADE" w:rsidRDefault="00604B83" w:rsidP="00604B83">
            <w:pPr>
              <w:spacing w:before="120" w:after="120" w:line="360" w:lineRule="auto"/>
              <w:jc w:val="center"/>
              <w:rPr>
                <w:rFonts w:ascii="Times New Roman" w:hAnsi="Times New Roman"/>
                <w:sz w:val="24"/>
                <w:szCs w:val="24"/>
                <w:lang w:val="en-US"/>
              </w:rPr>
            </w:pPr>
            <w:r w:rsidRPr="008C1ADE">
              <w:rPr>
                <w:rFonts w:ascii="Times New Roman" w:hAnsi="Times New Roman"/>
                <w:sz w:val="24"/>
                <w:szCs w:val="24"/>
                <w:lang w:val="en-US"/>
              </w:rPr>
              <w:t>2/++</w:t>
            </w:r>
          </w:p>
        </w:tc>
        <w:tc>
          <w:tcPr>
            <w:tcW w:w="1985" w:type="dxa"/>
            <w:vAlign w:val="center"/>
          </w:tcPr>
          <w:p w:rsidR="00604B83" w:rsidRPr="008C1ADE" w:rsidRDefault="00604B83" w:rsidP="00604B83">
            <w:pPr>
              <w:spacing w:before="120" w:after="120" w:line="360" w:lineRule="auto"/>
              <w:jc w:val="center"/>
              <w:rPr>
                <w:rFonts w:ascii="Times New Roman" w:hAnsi="Times New Roman"/>
                <w:sz w:val="24"/>
                <w:szCs w:val="24"/>
                <w:lang w:val="en-US"/>
              </w:rPr>
            </w:pPr>
            <w:r w:rsidRPr="008C1ADE">
              <w:rPr>
                <w:rFonts w:ascii="Times New Roman" w:hAnsi="Times New Roman"/>
                <w:sz w:val="24"/>
                <w:szCs w:val="24"/>
                <w:lang w:val="en-US"/>
              </w:rPr>
              <w:t>1/+</w:t>
            </w:r>
          </w:p>
        </w:tc>
        <w:tc>
          <w:tcPr>
            <w:tcW w:w="1985" w:type="dxa"/>
            <w:vAlign w:val="center"/>
          </w:tcPr>
          <w:p w:rsidR="00604B83" w:rsidRPr="008C1ADE" w:rsidRDefault="00604B83" w:rsidP="00604B83">
            <w:pPr>
              <w:spacing w:before="120" w:after="120" w:line="360" w:lineRule="auto"/>
              <w:jc w:val="center"/>
              <w:rPr>
                <w:rFonts w:ascii="Times New Roman" w:hAnsi="Times New Roman"/>
                <w:sz w:val="24"/>
                <w:szCs w:val="24"/>
                <w:lang w:val="en-US"/>
              </w:rPr>
            </w:pPr>
            <w:r w:rsidRPr="008C1ADE">
              <w:rPr>
                <w:rFonts w:ascii="Times New Roman" w:hAnsi="Times New Roman"/>
                <w:sz w:val="24"/>
                <w:szCs w:val="24"/>
                <w:lang w:val="en-US"/>
              </w:rPr>
              <w:t>0</w:t>
            </w:r>
          </w:p>
        </w:tc>
      </w:tr>
    </w:tbl>
    <w:p w:rsidR="00FD54C5" w:rsidRDefault="00FD54C5" w:rsidP="008C1ADE">
      <w:pPr>
        <w:tabs>
          <w:tab w:val="num" w:pos="540"/>
        </w:tabs>
        <w:spacing w:before="120" w:after="120" w:line="360" w:lineRule="auto"/>
        <w:ind w:left="540" w:hanging="540"/>
        <w:jc w:val="both"/>
        <w:rPr>
          <w:rFonts w:ascii="Times New Roman" w:hAnsi="Times New Roman"/>
          <w:sz w:val="24"/>
          <w:szCs w:val="24"/>
          <w:lang w:val="en-US" w:eastAsia="it-IT"/>
        </w:rPr>
      </w:pPr>
    </w:p>
    <w:p w:rsidR="00246DBE" w:rsidRPr="00992BA6" w:rsidRDefault="0036142B">
      <w:pPr>
        <w:tabs>
          <w:tab w:val="num" w:pos="0"/>
        </w:tabs>
        <w:spacing w:before="120" w:after="120" w:line="360" w:lineRule="auto"/>
        <w:ind w:hanging="540"/>
        <w:jc w:val="both"/>
        <w:rPr>
          <w:rFonts w:ascii="Times New Roman" w:eastAsiaTheme="minorHAnsi" w:hAnsi="Times New Roman"/>
          <w:color w:val="000000"/>
          <w:sz w:val="24"/>
          <w:szCs w:val="24"/>
          <w:lang w:val="en-US"/>
        </w:rPr>
      </w:pPr>
      <w:r>
        <w:rPr>
          <w:rFonts w:ascii="Times New Roman" w:hAnsi="Times New Roman"/>
          <w:sz w:val="24"/>
          <w:szCs w:val="24"/>
          <w:lang w:val="en-US" w:eastAsia="it-IT"/>
        </w:rPr>
        <w:t xml:space="preserve">        </w:t>
      </w:r>
      <w:r w:rsidR="00A32EBE" w:rsidRPr="00486BD3">
        <w:rPr>
          <w:rFonts w:ascii="Times New Roman" w:hAnsi="Times New Roman"/>
          <w:sz w:val="24"/>
          <w:szCs w:val="24"/>
          <w:lang w:val="en-US" w:eastAsia="it-IT"/>
        </w:rPr>
        <w:t xml:space="preserve">The GLP tissue cross reactivity study was conducted at </w:t>
      </w:r>
      <w:proofErr w:type="spellStart"/>
      <w:r w:rsidR="00A32EBE" w:rsidRPr="00486BD3">
        <w:rPr>
          <w:rFonts w:ascii="Times New Roman" w:hAnsi="Times New Roman"/>
          <w:sz w:val="24"/>
          <w:szCs w:val="24"/>
          <w:lang w:val="en-US" w:eastAsia="it-IT"/>
        </w:rPr>
        <w:t>Propath</w:t>
      </w:r>
      <w:proofErr w:type="spellEnd"/>
      <w:r w:rsidR="00A32EBE" w:rsidRPr="00486BD3">
        <w:rPr>
          <w:rFonts w:ascii="Times New Roman" w:hAnsi="Times New Roman"/>
          <w:sz w:val="24"/>
          <w:szCs w:val="24"/>
          <w:lang w:val="en-US" w:eastAsia="it-IT"/>
        </w:rPr>
        <w:t xml:space="preserve"> </w:t>
      </w:r>
      <w:r w:rsidR="00F87145" w:rsidRPr="00486BD3">
        <w:rPr>
          <w:rFonts w:ascii="Times New Roman" w:hAnsi="Times New Roman"/>
          <w:sz w:val="24"/>
          <w:szCs w:val="24"/>
          <w:lang w:val="en-US" w:eastAsia="it-IT"/>
        </w:rPr>
        <w:t xml:space="preserve">Ltd. </w:t>
      </w:r>
      <w:r w:rsidR="00A32EBE" w:rsidRPr="00486BD3">
        <w:rPr>
          <w:rFonts w:ascii="Times New Roman" w:hAnsi="Times New Roman"/>
          <w:sz w:val="24"/>
          <w:szCs w:val="24"/>
          <w:lang w:val="en-US" w:eastAsia="it-IT"/>
        </w:rPr>
        <w:t>(UK)</w:t>
      </w:r>
      <w:r w:rsidRPr="00486BD3">
        <w:rPr>
          <w:rFonts w:ascii="Times New Roman" w:hAnsi="Times New Roman"/>
          <w:sz w:val="24"/>
          <w:szCs w:val="24"/>
          <w:lang w:val="en-US" w:eastAsia="it-IT"/>
        </w:rPr>
        <w:t xml:space="preserve">. </w:t>
      </w:r>
      <w:r w:rsidR="00C368D4" w:rsidRPr="00486BD3">
        <w:rPr>
          <w:rFonts w:ascii="Times New Roman" w:eastAsiaTheme="minorHAnsi" w:hAnsi="Times New Roman"/>
          <w:color w:val="000000"/>
          <w:sz w:val="24"/>
          <w:szCs w:val="24"/>
          <w:lang w:val="en-US"/>
        </w:rPr>
        <w:t xml:space="preserve">An indirect IHC technique using an HRP detection method and a semi-automated method on the </w:t>
      </w:r>
      <w:proofErr w:type="spellStart"/>
      <w:r w:rsidR="00C368D4" w:rsidRPr="00486BD3">
        <w:rPr>
          <w:rFonts w:ascii="Times New Roman" w:eastAsiaTheme="minorHAnsi" w:hAnsi="Times New Roman"/>
          <w:color w:val="000000"/>
          <w:sz w:val="24"/>
          <w:szCs w:val="24"/>
          <w:lang w:val="en-US"/>
        </w:rPr>
        <w:t>Ventana</w:t>
      </w:r>
      <w:proofErr w:type="spellEnd"/>
      <w:r w:rsidR="00C368D4" w:rsidRPr="00486BD3">
        <w:rPr>
          <w:rFonts w:ascii="Times New Roman" w:eastAsiaTheme="minorHAnsi" w:hAnsi="Times New Roman"/>
          <w:color w:val="000000"/>
          <w:sz w:val="24"/>
          <w:szCs w:val="24"/>
          <w:lang w:val="en-US"/>
        </w:rPr>
        <w:t xml:space="preserve"> Discovery XT platform was selected. In summary, the IHC method consisted of the following steps: A) frozen tissue sections were fixed in Zinc formalin for 2 minutes at room temperature and blocked using 3% Hydrogen Peroxide in DPBS for 10 minutes, B) following a series of washes the slides were </w:t>
      </w:r>
      <w:proofErr w:type="spellStart"/>
      <w:r w:rsidR="00C368D4" w:rsidRPr="00486BD3">
        <w:rPr>
          <w:rFonts w:ascii="Times New Roman" w:eastAsiaTheme="minorHAnsi" w:hAnsi="Times New Roman"/>
          <w:color w:val="000000"/>
          <w:sz w:val="24"/>
          <w:szCs w:val="24"/>
          <w:lang w:val="en-US"/>
        </w:rPr>
        <w:t>immunostained</w:t>
      </w:r>
      <w:proofErr w:type="spellEnd"/>
      <w:r w:rsidR="00C368D4" w:rsidRPr="00486BD3">
        <w:rPr>
          <w:rFonts w:ascii="Times New Roman" w:eastAsiaTheme="minorHAnsi" w:hAnsi="Times New Roman"/>
          <w:color w:val="000000"/>
          <w:sz w:val="24"/>
          <w:szCs w:val="24"/>
          <w:lang w:val="en-US"/>
        </w:rPr>
        <w:t xml:space="preserve"> using a semi-automated protocol on the </w:t>
      </w:r>
      <w:proofErr w:type="spellStart"/>
      <w:r w:rsidR="00C368D4" w:rsidRPr="00486BD3">
        <w:rPr>
          <w:rFonts w:ascii="Times New Roman" w:eastAsiaTheme="minorHAnsi" w:hAnsi="Times New Roman"/>
          <w:color w:val="000000"/>
          <w:sz w:val="24"/>
          <w:szCs w:val="24"/>
          <w:lang w:val="en-US"/>
        </w:rPr>
        <w:t>Ventana</w:t>
      </w:r>
      <w:proofErr w:type="spellEnd"/>
      <w:r w:rsidR="00C368D4" w:rsidRPr="00486BD3">
        <w:rPr>
          <w:rFonts w:ascii="Times New Roman" w:eastAsiaTheme="minorHAnsi" w:hAnsi="Times New Roman"/>
          <w:color w:val="000000"/>
          <w:sz w:val="24"/>
          <w:szCs w:val="24"/>
          <w:lang w:val="en-US"/>
        </w:rPr>
        <w:t xml:space="preserve"> Discovery XT system, C) MEN1309, or the </w:t>
      </w:r>
      <w:proofErr w:type="spellStart"/>
      <w:r w:rsidR="00C368D4" w:rsidRPr="00486BD3">
        <w:rPr>
          <w:rFonts w:ascii="Times New Roman" w:eastAsiaTheme="minorHAnsi" w:hAnsi="Times New Roman"/>
          <w:color w:val="000000"/>
          <w:sz w:val="24"/>
          <w:szCs w:val="24"/>
          <w:lang w:val="en-US"/>
        </w:rPr>
        <w:t>isotype</w:t>
      </w:r>
      <w:proofErr w:type="spellEnd"/>
      <w:r w:rsidR="00C368D4" w:rsidRPr="00486BD3">
        <w:rPr>
          <w:rFonts w:ascii="Times New Roman" w:eastAsiaTheme="minorHAnsi" w:hAnsi="Times New Roman"/>
          <w:color w:val="000000"/>
          <w:sz w:val="24"/>
          <w:szCs w:val="24"/>
          <w:lang w:val="en-US"/>
        </w:rPr>
        <w:t xml:space="preserve"> control or buffer were manually applied to tissue sections and left to incubate for 52 minutes, D) an anti-DM4 secondary antibody was then manually applied to tissue sections for 28 minutes, E) the HRP detection reagents were applied following the manufacturer’s recommendations, F) slides were stained with </w:t>
      </w:r>
      <w:proofErr w:type="spellStart"/>
      <w:r w:rsidR="00C368D4" w:rsidRPr="00486BD3">
        <w:rPr>
          <w:rFonts w:ascii="Times New Roman" w:eastAsiaTheme="minorHAnsi" w:hAnsi="Times New Roman"/>
          <w:color w:val="000000"/>
          <w:sz w:val="24"/>
          <w:szCs w:val="24"/>
          <w:lang w:val="en-US"/>
        </w:rPr>
        <w:t>hematoxylin</w:t>
      </w:r>
      <w:proofErr w:type="spellEnd"/>
      <w:r w:rsidR="00C368D4" w:rsidRPr="00486BD3">
        <w:rPr>
          <w:rFonts w:ascii="Times New Roman" w:eastAsiaTheme="minorHAnsi" w:hAnsi="Times New Roman"/>
          <w:color w:val="000000"/>
          <w:sz w:val="24"/>
          <w:szCs w:val="24"/>
          <w:lang w:val="en-US"/>
        </w:rPr>
        <w:t xml:space="preserve"> and bluing reagent for 8 and 4 minutes respectively, G) slides were removed from the instrument, washed, dehydrated and mounted in a permanent mounting medium. Five serial sections for each human and </w:t>
      </w:r>
      <w:proofErr w:type="spellStart"/>
      <w:r w:rsidR="00C368D4" w:rsidRPr="00486BD3">
        <w:rPr>
          <w:rFonts w:ascii="Times New Roman" w:eastAsiaTheme="minorHAnsi" w:hAnsi="Times New Roman"/>
          <w:color w:val="000000"/>
          <w:sz w:val="24"/>
          <w:szCs w:val="24"/>
          <w:lang w:val="en-US"/>
        </w:rPr>
        <w:t>cynomolgus</w:t>
      </w:r>
      <w:proofErr w:type="spellEnd"/>
      <w:r w:rsidR="00C368D4" w:rsidRPr="00486BD3">
        <w:rPr>
          <w:rFonts w:ascii="Times New Roman" w:eastAsiaTheme="minorHAnsi" w:hAnsi="Times New Roman"/>
          <w:color w:val="000000"/>
          <w:sz w:val="24"/>
          <w:szCs w:val="24"/>
          <w:lang w:val="en-US"/>
        </w:rPr>
        <w:t xml:space="preserve"> monkey tissue were processed for the </w:t>
      </w:r>
      <w:proofErr w:type="spellStart"/>
      <w:r w:rsidR="00C368D4" w:rsidRPr="00486BD3">
        <w:rPr>
          <w:rFonts w:ascii="Times New Roman" w:eastAsiaTheme="minorHAnsi" w:hAnsi="Times New Roman"/>
          <w:color w:val="000000"/>
          <w:sz w:val="24"/>
          <w:szCs w:val="24"/>
          <w:lang w:val="en-US"/>
        </w:rPr>
        <w:t>immunohistochemical</w:t>
      </w:r>
      <w:proofErr w:type="spellEnd"/>
      <w:r w:rsidR="00C368D4" w:rsidRPr="00486BD3">
        <w:rPr>
          <w:rFonts w:ascii="Times New Roman" w:eastAsiaTheme="minorHAnsi" w:hAnsi="Times New Roman"/>
          <w:color w:val="000000"/>
          <w:sz w:val="24"/>
          <w:szCs w:val="24"/>
          <w:lang w:val="en-US"/>
        </w:rPr>
        <w:t xml:space="preserve"> assay. The IHC experiment included the following: A) incubation with MEN1309 at the lowest concentration of 0.125μg/</w:t>
      </w:r>
      <w:proofErr w:type="spellStart"/>
      <w:r w:rsidR="00C368D4" w:rsidRPr="00486BD3">
        <w:rPr>
          <w:rFonts w:ascii="Times New Roman" w:eastAsiaTheme="minorHAnsi" w:hAnsi="Times New Roman"/>
          <w:color w:val="000000"/>
          <w:sz w:val="24"/>
          <w:szCs w:val="24"/>
          <w:lang w:val="en-US"/>
        </w:rPr>
        <w:t>mL</w:t>
      </w:r>
      <w:proofErr w:type="spellEnd"/>
      <w:r w:rsidR="00C368D4" w:rsidRPr="00486BD3">
        <w:rPr>
          <w:rFonts w:ascii="Times New Roman" w:eastAsiaTheme="minorHAnsi" w:hAnsi="Times New Roman"/>
          <w:color w:val="000000"/>
          <w:sz w:val="24"/>
          <w:szCs w:val="24"/>
          <w:lang w:val="en-US"/>
        </w:rPr>
        <w:t xml:space="preserve"> B) incubation with MEN1309 at the intermediate concentration of 0.5μg/</w:t>
      </w:r>
      <w:proofErr w:type="spellStart"/>
      <w:r w:rsidR="00C368D4" w:rsidRPr="00486BD3">
        <w:rPr>
          <w:rFonts w:ascii="Times New Roman" w:eastAsiaTheme="minorHAnsi" w:hAnsi="Times New Roman"/>
          <w:color w:val="000000"/>
          <w:sz w:val="24"/>
          <w:szCs w:val="24"/>
          <w:lang w:val="en-US"/>
        </w:rPr>
        <w:t>mL</w:t>
      </w:r>
      <w:proofErr w:type="spellEnd"/>
      <w:r w:rsidR="00C368D4" w:rsidRPr="00486BD3">
        <w:rPr>
          <w:rFonts w:ascii="Times New Roman" w:eastAsiaTheme="minorHAnsi" w:hAnsi="Times New Roman"/>
          <w:color w:val="000000"/>
          <w:sz w:val="24"/>
          <w:szCs w:val="24"/>
          <w:lang w:val="en-US"/>
        </w:rPr>
        <w:t xml:space="preserve"> C) incubation with MEN1309 at the highest concentration of 2μg/</w:t>
      </w:r>
      <w:proofErr w:type="spellStart"/>
      <w:r w:rsidR="00C368D4" w:rsidRPr="00486BD3">
        <w:rPr>
          <w:rFonts w:ascii="Times New Roman" w:eastAsiaTheme="minorHAnsi" w:hAnsi="Times New Roman"/>
          <w:color w:val="000000"/>
          <w:sz w:val="24"/>
          <w:szCs w:val="24"/>
          <w:lang w:val="en-US"/>
        </w:rPr>
        <w:t>mL</w:t>
      </w:r>
      <w:proofErr w:type="spellEnd"/>
      <w:r w:rsidR="00C368D4" w:rsidRPr="00486BD3">
        <w:rPr>
          <w:rFonts w:ascii="Times New Roman" w:eastAsiaTheme="minorHAnsi" w:hAnsi="Times New Roman"/>
          <w:color w:val="000000"/>
          <w:sz w:val="24"/>
          <w:szCs w:val="24"/>
          <w:lang w:val="en-US"/>
        </w:rPr>
        <w:t xml:space="preserve"> D) incubation with the </w:t>
      </w:r>
      <w:proofErr w:type="spellStart"/>
      <w:r w:rsidR="00C368D4" w:rsidRPr="00486BD3">
        <w:rPr>
          <w:rFonts w:ascii="Times New Roman" w:eastAsiaTheme="minorHAnsi" w:hAnsi="Times New Roman"/>
          <w:color w:val="000000"/>
          <w:sz w:val="24"/>
          <w:szCs w:val="24"/>
          <w:lang w:val="en-US"/>
        </w:rPr>
        <w:t>isotype</w:t>
      </w:r>
      <w:proofErr w:type="spellEnd"/>
      <w:r w:rsidR="00C368D4" w:rsidRPr="00486BD3">
        <w:rPr>
          <w:rFonts w:ascii="Times New Roman" w:eastAsiaTheme="minorHAnsi" w:hAnsi="Times New Roman"/>
          <w:color w:val="000000"/>
          <w:sz w:val="24"/>
          <w:szCs w:val="24"/>
          <w:lang w:val="en-US"/>
        </w:rPr>
        <w:t xml:space="preserve"> control at the highest concentration of 2μg/</w:t>
      </w:r>
      <w:proofErr w:type="spellStart"/>
      <w:r w:rsidR="00C368D4" w:rsidRPr="00486BD3">
        <w:rPr>
          <w:rFonts w:ascii="Times New Roman" w:eastAsiaTheme="minorHAnsi" w:hAnsi="Times New Roman"/>
          <w:color w:val="000000"/>
          <w:sz w:val="24"/>
          <w:szCs w:val="24"/>
          <w:lang w:val="en-US"/>
        </w:rPr>
        <w:t>mL</w:t>
      </w:r>
      <w:proofErr w:type="spellEnd"/>
      <w:r w:rsidR="00C368D4" w:rsidRPr="00486BD3">
        <w:rPr>
          <w:rFonts w:ascii="Times New Roman" w:eastAsiaTheme="minorHAnsi" w:hAnsi="Times New Roman"/>
          <w:color w:val="000000"/>
          <w:sz w:val="24"/>
          <w:szCs w:val="24"/>
          <w:lang w:val="en-US"/>
        </w:rPr>
        <w:t xml:space="preserve"> E) incubation with buffer to replace MEN1309 or the </w:t>
      </w:r>
      <w:proofErr w:type="spellStart"/>
      <w:r w:rsidR="00C368D4" w:rsidRPr="00486BD3">
        <w:rPr>
          <w:rFonts w:ascii="Times New Roman" w:eastAsiaTheme="minorHAnsi" w:hAnsi="Times New Roman"/>
          <w:color w:val="000000"/>
          <w:sz w:val="24"/>
          <w:szCs w:val="24"/>
          <w:lang w:val="en-US"/>
        </w:rPr>
        <w:t>isotype</w:t>
      </w:r>
      <w:proofErr w:type="spellEnd"/>
      <w:r w:rsidR="00C368D4" w:rsidRPr="00486BD3">
        <w:rPr>
          <w:rFonts w:ascii="Times New Roman" w:eastAsiaTheme="minorHAnsi" w:hAnsi="Times New Roman"/>
          <w:color w:val="000000"/>
          <w:sz w:val="24"/>
          <w:szCs w:val="24"/>
          <w:lang w:val="en-US"/>
        </w:rPr>
        <w:t xml:space="preserve"> control. Positive control human thymus tissue was included to validate every IHC run and to ensure consistency. Inter-run reproducibility and variability were assessed by the study director through qualitative evaluation and comparison of the staining pattern and intensity in the positive and negative control slides. Slides were evaluated using light microscopy and a semi-quantitative method for the analysis of </w:t>
      </w:r>
      <w:proofErr w:type="spellStart"/>
      <w:r w:rsidR="00C368D4" w:rsidRPr="00486BD3">
        <w:rPr>
          <w:rFonts w:ascii="Times New Roman" w:eastAsiaTheme="minorHAnsi" w:hAnsi="Times New Roman"/>
          <w:color w:val="000000"/>
          <w:sz w:val="24"/>
          <w:szCs w:val="24"/>
          <w:lang w:val="en-US"/>
        </w:rPr>
        <w:t>immunostaining</w:t>
      </w:r>
      <w:proofErr w:type="spellEnd"/>
      <w:r w:rsidR="00C368D4" w:rsidRPr="00486BD3">
        <w:rPr>
          <w:rFonts w:ascii="Times New Roman" w:eastAsiaTheme="minorHAnsi" w:hAnsi="Times New Roman"/>
          <w:color w:val="000000"/>
          <w:sz w:val="24"/>
          <w:szCs w:val="24"/>
          <w:lang w:val="en-US"/>
        </w:rPr>
        <w:t xml:space="preserve">. The number and intensity of cells with </w:t>
      </w:r>
      <w:proofErr w:type="spellStart"/>
      <w:r w:rsidR="00C368D4" w:rsidRPr="00486BD3">
        <w:rPr>
          <w:rFonts w:ascii="Times New Roman" w:eastAsiaTheme="minorHAnsi" w:hAnsi="Times New Roman"/>
          <w:color w:val="000000"/>
          <w:sz w:val="24"/>
          <w:szCs w:val="24"/>
          <w:lang w:val="en-US"/>
        </w:rPr>
        <w:t>immunohistochemical</w:t>
      </w:r>
      <w:proofErr w:type="spellEnd"/>
      <w:r w:rsidR="00C368D4" w:rsidRPr="00486BD3">
        <w:rPr>
          <w:rFonts w:ascii="Times New Roman" w:eastAsiaTheme="minorHAnsi" w:hAnsi="Times New Roman"/>
          <w:color w:val="000000"/>
          <w:sz w:val="24"/>
          <w:szCs w:val="24"/>
          <w:lang w:val="en-US"/>
        </w:rPr>
        <w:t xml:space="preserve"> staining was graded accordingly: 0 (-) negative (no stained cells) 1 (+) minimal (rare cells with low staining intensity) 2 </w:t>
      </w:r>
      <w:r w:rsidR="00C368D4" w:rsidRPr="00486BD3">
        <w:rPr>
          <w:rFonts w:ascii="Times New Roman" w:eastAsiaTheme="minorHAnsi" w:hAnsi="Times New Roman"/>
          <w:color w:val="000000"/>
          <w:sz w:val="24"/>
          <w:szCs w:val="24"/>
          <w:lang w:val="en-US"/>
        </w:rPr>
        <w:lastRenderedPageBreak/>
        <w:t>(++) slight/moderate (many cells with medium/high staining intensity) 3 (+++) marked (significant numbers of cells with high staining intensity).</w:t>
      </w:r>
      <w:r w:rsidR="00C368D4" w:rsidRPr="00C368D4">
        <w:rPr>
          <w:rFonts w:ascii="Times New Roman" w:eastAsiaTheme="minorHAnsi" w:hAnsi="Times New Roman"/>
          <w:color w:val="000000"/>
          <w:sz w:val="24"/>
          <w:szCs w:val="24"/>
          <w:lang w:val="en-US"/>
        </w:rPr>
        <w:t xml:space="preserve"> </w:t>
      </w:r>
    </w:p>
    <w:p w:rsidR="000678FE" w:rsidRPr="00486BD3" w:rsidRDefault="000D16C0" w:rsidP="000678FE">
      <w:pPr>
        <w:tabs>
          <w:tab w:val="num" w:pos="0"/>
        </w:tabs>
        <w:spacing w:before="120" w:after="120" w:line="360" w:lineRule="auto"/>
        <w:jc w:val="both"/>
        <w:rPr>
          <w:rFonts w:ascii="Times New Roman" w:eastAsiaTheme="minorHAnsi" w:hAnsi="Times New Roman"/>
          <w:b/>
          <w:color w:val="000000"/>
          <w:sz w:val="23"/>
          <w:szCs w:val="23"/>
          <w:lang w:val="en-US"/>
        </w:rPr>
      </w:pPr>
      <w:r w:rsidRPr="00486BD3">
        <w:rPr>
          <w:rFonts w:ascii="Times New Roman" w:eastAsiaTheme="minorHAnsi" w:hAnsi="Times New Roman"/>
          <w:b/>
          <w:color w:val="000000"/>
          <w:sz w:val="23"/>
          <w:szCs w:val="23"/>
          <w:lang w:val="en-US"/>
        </w:rPr>
        <w:t xml:space="preserve">Cross reactivity study of MBH1309/OBT076 in rat, mouse, </w:t>
      </w:r>
      <w:proofErr w:type="spellStart"/>
      <w:r w:rsidRPr="00486BD3">
        <w:rPr>
          <w:rFonts w:ascii="Times New Roman" w:eastAsiaTheme="minorHAnsi" w:hAnsi="Times New Roman"/>
          <w:b/>
          <w:color w:val="000000"/>
          <w:sz w:val="23"/>
          <w:szCs w:val="23"/>
          <w:lang w:val="en-US"/>
        </w:rPr>
        <w:t>cynomolgus</w:t>
      </w:r>
      <w:proofErr w:type="spellEnd"/>
      <w:r w:rsidRPr="00486BD3">
        <w:rPr>
          <w:rFonts w:ascii="Times New Roman" w:eastAsiaTheme="minorHAnsi" w:hAnsi="Times New Roman"/>
          <w:b/>
          <w:color w:val="000000"/>
          <w:sz w:val="23"/>
          <w:szCs w:val="23"/>
          <w:lang w:val="en-US"/>
        </w:rPr>
        <w:t xml:space="preserve"> and human whole blood</w:t>
      </w:r>
    </w:p>
    <w:p w:rsidR="000D16C0" w:rsidRDefault="000D16C0" w:rsidP="000D16C0">
      <w:pPr>
        <w:tabs>
          <w:tab w:val="num" w:pos="0"/>
        </w:tabs>
        <w:spacing w:before="120" w:after="120" w:line="360" w:lineRule="auto"/>
        <w:jc w:val="both"/>
        <w:rPr>
          <w:rFonts w:ascii="Times New Roman" w:hAnsi="Times New Roman"/>
        </w:rPr>
      </w:pPr>
      <w:r w:rsidRPr="00486BD3">
        <w:rPr>
          <w:rFonts w:ascii="Times New Roman" w:eastAsiaTheme="minorHAnsi" w:hAnsi="Times New Roman"/>
          <w:color w:val="000000"/>
          <w:sz w:val="23"/>
          <w:szCs w:val="23"/>
          <w:lang w:val="en-US"/>
        </w:rPr>
        <w:t xml:space="preserve">Whole blood from rat and mouse has been supplied by </w:t>
      </w:r>
      <w:proofErr w:type="spellStart"/>
      <w:r w:rsidRPr="00486BD3">
        <w:rPr>
          <w:rFonts w:ascii="Times New Roman" w:eastAsiaTheme="minorHAnsi" w:hAnsi="Times New Roman"/>
          <w:color w:val="000000"/>
          <w:sz w:val="23"/>
          <w:szCs w:val="23"/>
          <w:lang w:val="en-US"/>
        </w:rPr>
        <w:t>Menarini</w:t>
      </w:r>
      <w:proofErr w:type="spellEnd"/>
      <w:r w:rsidRPr="00486BD3">
        <w:rPr>
          <w:rFonts w:ascii="Times New Roman" w:eastAsiaTheme="minorHAnsi" w:hAnsi="Times New Roman"/>
          <w:color w:val="000000"/>
          <w:sz w:val="23"/>
          <w:szCs w:val="23"/>
          <w:lang w:val="en-US"/>
        </w:rPr>
        <w:t xml:space="preserve"> RTC. Whole blood from </w:t>
      </w:r>
      <w:proofErr w:type="spellStart"/>
      <w:r w:rsidRPr="00486BD3">
        <w:rPr>
          <w:rFonts w:ascii="Times New Roman" w:eastAsiaTheme="minorHAnsi" w:hAnsi="Times New Roman"/>
          <w:color w:val="000000"/>
          <w:sz w:val="23"/>
          <w:szCs w:val="23"/>
          <w:lang w:val="en-US"/>
        </w:rPr>
        <w:t>cynomolgus</w:t>
      </w:r>
      <w:proofErr w:type="spellEnd"/>
      <w:r w:rsidRPr="00486BD3">
        <w:rPr>
          <w:rFonts w:ascii="Times New Roman" w:eastAsiaTheme="minorHAnsi" w:hAnsi="Times New Roman"/>
          <w:color w:val="000000"/>
          <w:sz w:val="23"/>
          <w:szCs w:val="23"/>
          <w:lang w:val="en-US"/>
        </w:rPr>
        <w:t xml:space="preserve"> monkeys (</w:t>
      </w:r>
      <w:proofErr w:type="spellStart"/>
      <w:r w:rsidRPr="00486BD3">
        <w:rPr>
          <w:rFonts w:ascii="Times New Roman" w:eastAsiaTheme="minorHAnsi" w:hAnsi="Times New Roman"/>
          <w:color w:val="000000"/>
          <w:sz w:val="23"/>
          <w:szCs w:val="23"/>
          <w:lang w:val="en-US"/>
        </w:rPr>
        <w:t>Macaca</w:t>
      </w:r>
      <w:proofErr w:type="spellEnd"/>
      <w:r w:rsidRPr="00486BD3">
        <w:rPr>
          <w:rFonts w:ascii="Times New Roman" w:eastAsiaTheme="minorHAnsi" w:hAnsi="Times New Roman"/>
          <w:color w:val="000000"/>
          <w:sz w:val="23"/>
          <w:szCs w:val="23"/>
          <w:lang w:val="en-US"/>
        </w:rPr>
        <w:t xml:space="preserve"> </w:t>
      </w:r>
      <w:proofErr w:type="spellStart"/>
      <w:r w:rsidRPr="00486BD3">
        <w:rPr>
          <w:rFonts w:ascii="Times New Roman" w:eastAsiaTheme="minorHAnsi" w:hAnsi="Times New Roman"/>
          <w:color w:val="000000"/>
          <w:sz w:val="23"/>
          <w:szCs w:val="23"/>
          <w:lang w:val="en-US"/>
        </w:rPr>
        <w:t>fascicularis</w:t>
      </w:r>
      <w:proofErr w:type="spellEnd"/>
      <w:r w:rsidRPr="00486BD3">
        <w:rPr>
          <w:rFonts w:ascii="Times New Roman" w:eastAsiaTheme="minorHAnsi" w:hAnsi="Times New Roman"/>
          <w:color w:val="000000"/>
          <w:sz w:val="23"/>
          <w:szCs w:val="23"/>
          <w:lang w:val="en-US"/>
        </w:rPr>
        <w:t xml:space="preserve">) has been supplied by Covance Laboratories </w:t>
      </w:r>
      <w:proofErr w:type="spellStart"/>
      <w:r w:rsidRPr="00486BD3">
        <w:rPr>
          <w:rFonts w:ascii="Times New Roman" w:eastAsiaTheme="minorHAnsi" w:hAnsi="Times New Roman"/>
          <w:color w:val="000000"/>
          <w:sz w:val="23"/>
          <w:szCs w:val="23"/>
          <w:lang w:val="en-US"/>
        </w:rPr>
        <w:t>Gmbh</w:t>
      </w:r>
      <w:proofErr w:type="spellEnd"/>
      <w:r w:rsidRPr="00486BD3">
        <w:rPr>
          <w:rFonts w:ascii="Times New Roman" w:eastAsiaTheme="minorHAnsi" w:hAnsi="Times New Roman"/>
          <w:color w:val="000000"/>
          <w:sz w:val="23"/>
          <w:szCs w:val="23"/>
          <w:lang w:val="en-US"/>
        </w:rPr>
        <w:t>, (Munster, Germany). Human whole blood from healthy donors was collected and analyzed at Dept. of Hematology-</w:t>
      </w:r>
      <w:proofErr w:type="spellStart"/>
      <w:r w:rsidRPr="00486BD3">
        <w:rPr>
          <w:rFonts w:ascii="Times New Roman" w:eastAsiaTheme="minorHAnsi" w:hAnsi="Times New Roman"/>
          <w:color w:val="000000"/>
          <w:sz w:val="23"/>
          <w:szCs w:val="23"/>
          <w:lang w:val="en-US"/>
        </w:rPr>
        <w:t>Policlinico</w:t>
      </w:r>
      <w:proofErr w:type="spellEnd"/>
      <w:r w:rsidRPr="00486BD3">
        <w:rPr>
          <w:rFonts w:ascii="Times New Roman" w:eastAsiaTheme="minorHAnsi" w:hAnsi="Times New Roman"/>
          <w:color w:val="000000"/>
          <w:sz w:val="23"/>
          <w:szCs w:val="23"/>
          <w:lang w:val="en-US"/>
        </w:rPr>
        <w:t xml:space="preserve"> Tor </w:t>
      </w:r>
      <w:proofErr w:type="spellStart"/>
      <w:r w:rsidRPr="00486BD3">
        <w:rPr>
          <w:rFonts w:ascii="Times New Roman" w:eastAsiaTheme="minorHAnsi" w:hAnsi="Times New Roman"/>
          <w:color w:val="000000"/>
          <w:sz w:val="23"/>
          <w:szCs w:val="23"/>
          <w:lang w:val="en-US"/>
        </w:rPr>
        <w:t>Vergata</w:t>
      </w:r>
      <w:proofErr w:type="spellEnd"/>
      <w:r w:rsidRPr="00486BD3">
        <w:rPr>
          <w:rFonts w:ascii="Times New Roman" w:eastAsiaTheme="minorHAnsi" w:hAnsi="Times New Roman"/>
          <w:color w:val="000000"/>
          <w:sz w:val="23"/>
          <w:szCs w:val="23"/>
          <w:lang w:val="en-US"/>
        </w:rPr>
        <w:t>, Rome (Italy). Peripheral blood from all species was stored at room temperature before treatment.</w:t>
      </w:r>
      <w:r w:rsidRPr="00486BD3">
        <w:rPr>
          <w:rFonts w:ascii="Times New Roman" w:hAnsi="Times New Roman"/>
        </w:rPr>
        <w:t xml:space="preserve"> MBH1309/OBT076 (clone 16A5) was conjugated to </w:t>
      </w:r>
      <w:proofErr w:type="spellStart"/>
      <w:r w:rsidRPr="00486BD3">
        <w:rPr>
          <w:rFonts w:ascii="Times New Roman" w:hAnsi="Times New Roman"/>
        </w:rPr>
        <w:t>Phycoerithrin</w:t>
      </w:r>
      <w:proofErr w:type="spellEnd"/>
      <w:r w:rsidRPr="00486BD3">
        <w:rPr>
          <w:rFonts w:ascii="Times New Roman" w:hAnsi="Times New Roman"/>
        </w:rPr>
        <w:t xml:space="preserve"> (PE) </w:t>
      </w:r>
      <w:r w:rsidR="00D611D2" w:rsidRPr="00486BD3">
        <w:rPr>
          <w:rFonts w:ascii="Times New Roman" w:hAnsi="Times New Roman"/>
        </w:rPr>
        <w:t>at</w:t>
      </w:r>
      <w:r w:rsidRPr="00486BD3">
        <w:rPr>
          <w:rFonts w:ascii="Times New Roman" w:hAnsi="Times New Roman"/>
        </w:rPr>
        <w:t xml:space="preserve"> </w:t>
      </w:r>
      <w:proofErr w:type="spellStart"/>
      <w:r w:rsidRPr="00486BD3">
        <w:rPr>
          <w:rFonts w:ascii="Times New Roman" w:hAnsi="Times New Roman"/>
        </w:rPr>
        <w:t>Biolegend</w:t>
      </w:r>
      <w:proofErr w:type="spellEnd"/>
      <w:r w:rsidRPr="00486BD3">
        <w:rPr>
          <w:rFonts w:ascii="Times New Roman" w:hAnsi="Times New Roman"/>
        </w:rPr>
        <w:t>, San Diego, CA. On the day of blood collection, blood samples were withdrawn and collected into tubes containing EDTA as anticoagulant.</w:t>
      </w:r>
      <w:r w:rsidR="00992BA6" w:rsidRPr="00486BD3">
        <w:rPr>
          <w:rFonts w:ascii="Times New Roman" w:hAnsi="Times New Roman"/>
        </w:rPr>
        <w:t xml:space="preserve"> The antigen-binding activity of MBH1309/OBT076 on blood was analyzed by preparing a </w:t>
      </w:r>
      <w:r w:rsidR="00D611D2" w:rsidRPr="00486BD3">
        <w:rPr>
          <w:rFonts w:ascii="Times New Roman" w:hAnsi="Times New Roman"/>
        </w:rPr>
        <w:t>concentration</w:t>
      </w:r>
      <w:r w:rsidR="00992BA6" w:rsidRPr="00486BD3">
        <w:rPr>
          <w:rFonts w:ascii="Times New Roman" w:hAnsi="Times New Roman"/>
        </w:rPr>
        <w:t xml:space="preserve">-response curve with the PE-conjugated antibody in order to assess the saturating concentration on </w:t>
      </w:r>
      <w:proofErr w:type="spellStart"/>
      <w:r w:rsidR="00992BA6" w:rsidRPr="00486BD3">
        <w:rPr>
          <w:rFonts w:ascii="Times New Roman" w:hAnsi="Times New Roman"/>
        </w:rPr>
        <w:t>monocytic</w:t>
      </w:r>
      <w:proofErr w:type="spellEnd"/>
      <w:r w:rsidR="00992BA6" w:rsidRPr="00486BD3">
        <w:rPr>
          <w:rFonts w:ascii="Times New Roman" w:hAnsi="Times New Roman"/>
        </w:rPr>
        <w:t xml:space="preserve">/DC, granulocytic and lymphocytic lineages. Briefly, 50 </w:t>
      </w:r>
      <w:r w:rsidR="00D611D2" w:rsidRPr="00486BD3">
        <w:rPr>
          <w:rFonts w:ascii="Times New Roman" w:hAnsi="Times New Roman"/>
        </w:rPr>
        <w:t>µ</w:t>
      </w:r>
      <w:r w:rsidR="00992BA6" w:rsidRPr="00486BD3">
        <w:rPr>
          <w:rFonts w:ascii="Times New Roman" w:hAnsi="Times New Roman"/>
        </w:rPr>
        <w:t xml:space="preserve">l of mouse peripheral blood were transferred to flow </w:t>
      </w:r>
      <w:proofErr w:type="spellStart"/>
      <w:r w:rsidR="00992BA6" w:rsidRPr="00486BD3">
        <w:rPr>
          <w:rFonts w:ascii="Times New Roman" w:hAnsi="Times New Roman"/>
        </w:rPr>
        <w:t>cytometric</w:t>
      </w:r>
      <w:proofErr w:type="spellEnd"/>
      <w:r w:rsidR="00992BA6" w:rsidRPr="00486BD3">
        <w:rPr>
          <w:rFonts w:ascii="Times New Roman" w:hAnsi="Times New Roman"/>
        </w:rPr>
        <w:t xml:space="preserve"> tubes and incubated, depending on the species, with 5 </w:t>
      </w:r>
      <w:r w:rsidR="00D611D2" w:rsidRPr="00486BD3">
        <w:rPr>
          <w:rFonts w:ascii="Times New Roman" w:hAnsi="Times New Roman"/>
        </w:rPr>
        <w:t>µ</w:t>
      </w:r>
      <w:r w:rsidR="00992BA6" w:rsidRPr="00486BD3">
        <w:rPr>
          <w:rFonts w:ascii="Times New Roman" w:hAnsi="Times New Roman"/>
        </w:rPr>
        <w:t xml:space="preserve">l of specific antibodies. Whole blood was incubated for 30 min at +4°C. After this step, red cells were </w:t>
      </w:r>
      <w:proofErr w:type="spellStart"/>
      <w:r w:rsidR="00992BA6" w:rsidRPr="00486BD3">
        <w:rPr>
          <w:rFonts w:ascii="Times New Roman" w:hAnsi="Times New Roman"/>
        </w:rPr>
        <w:t>lysed</w:t>
      </w:r>
      <w:proofErr w:type="spellEnd"/>
      <w:r w:rsidR="00992BA6" w:rsidRPr="00486BD3">
        <w:rPr>
          <w:rFonts w:ascii="Times New Roman" w:hAnsi="Times New Roman"/>
        </w:rPr>
        <w:t xml:space="preserve"> with 2 ml BD </w:t>
      </w:r>
      <w:proofErr w:type="spellStart"/>
      <w:r w:rsidR="00992BA6" w:rsidRPr="00486BD3">
        <w:rPr>
          <w:rFonts w:ascii="Times New Roman" w:hAnsi="Times New Roman"/>
        </w:rPr>
        <w:t>lysing</w:t>
      </w:r>
      <w:proofErr w:type="spellEnd"/>
      <w:r w:rsidR="00992BA6" w:rsidRPr="00486BD3">
        <w:rPr>
          <w:rFonts w:ascii="Times New Roman" w:hAnsi="Times New Roman"/>
        </w:rPr>
        <w:t xml:space="preserve"> solution 1X, for 10 min at room temperature, and then washed three times with staining buffer (PBS</w:t>
      </w:r>
      <w:r w:rsidR="008A22EA" w:rsidRPr="00486BD3">
        <w:rPr>
          <w:rFonts w:ascii="Times New Roman" w:hAnsi="Times New Roman"/>
        </w:rPr>
        <w:t xml:space="preserve"> </w:t>
      </w:r>
      <w:r w:rsidR="00992BA6" w:rsidRPr="00486BD3">
        <w:rPr>
          <w:rFonts w:ascii="Times New Roman" w:hAnsi="Times New Roman"/>
        </w:rPr>
        <w:t>+</w:t>
      </w:r>
      <w:r w:rsidR="008A22EA" w:rsidRPr="00486BD3">
        <w:rPr>
          <w:rFonts w:ascii="Times New Roman" w:hAnsi="Times New Roman"/>
        </w:rPr>
        <w:t xml:space="preserve"> </w:t>
      </w:r>
      <w:r w:rsidR="00992BA6" w:rsidRPr="00486BD3">
        <w:rPr>
          <w:rFonts w:ascii="Times New Roman" w:hAnsi="Times New Roman"/>
        </w:rPr>
        <w:t>0.5%</w:t>
      </w:r>
      <w:r w:rsidR="008A22EA" w:rsidRPr="00486BD3">
        <w:rPr>
          <w:rFonts w:ascii="Times New Roman" w:hAnsi="Times New Roman"/>
        </w:rPr>
        <w:t xml:space="preserve"> </w:t>
      </w:r>
      <w:r w:rsidR="00992BA6" w:rsidRPr="00486BD3">
        <w:rPr>
          <w:rFonts w:ascii="Times New Roman" w:hAnsi="Times New Roman"/>
        </w:rPr>
        <w:t xml:space="preserve">BSA). Samples were </w:t>
      </w:r>
      <w:proofErr w:type="spellStart"/>
      <w:r w:rsidR="00992BA6" w:rsidRPr="00486BD3">
        <w:rPr>
          <w:rFonts w:ascii="Times New Roman" w:hAnsi="Times New Roman"/>
        </w:rPr>
        <w:t>resuspended</w:t>
      </w:r>
      <w:proofErr w:type="spellEnd"/>
      <w:r w:rsidR="00992BA6" w:rsidRPr="00486BD3">
        <w:rPr>
          <w:rFonts w:ascii="Times New Roman" w:hAnsi="Times New Roman"/>
        </w:rPr>
        <w:t xml:space="preserve"> in 500 </w:t>
      </w:r>
      <w:r w:rsidR="00D611D2" w:rsidRPr="00486BD3">
        <w:rPr>
          <w:rFonts w:ascii="Times New Roman" w:hAnsi="Times New Roman"/>
        </w:rPr>
        <w:t>µ</w:t>
      </w:r>
      <w:r w:rsidR="00992BA6" w:rsidRPr="00486BD3">
        <w:rPr>
          <w:rFonts w:ascii="Times New Roman" w:hAnsi="Times New Roman"/>
        </w:rPr>
        <w:t xml:space="preserve">l staining buffer and acquired on a BD </w:t>
      </w:r>
      <w:proofErr w:type="spellStart"/>
      <w:r w:rsidR="00992BA6" w:rsidRPr="00486BD3">
        <w:rPr>
          <w:rFonts w:ascii="Times New Roman" w:hAnsi="Times New Roman"/>
        </w:rPr>
        <w:t>FACSCanto</w:t>
      </w:r>
      <w:proofErr w:type="spellEnd"/>
      <w:r w:rsidR="00992BA6" w:rsidRPr="00486BD3">
        <w:rPr>
          <w:rFonts w:ascii="Times New Roman" w:hAnsi="Times New Roman"/>
        </w:rPr>
        <w:t xml:space="preserve"> II (BD Biosciences). Data were analyzed using </w:t>
      </w:r>
      <w:proofErr w:type="spellStart"/>
      <w:r w:rsidR="00992BA6" w:rsidRPr="00486BD3">
        <w:rPr>
          <w:rFonts w:ascii="Times New Roman" w:hAnsi="Times New Roman"/>
        </w:rPr>
        <w:t>FACSDiva</w:t>
      </w:r>
      <w:proofErr w:type="spellEnd"/>
      <w:r w:rsidR="00992BA6" w:rsidRPr="00486BD3">
        <w:rPr>
          <w:rFonts w:ascii="Times New Roman" w:hAnsi="Times New Roman"/>
        </w:rPr>
        <w:t xml:space="preserve"> software (BD Biosciences).</w:t>
      </w:r>
    </w:p>
    <w:p w:rsidR="00D9656D" w:rsidRDefault="00D9656D" w:rsidP="000D16C0">
      <w:pPr>
        <w:tabs>
          <w:tab w:val="num" w:pos="0"/>
        </w:tabs>
        <w:spacing w:before="120" w:after="120" w:line="360" w:lineRule="auto"/>
        <w:jc w:val="both"/>
        <w:rPr>
          <w:rFonts w:ascii="Times New Roman" w:hAnsi="Times New Roman"/>
        </w:rPr>
      </w:pPr>
    </w:p>
    <w:p w:rsidR="00D9656D" w:rsidRPr="00AC056D" w:rsidRDefault="00D9656D" w:rsidP="000D16C0">
      <w:pPr>
        <w:tabs>
          <w:tab w:val="num" w:pos="0"/>
        </w:tabs>
        <w:spacing w:before="120" w:after="120" w:line="360" w:lineRule="auto"/>
        <w:jc w:val="both"/>
        <w:rPr>
          <w:rFonts w:ascii="Times New Roman" w:hAnsi="Times New Roman"/>
          <w:b/>
        </w:rPr>
      </w:pPr>
      <w:r w:rsidRPr="00AC056D">
        <w:rPr>
          <w:rFonts w:ascii="Times New Roman" w:hAnsi="Times New Roman"/>
          <w:b/>
        </w:rPr>
        <w:t>SUPPLEMENTARY REFERENCES</w:t>
      </w:r>
    </w:p>
    <w:p w:rsidR="00D9656D" w:rsidRDefault="00D9656D" w:rsidP="00D9656D">
      <w:pPr>
        <w:spacing w:before="120" w:after="120" w:line="360" w:lineRule="auto"/>
        <w:jc w:val="both"/>
        <w:rPr>
          <w:rFonts w:ascii="Times New Roman" w:hAnsi="Times New Roman"/>
          <w:sz w:val="24"/>
          <w:szCs w:val="24"/>
        </w:rPr>
      </w:pPr>
      <w:r w:rsidRPr="00AC056D">
        <w:rPr>
          <w:rFonts w:ascii="Times New Roman" w:hAnsi="Times New Roman"/>
          <w:sz w:val="24"/>
          <w:szCs w:val="24"/>
        </w:rPr>
        <w:t xml:space="preserve">1. </w:t>
      </w:r>
      <w:proofErr w:type="spellStart"/>
      <w:r w:rsidRPr="00AC056D">
        <w:rPr>
          <w:rFonts w:ascii="Times New Roman" w:hAnsi="Times New Roman"/>
          <w:sz w:val="24"/>
          <w:szCs w:val="24"/>
        </w:rPr>
        <w:t>Ishihama</w:t>
      </w:r>
      <w:proofErr w:type="spellEnd"/>
      <w:r w:rsidRPr="00AC056D">
        <w:rPr>
          <w:rFonts w:ascii="Times New Roman" w:hAnsi="Times New Roman"/>
          <w:sz w:val="24"/>
          <w:szCs w:val="24"/>
        </w:rPr>
        <w:t xml:space="preserve"> Y, </w:t>
      </w:r>
      <w:proofErr w:type="spellStart"/>
      <w:r w:rsidRPr="00AC056D">
        <w:rPr>
          <w:rFonts w:ascii="Times New Roman" w:hAnsi="Times New Roman"/>
          <w:sz w:val="24"/>
          <w:szCs w:val="24"/>
        </w:rPr>
        <w:t>Oda</w:t>
      </w:r>
      <w:proofErr w:type="spellEnd"/>
      <w:r w:rsidRPr="00AC056D">
        <w:rPr>
          <w:rFonts w:ascii="Times New Roman" w:hAnsi="Times New Roman"/>
          <w:sz w:val="24"/>
          <w:szCs w:val="24"/>
        </w:rPr>
        <w:t xml:space="preserve"> Y, </w:t>
      </w:r>
      <w:proofErr w:type="spellStart"/>
      <w:r w:rsidRPr="00AC056D">
        <w:rPr>
          <w:rFonts w:ascii="Times New Roman" w:hAnsi="Times New Roman"/>
          <w:sz w:val="24"/>
          <w:szCs w:val="24"/>
        </w:rPr>
        <w:t>Tabata</w:t>
      </w:r>
      <w:proofErr w:type="spellEnd"/>
      <w:r w:rsidRPr="00AC056D">
        <w:rPr>
          <w:rFonts w:ascii="Times New Roman" w:hAnsi="Times New Roman"/>
          <w:sz w:val="24"/>
          <w:szCs w:val="24"/>
        </w:rPr>
        <w:t xml:space="preserve"> T, Sato T, </w:t>
      </w:r>
      <w:proofErr w:type="spellStart"/>
      <w:r w:rsidRPr="00AC056D">
        <w:rPr>
          <w:rFonts w:ascii="Times New Roman" w:hAnsi="Times New Roman"/>
          <w:sz w:val="24"/>
          <w:szCs w:val="24"/>
        </w:rPr>
        <w:t>Nagasu</w:t>
      </w:r>
      <w:proofErr w:type="spellEnd"/>
      <w:r w:rsidRPr="00AC056D">
        <w:rPr>
          <w:rFonts w:ascii="Times New Roman" w:hAnsi="Times New Roman"/>
          <w:sz w:val="24"/>
          <w:szCs w:val="24"/>
        </w:rPr>
        <w:t xml:space="preserve"> T, </w:t>
      </w:r>
      <w:proofErr w:type="spellStart"/>
      <w:r w:rsidRPr="00AC056D">
        <w:rPr>
          <w:rFonts w:ascii="Times New Roman" w:hAnsi="Times New Roman"/>
          <w:sz w:val="24"/>
          <w:szCs w:val="24"/>
        </w:rPr>
        <w:t>Rappsilber</w:t>
      </w:r>
      <w:proofErr w:type="spellEnd"/>
      <w:r w:rsidRPr="00AC056D">
        <w:rPr>
          <w:rFonts w:ascii="Times New Roman" w:hAnsi="Times New Roman"/>
          <w:sz w:val="24"/>
          <w:szCs w:val="24"/>
        </w:rPr>
        <w:t xml:space="preserve"> J, et al. Exponentially modified protein abundance index (</w:t>
      </w:r>
      <w:proofErr w:type="spellStart"/>
      <w:r w:rsidRPr="00AC056D">
        <w:rPr>
          <w:rFonts w:ascii="Times New Roman" w:hAnsi="Times New Roman"/>
          <w:sz w:val="24"/>
          <w:szCs w:val="24"/>
        </w:rPr>
        <w:t>emPAI</w:t>
      </w:r>
      <w:proofErr w:type="spellEnd"/>
      <w:r w:rsidRPr="00AC056D">
        <w:rPr>
          <w:rFonts w:ascii="Times New Roman" w:hAnsi="Times New Roman"/>
          <w:sz w:val="24"/>
          <w:szCs w:val="24"/>
        </w:rPr>
        <w:t>) for estimation of absolute protein amount in proteomics by the number of sequenced peptides per protein. Mol Cell Proteomics 2005; 4:1265-72.</w:t>
      </w:r>
    </w:p>
    <w:p w:rsidR="00992BA6" w:rsidRDefault="00992BA6" w:rsidP="000D16C0">
      <w:pPr>
        <w:tabs>
          <w:tab w:val="num" w:pos="0"/>
        </w:tabs>
        <w:spacing w:before="120" w:after="120" w:line="360" w:lineRule="auto"/>
        <w:jc w:val="both"/>
        <w:rPr>
          <w:rFonts w:ascii="Times New Roman" w:hAnsi="Times New Roman"/>
        </w:rPr>
      </w:pPr>
    </w:p>
    <w:p w:rsidR="00992BA6" w:rsidRDefault="00992BA6" w:rsidP="000D16C0">
      <w:pPr>
        <w:tabs>
          <w:tab w:val="num" w:pos="0"/>
        </w:tabs>
        <w:spacing w:before="120" w:after="120" w:line="360" w:lineRule="auto"/>
        <w:jc w:val="both"/>
        <w:rPr>
          <w:rFonts w:ascii="Times New Roman" w:hAnsi="Times New Roman"/>
        </w:rPr>
      </w:pPr>
    </w:p>
    <w:p w:rsidR="00992BA6" w:rsidRDefault="00992BA6" w:rsidP="000D16C0">
      <w:pPr>
        <w:tabs>
          <w:tab w:val="num" w:pos="0"/>
        </w:tabs>
        <w:spacing w:before="120" w:after="120" w:line="360" w:lineRule="auto"/>
        <w:jc w:val="both"/>
        <w:rPr>
          <w:rFonts w:ascii="Times New Roman" w:hAnsi="Times New Roman"/>
        </w:rPr>
      </w:pPr>
    </w:p>
    <w:p w:rsidR="00FE6123" w:rsidRPr="00D6032A" w:rsidRDefault="00FE6123" w:rsidP="00245EFD">
      <w:pPr>
        <w:tabs>
          <w:tab w:val="left" w:pos="1280"/>
        </w:tabs>
        <w:spacing w:before="120" w:after="120" w:line="360" w:lineRule="auto"/>
        <w:jc w:val="both"/>
        <w:rPr>
          <w:rFonts w:ascii="Times New Roman" w:hAnsi="Times New Roman"/>
          <w:sz w:val="24"/>
          <w:szCs w:val="24"/>
          <w:lang w:val="en-US"/>
        </w:rPr>
      </w:pPr>
    </w:p>
    <w:sectPr w:rsidR="00FE6123" w:rsidRPr="00D6032A" w:rsidSect="00256016">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4E8" w:rsidRDefault="00A124E8" w:rsidP="00DC6908">
      <w:pPr>
        <w:spacing w:after="0" w:line="240" w:lineRule="auto"/>
      </w:pPr>
      <w:r>
        <w:separator/>
      </w:r>
    </w:p>
  </w:endnote>
  <w:endnote w:type="continuationSeparator" w:id="0">
    <w:p w:rsidR="00A124E8" w:rsidRDefault="00A124E8" w:rsidP="00DC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52419"/>
      <w:docPartObj>
        <w:docPartGallery w:val="Page Numbers (Bottom of Page)"/>
        <w:docPartUnique/>
      </w:docPartObj>
    </w:sdtPr>
    <w:sdtContent>
      <w:p w:rsidR="00530816" w:rsidRDefault="0041055A">
        <w:pPr>
          <w:pStyle w:val="Pidipagina"/>
          <w:jc w:val="center"/>
        </w:pPr>
        <w:fldSimple w:instr=" PAGE   \* MERGEFORMAT ">
          <w:r w:rsidR="00F23284">
            <w:rPr>
              <w:noProof/>
            </w:rPr>
            <w:t>6</w:t>
          </w:r>
        </w:fldSimple>
      </w:p>
    </w:sdtContent>
  </w:sdt>
  <w:p w:rsidR="00530816" w:rsidRDefault="0053081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4E8" w:rsidRDefault="00A124E8" w:rsidP="00DC6908">
      <w:pPr>
        <w:spacing w:after="0" w:line="240" w:lineRule="auto"/>
      </w:pPr>
      <w:r>
        <w:separator/>
      </w:r>
    </w:p>
  </w:footnote>
  <w:footnote w:type="continuationSeparator" w:id="0">
    <w:p w:rsidR="00A124E8" w:rsidRDefault="00A124E8" w:rsidP="00DC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16" w:rsidRDefault="00530816" w:rsidP="00BA2924">
    <w:pPr>
      <w:pStyle w:val="Intestazione"/>
      <w:jc w:val="center"/>
      <w:rPr>
        <w:lang w:val="it-IT"/>
      </w:rPr>
    </w:pPr>
  </w:p>
  <w:p w:rsidR="00F23284" w:rsidRPr="00F23284" w:rsidRDefault="00F23284" w:rsidP="00BA2924">
    <w:pPr>
      <w:pStyle w:val="Intestazione"/>
      <w:jc w:val="cent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4195"/>
    <w:multiLevelType w:val="hybridMultilevel"/>
    <w:tmpl w:val="472E3188"/>
    <w:lvl w:ilvl="0" w:tplc="C6ECE74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F921DC"/>
    <w:multiLevelType w:val="hybridMultilevel"/>
    <w:tmpl w:val="0DBE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86088"/>
    <w:multiLevelType w:val="hybridMultilevel"/>
    <w:tmpl w:val="2830FFDA"/>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64187"/>
    <w:multiLevelType w:val="hybridMultilevel"/>
    <w:tmpl w:val="58201A72"/>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C0611"/>
    <w:multiLevelType w:val="hybridMultilevel"/>
    <w:tmpl w:val="DBAC0C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283"/>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1A2143"/>
    <w:rsid w:val="00002828"/>
    <w:rsid w:val="00002DF5"/>
    <w:rsid w:val="00003999"/>
    <w:rsid w:val="00003E98"/>
    <w:rsid w:val="0000538E"/>
    <w:rsid w:val="00006FBD"/>
    <w:rsid w:val="00020CF1"/>
    <w:rsid w:val="00033805"/>
    <w:rsid w:val="0003748C"/>
    <w:rsid w:val="000404CE"/>
    <w:rsid w:val="00040ECF"/>
    <w:rsid w:val="00041C7E"/>
    <w:rsid w:val="000443A4"/>
    <w:rsid w:val="0004495F"/>
    <w:rsid w:val="00044F7D"/>
    <w:rsid w:val="00046F86"/>
    <w:rsid w:val="00051034"/>
    <w:rsid w:val="00053556"/>
    <w:rsid w:val="00055604"/>
    <w:rsid w:val="000602D2"/>
    <w:rsid w:val="0006119A"/>
    <w:rsid w:val="00063D27"/>
    <w:rsid w:val="000646BE"/>
    <w:rsid w:val="000659EF"/>
    <w:rsid w:val="000678FE"/>
    <w:rsid w:val="000705D9"/>
    <w:rsid w:val="00070B26"/>
    <w:rsid w:val="00073AF1"/>
    <w:rsid w:val="0007447B"/>
    <w:rsid w:val="000845D4"/>
    <w:rsid w:val="00085CBF"/>
    <w:rsid w:val="000863C0"/>
    <w:rsid w:val="00090738"/>
    <w:rsid w:val="00093F19"/>
    <w:rsid w:val="0009533C"/>
    <w:rsid w:val="000955B7"/>
    <w:rsid w:val="00095AA6"/>
    <w:rsid w:val="000A53B8"/>
    <w:rsid w:val="000A7103"/>
    <w:rsid w:val="000B1A38"/>
    <w:rsid w:val="000B3A4B"/>
    <w:rsid w:val="000B3EF3"/>
    <w:rsid w:val="000B4570"/>
    <w:rsid w:val="000B5C76"/>
    <w:rsid w:val="000C1FAC"/>
    <w:rsid w:val="000C5F4A"/>
    <w:rsid w:val="000C6528"/>
    <w:rsid w:val="000C78DC"/>
    <w:rsid w:val="000D0200"/>
    <w:rsid w:val="000D03F7"/>
    <w:rsid w:val="000D1655"/>
    <w:rsid w:val="000D16C0"/>
    <w:rsid w:val="000E2CB6"/>
    <w:rsid w:val="000E59AE"/>
    <w:rsid w:val="000F23C6"/>
    <w:rsid w:val="000F616D"/>
    <w:rsid w:val="00102BAC"/>
    <w:rsid w:val="00104896"/>
    <w:rsid w:val="001069FF"/>
    <w:rsid w:val="0011117F"/>
    <w:rsid w:val="0011198C"/>
    <w:rsid w:val="00112CF5"/>
    <w:rsid w:val="0011393C"/>
    <w:rsid w:val="00120FAB"/>
    <w:rsid w:val="00121DF6"/>
    <w:rsid w:val="00135477"/>
    <w:rsid w:val="001358DA"/>
    <w:rsid w:val="0013712D"/>
    <w:rsid w:val="001376CB"/>
    <w:rsid w:val="001474E4"/>
    <w:rsid w:val="00147D7E"/>
    <w:rsid w:val="00150C07"/>
    <w:rsid w:val="001515BA"/>
    <w:rsid w:val="00151A26"/>
    <w:rsid w:val="001527E1"/>
    <w:rsid w:val="00152C46"/>
    <w:rsid w:val="00152CD3"/>
    <w:rsid w:val="00155218"/>
    <w:rsid w:val="001562A2"/>
    <w:rsid w:val="00161FDF"/>
    <w:rsid w:val="00167002"/>
    <w:rsid w:val="0017063C"/>
    <w:rsid w:val="001753C4"/>
    <w:rsid w:val="0017569F"/>
    <w:rsid w:val="00180A31"/>
    <w:rsid w:val="00181340"/>
    <w:rsid w:val="001828E9"/>
    <w:rsid w:val="00184911"/>
    <w:rsid w:val="001900A1"/>
    <w:rsid w:val="001946C5"/>
    <w:rsid w:val="00195697"/>
    <w:rsid w:val="00196084"/>
    <w:rsid w:val="001A16AC"/>
    <w:rsid w:val="001A2143"/>
    <w:rsid w:val="001A4C66"/>
    <w:rsid w:val="001A5830"/>
    <w:rsid w:val="001A5E35"/>
    <w:rsid w:val="001B2DFD"/>
    <w:rsid w:val="001B5A71"/>
    <w:rsid w:val="001B716D"/>
    <w:rsid w:val="001B7B0D"/>
    <w:rsid w:val="001B7C3C"/>
    <w:rsid w:val="001C0C71"/>
    <w:rsid w:val="001C11DA"/>
    <w:rsid w:val="001C24B2"/>
    <w:rsid w:val="001C2645"/>
    <w:rsid w:val="001C3EA8"/>
    <w:rsid w:val="001C7327"/>
    <w:rsid w:val="001D24B5"/>
    <w:rsid w:val="001D5224"/>
    <w:rsid w:val="001D6162"/>
    <w:rsid w:val="001D69A2"/>
    <w:rsid w:val="001D6C49"/>
    <w:rsid w:val="001E182F"/>
    <w:rsid w:val="001E31B3"/>
    <w:rsid w:val="001E3482"/>
    <w:rsid w:val="001E4CE9"/>
    <w:rsid w:val="001E5AD1"/>
    <w:rsid w:val="001E6034"/>
    <w:rsid w:val="001E7711"/>
    <w:rsid w:val="001E7C6E"/>
    <w:rsid w:val="001F313A"/>
    <w:rsid w:val="001F6A10"/>
    <w:rsid w:val="0020028C"/>
    <w:rsid w:val="00202C4F"/>
    <w:rsid w:val="00203CF5"/>
    <w:rsid w:val="00205670"/>
    <w:rsid w:val="00206106"/>
    <w:rsid w:val="002176FB"/>
    <w:rsid w:val="002205DF"/>
    <w:rsid w:val="00220819"/>
    <w:rsid w:val="00221DBA"/>
    <w:rsid w:val="0022330D"/>
    <w:rsid w:val="00226338"/>
    <w:rsid w:val="00231182"/>
    <w:rsid w:val="002311FA"/>
    <w:rsid w:val="002375C9"/>
    <w:rsid w:val="00242913"/>
    <w:rsid w:val="0024499D"/>
    <w:rsid w:val="00245EFD"/>
    <w:rsid w:val="00246DBE"/>
    <w:rsid w:val="00247F12"/>
    <w:rsid w:val="0025372E"/>
    <w:rsid w:val="00256016"/>
    <w:rsid w:val="00256CEB"/>
    <w:rsid w:val="002616C0"/>
    <w:rsid w:val="00264B1B"/>
    <w:rsid w:val="002703FD"/>
    <w:rsid w:val="00270BDD"/>
    <w:rsid w:val="00271E94"/>
    <w:rsid w:val="00273AEB"/>
    <w:rsid w:val="00273F28"/>
    <w:rsid w:val="002746D4"/>
    <w:rsid w:val="00274EF1"/>
    <w:rsid w:val="00275B83"/>
    <w:rsid w:val="00276826"/>
    <w:rsid w:val="00280054"/>
    <w:rsid w:val="0028178C"/>
    <w:rsid w:val="0028360A"/>
    <w:rsid w:val="00285110"/>
    <w:rsid w:val="00286504"/>
    <w:rsid w:val="00297BCD"/>
    <w:rsid w:val="002A3789"/>
    <w:rsid w:val="002A3CDC"/>
    <w:rsid w:val="002A3D4C"/>
    <w:rsid w:val="002B0291"/>
    <w:rsid w:val="002B0791"/>
    <w:rsid w:val="002B33E9"/>
    <w:rsid w:val="002B68DE"/>
    <w:rsid w:val="002B7AB8"/>
    <w:rsid w:val="002C010C"/>
    <w:rsid w:val="002C4A4D"/>
    <w:rsid w:val="002C6A1E"/>
    <w:rsid w:val="002D2B4F"/>
    <w:rsid w:val="002D5858"/>
    <w:rsid w:val="002D5C15"/>
    <w:rsid w:val="002D73B4"/>
    <w:rsid w:val="002D7718"/>
    <w:rsid w:val="002E648D"/>
    <w:rsid w:val="002F02BE"/>
    <w:rsid w:val="002F08D6"/>
    <w:rsid w:val="002F219F"/>
    <w:rsid w:val="00302B5A"/>
    <w:rsid w:val="003040DD"/>
    <w:rsid w:val="003111F9"/>
    <w:rsid w:val="00312333"/>
    <w:rsid w:val="00312997"/>
    <w:rsid w:val="00312D5C"/>
    <w:rsid w:val="00313ACF"/>
    <w:rsid w:val="0031501D"/>
    <w:rsid w:val="00315B3C"/>
    <w:rsid w:val="00316162"/>
    <w:rsid w:val="0031670A"/>
    <w:rsid w:val="00325720"/>
    <w:rsid w:val="003257A8"/>
    <w:rsid w:val="00327224"/>
    <w:rsid w:val="00332759"/>
    <w:rsid w:val="0033437C"/>
    <w:rsid w:val="00340015"/>
    <w:rsid w:val="003427D8"/>
    <w:rsid w:val="00343391"/>
    <w:rsid w:val="00343A81"/>
    <w:rsid w:val="00344B45"/>
    <w:rsid w:val="003450A7"/>
    <w:rsid w:val="00345B3F"/>
    <w:rsid w:val="00346494"/>
    <w:rsid w:val="0034719F"/>
    <w:rsid w:val="00351D1D"/>
    <w:rsid w:val="0036142B"/>
    <w:rsid w:val="003659B4"/>
    <w:rsid w:val="00365D37"/>
    <w:rsid w:val="00367347"/>
    <w:rsid w:val="00371B3E"/>
    <w:rsid w:val="00372C70"/>
    <w:rsid w:val="00377288"/>
    <w:rsid w:val="0037747B"/>
    <w:rsid w:val="00377750"/>
    <w:rsid w:val="00383DF3"/>
    <w:rsid w:val="003A0B4D"/>
    <w:rsid w:val="003A0F85"/>
    <w:rsid w:val="003A3DF6"/>
    <w:rsid w:val="003A4F55"/>
    <w:rsid w:val="003A517A"/>
    <w:rsid w:val="003A7088"/>
    <w:rsid w:val="003A7840"/>
    <w:rsid w:val="003B1CB8"/>
    <w:rsid w:val="003B664A"/>
    <w:rsid w:val="003C4746"/>
    <w:rsid w:val="003C71D6"/>
    <w:rsid w:val="003D3640"/>
    <w:rsid w:val="003D67A2"/>
    <w:rsid w:val="003E16D1"/>
    <w:rsid w:val="003E3AD7"/>
    <w:rsid w:val="003E78BD"/>
    <w:rsid w:val="003F048B"/>
    <w:rsid w:val="003F2E81"/>
    <w:rsid w:val="003F3217"/>
    <w:rsid w:val="003F4C4E"/>
    <w:rsid w:val="003F62E5"/>
    <w:rsid w:val="003F64FA"/>
    <w:rsid w:val="003F6963"/>
    <w:rsid w:val="00401008"/>
    <w:rsid w:val="00402F22"/>
    <w:rsid w:val="004033EE"/>
    <w:rsid w:val="0040674E"/>
    <w:rsid w:val="0041055A"/>
    <w:rsid w:val="00411820"/>
    <w:rsid w:val="004151FD"/>
    <w:rsid w:val="00420F34"/>
    <w:rsid w:val="00422422"/>
    <w:rsid w:val="00423718"/>
    <w:rsid w:val="004264FC"/>
    <w:rsid w:val="00430F50"/>
    <w:rsid w:val="004325B7"/>
    <w:rsid w:val="00433CF6"/>
    <w:rsid w:val="00434080"/>
    <w:rsid w:val="004359BB"/>
    <w:rsid w:val="004402C2"/>
    <w:rsid w:val="0044239C"/>
    <w:rsid w:val="004443AF"/>
    <w:rsid w:val="00445BCC"/>
    <w:rsid w:val="00450C9B"/>
    <w:rsid w:val="0045452D"/>
    <w:rsid w:val="0046407D"/>
    <w:rsid w:val="00465A4E"/>
    <w:rsid w:val="00467D02"/>
    <w:rsid w:val="00472F56"/>
    <w:rsid w:val="004751BE"/>
    <w:rsid w:val="0047746F"/>
    <w:rsid w:val="004800BC"/>
    <w:rsid w:val="00483B4D"/>
    <w:rsid w:val="00486BD3"/>
    <w:rsid w:val="004906B8"/>
    <w:rsid w:val="0049203E"/>
    <w:rsid w:val="004A085D"/>
    <w:rsid w:val="004A669B"/>
    <w:rsid w:val="004B064C"/>
    <w:rsid w:val="004C126F"/>
    <w:rsid w:val="004C611F"/>
    <w:rsid w:val="004D3080"/>
    <w:rsid w:val="004D60FE"/>
    <w:rsid w:val="004D73DC"/>
    <w:rsid w:val="004E0C59"/>
    <w:rsid w:val="004E4586"/>
    <w:rsid w:val="004E66D9"/>
    <w:rsid w:val="004F0B2C"/>
    <w:rsid w:val="004F6ECE"/>
    <w:rsid w:val="004F7031"/>
    <w:rsid w:val="005017E9"/>
    <w:rsid w:val="005045E3"/>
    <w:rsid w:val="005054FE"/>
    <w:rsid w:val="005063AC"/>
    <w:rsid w:val="005148DB"/>
    <w:rsid w:val="00516E2E"/>
    <w:rsid w:val="005171E2"/>
    <w:rsid w:val="005202A9"/>
    <w:rsid w:val="00522094"/>
    <w:rsid w:val="005227D9"/>
    <w:rsid w:val="00523C75"/>
    <w:rsid w:val="00525066"/>
    <w:rsid w:val="0052508C"/>
    <w:rsid w:val="0052602D"/>
    <w:rsid w:val="00526DDC"/>
    <w:rsid w:val="00527C2F"/>
    <w:rsid w:val="00530816"/>
    <w:rsid w:val="00531F4B"/>
    <w:rsid w:val="005408C5"/>
    <w:rsid w:val="00540DBF"/>
    <w:rsid w:val="00543469"/>
    <w:rsid w:val="00550C64"/>
    <w:rsid w:val="00554344"/>
    <w:rsid w:val="00554AAA"/>
    <w:rsid w:val="00555B88"/>
    <w:rsid w:val="00556D7D"/>
    <w:rsid w:val="00565C7D"/>
    <w:rsid w:val="00566BB1"/>
    <w:rsid w:val="00567419"/>
    <w:rsid w:val="005708D5"/>
    <w:rsid w:val="00571D35"/>
    <w:rsid w:val="005726F4"/>
    <w:rsid w:val="005775D0"/>
    <w:rsid w:val="00577C01"/>
    <w:rsid w:val="00581138"/>
    <w:rsid w:val="00581EBE"/>
    <w:rsid w:val="00583B0E"/>
    <w:rsid w:val="00587C4D"/>
    <w:rsid w:val="00593AD3"/>
    <w:rsid w:val="00594A05"/>
    <w:rsid w:val="005A110D"/>
    <w:rsid w:val="005B153E"/>
    <w:rsid w:val="005B1DE4"/>
    <w:rsid w:val="005B65FB"/>
    <w:rsid w:val="005C1B57"/>
    <w:rsid w:val="005C22F2"/>
    <w:rsid w:val="005C36EF"/>
    <w:rsid w:val="005C5C89"/>
    <w:rsid w:val="005D0AD6"/>
    <w:rsid w:val="005D1509"/>
    <w:rsid w:val="005D5E68"/>
    <w:rsid w:val="005D61FF"/>
    <w:rsid w:val="005D7042"/>
    <w:rsid w:val="005E1366"/>
    <w:rsid w:val="005E1EDA"/>
    <w:rsid w:val="005E2BCE"/>
    <w:rsid w:val="005E54BE"/>
    <w:rsid w:val="005F0E20"/>
    <w:rsid w:val="005F3520"/>
    <w:rsid w:val="005F49B4"/>
    <w:rsid w:val="005F4FD9"/>
    <w:rsid w:val="005F7A5F"/>
    <w:rsid w:val="00600B19"/>
    <w:rsid w:val="00604B83"/>
    <w:rsid w:val="00607BA9"/>
    <w:rsid w:val="00614A5C"/>
    <w:rsid w:val="00614F0A"/>
    <w:rsid w:val="00620556"/>
    <w:rsid w:val="006206DF"/>
    <w:rsid w:val="0062076E"/>
    <w:rsid w:val="00621E66"/>
    <w:rsid w:val="00622F58"/>
    <w:rsid w:val="00625396"/>
    <w:rsid w:val="006302F4"/>
    <w:rsid w:val="0064093E"/>
    <w:rsid w:val="006417C9"/>
    <w:rsid w:val="0064236D"/>
    <w:rsid w:val="0064278E"/>
    <w:rsid w:val="00643FE0"/>
    <w:rsid w:val="00646913"/>
    <w:rsid w:val="00650B28"/>
    <w:rsid w:val="0065396E"/>
    <w:rsid w:val="00662EB4"/>
    <w:rsid w:val="00664077"/>
    <w:rsid w:val="00664350"/>
    <w:rsid w:val="00666D9E"/>
    <w:rsid w:val="00667C01"/>
    <w:rsid w:val="00676B28"/>
    <w:rsid w:val="006847A6"/>
    <w:rsid w:val="00684987"/>
    <w:rsid w:val="0068512A"/>
    <w:rsid w:val="00687DCA"/>
    <w:rsid w:val="00693CB5"/>
    <w:rsid w:val="00697B73"/>
    <w:rsid w:val="006A01EB"/>
    <w:rsid w:val="006A481A"/>
    <w:rsid w:val="006A4ECF"/>
    <w:rsid w:val="006A62D2"/>
    <w:rsid w:val="006A7765"/>
    <w:rsid w:val="006B206D"/>
    <w:rsid w:val="006B234E"/>
    <w:rsid w:val="006B4DDB"/>
    <w:rsid w:val="006B62D9"/>
    <w:rsid w:val="006C3B7F"/>
    <w:rsid w:val="006C5C93"/>
    <w:rsid w:val="006D042E"/>
    <w:rsid w:val="006D2842"/>
    <w:rsid w:val="006D6306"/>
    <w:rsid w:val="006D733F"/>
    <w:rsid w:val="006E032F"/>
    <w:rsid w:val="006E41B9"/>
    <w:rsid w:val="006E4208"/>
    <w:rsid w:val="006E606C"/>
    <w:rsid w:val="006F5EFC"/>
    <w:rsid w:val="006F5F7F"/>
    <w:rsid w:val="006F6F47"/>
    <w:rsid w:val="00700C2C"/>
    <w:rsid w:val="00703658"/>
    <w:rsid w:val="00703982"/>
    <w:rsid w:val="00706EB0"/>
    <w:rsid w:val="00710CD6"/>
    <w:rsid w:val="00715768"/>
    <w:rsid w:val="007170A0"/>
    <w:rsid w:val="00722863"/>
    <w:rsid w:val="007239BD"/>
    <w:rsid w:val="00723F1D"/>
    <w:rsid w:val="00726A07"/>
    <w:rsid w:val="00735864"/>
    <w:rsid w:val="00740BA0"/>
    <w:rsid w:val="007415D6"/>
    <w:rsid w:val="00742684"/>
    <w:rsid w:val="00747CA7"/>
    <w:rsid w:val="00751068"/>
    <w:rsid w:val="00755EBA"/>
    <w:rsid w:val="00765190"/>
    <w:rsid w:val="00765A26"/>
    <w:rsid w:val="00773848"/>
    <w:rsid w:val="00774AD3"/>
    <w:rsid w:val="00775498"/>
    <w:rsid w:val="007765E3"/>
    <w:rsid w:val="00777C7E"/>
    <w:rsid w:val="0078509A"/>
    <w:rsid w:val="00786861"/>
    <w:rsid w:val="007935A2"/>
    <w:rsid w:val="007A0063"/>
    <w:rsid w:val="007A02BE"/>
    <w:rsid w:val="007A3452"/>
    <w:rsid w:val="007A3544"/>
    <w:rsid w:val="007A4A00"/>
    <w:rsid w:val="007A5CB8"/>
    <w:rsid w:val="007A7A0D"/>
    <w:rsid w:val="007B2AF8"/>
    <w:rsid w:val="007B4101"/>
    <w:rsid w:val="007B5C48"/>
    <w:rsid w:val="007C096E"/>
    <w:rsid w:val="007C0A65"/>
    <w:rsid w:val="007C27A9"/>
    <w:rsid w:val="007C5C17"/>
    <w:rsid w:val="007C6C53"/>
    <w:rsid w:val="007C7527"/>
    <w:rsid w:val="007D0DDA"/>
    <w:rsid w:val="007D1301"/>
    <w:rsid w:val="007D24D2"/>
    <w:rsid w:val="007D457B"/>
    <w:rsid w:val="007D66C8"/>
    <w:rsid w:val="007D6E97"/>
    <w:rsid w:val="007E0282"/>
    <w:rsid w:val="007E3280"/>
    <w:rsid w:val="007E4560"/>
    <w:rsid w:val="007F18AD"/>
    <w:rsid w:val="007F2204"/>
    <w:rsid w:val="007F3910"/>
    <w:rsid w:val="007F3D0C"/>
    <w:rsid w:val="00800D2B"/>
    <w:rsid w:val="0080120D"/>
    <w:rsid w:val="00803037"/>
    <w:rsid w:val="0080389E"/>
    <w:rsid w:val="0081023C"/>
    <w:rsid w:val="0081446E"/>
    <w:rsid w:val="00816998"/>
    <w:rsid w:val="00817817"/>
    <w:rsid w:val="008222DC"/>
    <w:rsid w:val="00823907"/>
    <w:rsid w:val="00824906"/>
    <w:rsid w:val="00830093"/>
    <w:rsid w:val="00831D9E"/>
    <w:rsid w:val="00834F27"/>
    <w:rsid w:val="008412E7"/>
    <w:rsid w:val="00844315"/>
    <w:rsid w:val="008447E1"/>
    <w:rsid w:val="0085288D"/>
    <w:rsid w:val="00852CAA"/>
    <w:rsid w:val="00853957"/>
    <w:rsid w:val="0085494C"/>
    <w:rsid w:val="0085577D"/>
    <w:rsid w:val="008559C7"/>
    <w:rsid w:val="008600AF"/>
    <w:rsid w:val="00860C7D"/>
    <w:rsid w:val="00866BB4"/>
    <w:rsid w:val="008721B3"/>
    <w:rsid w:val="00872343"/>
    <w:rsid w:val="0087252A"/>
    <w:rsid w:val="008758B8"/>
    <w:rsid w:val="0088096A"/>
    <w:rsid w:val="00883251"/>
    <w:rsid w:val="00891979"/>
    <w:rsid w:val="008932D2"/>
    <w:rsid w:val="0089335B"/>
    <w:rsid w:val="008A22EA"/>
    <w:rsid w:val="008A2386"/>
    <w:rsid w:val="008A399A"/>
    <w:rsid w:val="008A4DE2"/>
    <w:rsid w:val="008A5AA0"/>
    <w:rsid w:val="008A6053"/>
    <w:rsid w:val="008B4DA2"/>
    <w:rsid w:val="008B56F4"/>
    <w:rsid w:val="008B7D9E"/>
    <w:rsid w:val="008C1644"/>
    <w:rsid w:val="008C1ADE"/>
    <w:rsid w:val="008C73C4"/>
    <w:rsid w:val="008C7B35"/>
    <w:rsid w:val="008D076F"/>
    <w:rsid w:val="008D56D2"/>
    <w:rsid w:val="008E2E62"/>
    <w:rsid w:val="008E63EA"/>
    <w:rsid w:val="008F0932"/>
    <w:rsid w:val="008F13AC"/>
    <w:rsid w:val="008F2E60"/>
    <w:rsid w:val="008F438E"/>
    <w:rsid w:val="008F4673"/>
    <w:rsid w:val="008F4FE9"/>
    <w:rsid w:val="008F77CC"/>
    <w:rsid w:val="009010C8"/>
    <w:rsid w:val="009018E3"/>
    <w:rsid w:val="00901D07"/>
    <w:rsid w:val="00902B75"/>
    <w:rsid w:val="00904CCB"/>
    <w:rsid w:val="009122CF"/>
    <w:rsid w:val="009146D6"/>
    <w:rsid w:val="00915B69"/>
    <w:rsid w:val="00917A4B"/>
    <w:rsid w:val="00920501"/>
    <w:rsid w:val="00920975"/>
    <w:rsid w:val="00921E20"/>
    <w:rsid w:val="009250EF"/>
    <w:rsid w:val="009256BE"/>
    <w:rsid w:val="0093434F"/>
    <w:rsid w:val="0094076A"/>
    <w:rsid w:val="00942C88"/>
    <w:rsid w:val="00945910"/>
    <w:rsid w:val="00947DE9"/>
    <w:rsid w:val="00950B1B"/>
    <w:rsid w:val="00950F04"/>
    <w:rsid w:val="009522B9"/>
    <w:rsid w:val="00954FFB"/>
    <w:rsid w:val="00960E58"/>
    <w:rsid w:val="00963DD8"/>
    <w:rsid w:val="009643B1"/>
    <w:rsid w:val="00972629"/>
    <w:rsid w:val="00972B52"/>
    <w:rsid w:val="0097317F"/>
    <w:rsid w:val="00976B85"/>
    <w:rsid w:val="009777BC"/>
    <w:rsid w:val="00981916"/>
    <w:rsid w:val="00981B54"/>
    <w:rsid w:val="00981CA4"/>
    <w:rsid w:val="00983514"/>
    <w:rsid w:val="009856B1"/>
    <w:rsid w:val="009859F4"/>
    <w:rsid w:val="00990B65"/>
    <w:rsid w:val="00992BA6"/>
    <w:rsid w:val="00992C58"/>
    <w:rsid w:val="0099313D"/>
    <w:rsid w:val="009A0CFE"/>
    <w:rsid w:val="009B28FA"/>
    <w:rsid w:val="009B615E"/>
    <w:rsid w:val="009C16F4"/>
    <w:rsid w:val="009C38F2"/>
    <w:rsid w:val="009C7CF6"/>
    <w:rsid w:val="009C7E07"/>
    <w:rsid w:val="009E00C1"/>
    <w:rsid w:val="009E02F6"/>
    <w:rsid w:val="009E55A5"/>
    <w:rsid w:val="009E57DB"/>
    <w:rsid w:val="009E60BA"/>
    <w:rsid w:val="009E6A34"/>
    <w:rsid w:val="009E74C9"/>
    <w:rsid w:val="009F19F5"/>
    <w:rsid w:val="009F5A4A"/>
    <w:rsid w:val="009F6A7C"/>
    <w:rsid w:val="00A04ECF"/>
    <w:rsid w:val="00A07CB8"/>
    <w:rsid w:val="00A124E8"/>
    <w:rsid w:val="00A16B45"/>
    <w:rsid w:val="00A20A01"/>
    <w:rsid w:val="00A2110C"/>
    <w:rsid w:val="00A22C5E"/>
    <w:rsid w:val="00A261C4"/>
    <w:rsid w:val="00A32EBE"/>
    <w:rsid w:val="00A401D1"/>
    <w:rsid w:val="00A408A2"/>
    <w:rsid w:val="00A429B2"/>
    <w:rsid w:val="00A44E38"/>
    <w:rsid w:val="00A46706"/>
    <w:rsid w:val="00A52F5B"/>
    <w:rsid w:val="00A548A8"/>
    <w:rsid w:val="00A5571D"/>
    <w:rsid w:val="00A562A6"/>
    <w:rsid w:val="00A6124C"/>
    <w:rsid w:val="00A63200"/>
    <w:rsid w:val="00A80401"/>
    <w:rsid w:val="00A814F5"/>
    <w:rsid w:val="00A818EE"/>
    <w:rsid w:val="00A82372"/>
    <w:rsid w:val="00A85088"/>
    <w:rsid w:val="00A879BC"/>
    <w:rsid w:val="00A90E23"/>
    <w:rsid w:val="00A93222"/>
    <w:rsid w:val="00AA3A90"/>
    <w:rsid w:val="00AA4937"/>
    <w:rsid w:val="00AA50F3"/>
    <w:rsid w:val="00AA67FF"/>
    <w:rsid w:val="00AA7D7D"/>
    <w:rsid w:val="00AB2819"/>
    <w:rsid w:val="00AB6D00"/>
    <w:rsid w:val="00AC056D"/>
    <w:rsid w:val="00AC0984"/>
    <w:rsid w:val="00AC3649"/>
    <w:rsid w:val="00AD2080"/>
    <w:rsid w:val="00AD41F6"/>
    <w:rsid w:val="00AD4E30"/>
    <w:rsid w:val="00AD7468"/>
    <w:rsid w:val="00AE1269"/>
    <w:rsid w:val="00AE327D"/>
    <w:rsid w:val="00AE5D5B"/>
    <w:rsid w:val="00AE6D5B"/>
    <w:rsid w:val="00AF1801"/>
    <w:rsid w:val="00AF1CD7"/>
    <w:rsid w:val="00AF46F6"/>
    <w:rsid w:val="00AF4C4E"/>
    <w:rsid w:val="00B03108"/>
    <w:rsid w:val="00B07383"/>
    <w:rsid w:val="00B1128C"/>
    <w:rsid w:val="00B157D9"/>
    <w:rsid w:val="00B22E51"/>
    <w:rsid w:val="00B24950"/>
    <w:rsid w:val="00B25703"/>
    <w:rsid w:val="00B26014"/>
    <w:rsid w:val="00B41E07"/>
    <w:rsid w:val="00B42376"/>
    <w:rsid w:val="00B44412"/>
    <w:rsid w:val="00B4617C"/>
    <w:rsid w:val="00B472FB"/>
    <w:rsid w:val="00B47F57"/>
    <w:rsid w:val="00B51231"/>
    <w:rsid w:val="00B524B9"/>
    <w:rsid w:val="00B551D5"/>
    <w:rsid w:val="00B5567C"/>
    <w:rsid w:val="00B569BB"/>
    <w:rsid w:val="00B57933"/>
    <w:rsid w:val="00B57EC7"/>
    <w:rsid w:val="00B57EDA"/>
    <w:rsid w:val="00B61612"/>
    <w:rsid w:val="00B626BE"/>
    <w:rsid w:val="00B62FD3"/>
    <w:rsid w:val="00B66D5B"/>
    <w:rsid w:val="00B74AD6"/>
    <w:rsid w:val="00B74C16"/>
    <w:rsid w:val="00B76211"/>
    <w:rsid w:val="00B802F2"/>
    <w:rsid w:val="00B85B4E"/>
    <w:rsid w:val="00B85CA9"/>
    <w:rsid w:val="00B85F9F"/>
    <w:rsid w:val="00B9014F"/>
    <w:rsid w:val="00B9130A"/>
    <w:rsid w:val="00B91619"/>
    <w:rsid w:val="00B972E7"/>
    <w:rsid w:val="00BA2924"/>
    <w:rsid w:val="00BA2936"/>
    <w:rsid w:val="00BA34F1"/>
    <w:rsid w:val="00BA48F4"/>
    <w:rsid w:val="00BA4C18"/>
    <w:rsid w:val="00BB1454"/>
    <w:rsid w:val="00BB2C99"/>
    <w:rsid w:val="00BB2D65"/>
    <w:rsid w:val="00BB2DC9"/>
    <w:rsid w:val="00BB4242"/>
    <w:rsid w:val="00BB5445"/>
    <w:rsid w:val="00BC0E76"/>
    <w:rsid w:val="00BC56D9"/>
    <w:rsid w:val="00BD0964"/>
    <w:rsid w:val="00BD6420"/>
    <w:rsid w:val="00BD71E2"/>
    <w:rsid w:val="00BE1A1A"/>
    <w:rsid w:val="00BE47CC"/>
    <w:rsid w:val="00BF17CC"/>
    <w:rsid w:val="00BF3655"/>
    <w:rsid w:val="00C020E3"/>
    <w:rsid w:val="00C07EDF"/>
    <w:rsid w:val="00C10657"/>
    <w:rsid w:val="00C10C18"/>
    <w:rsid w:val="00C111AA"/>
    <w:rsid w:val="00C11D08"/>
    <w:rsid w:val="00C12F9A"/>
    <w:rsid w:val="00C16884"/>
    <w:rsid w:val="00C17F53"/>
    <w:rsid w:val="00C2048E"/>
    <w:rsid w:val="00C21343"/>
    <w:rsid w:val="00C23652"/>
    <w:rsid w:val="00C30A12"/>
    <w:rsid w:val="00C3106E"/>
    <w:rsid w:val="00C34970"/>
    <w:rsid w:val="00C368D4"/>
    <w:rsid w:val="00C372F0"/>
    <w:rsid w:val="00C41AE9"/>
    <w:rsid w:val="00C4420D"/>
    <w:rsid w:val="00C505FA"/>
    <w:rsid w:val="00C55DFB"/>
    <w:rsid w:val="00C56BC5"/>
    <w:rsid w:val="00C57CAF"/>
    <w:rsid w:val="00C618DF"/>
    <w:rsid w:val="00C64167"/>
    <w:rsid w:val="00C65D76"/>
    <w:rsid w:val="00C7140E"/>
    <w:rsid w:val="00C72776"/>
    <w:rsid w:val="00C73549"/>
    <w:rsid w:val="00C75CF8"/>
    <w:rsid w:val="00C777F2"/>
    <w:rsid w:val="00C83669"/>
    <w:rsid w:val="00C917B2"/>
    <w:rsid w:val="00C97801"/>
    <w:rsid w:val="00CA051F"/>
    <w:rsid w:val="00CA09F3"/>
    <w:rsid w:val="00CA0A1F"/>
    <w:rsid w:val="00CA61D3"/>
    <w:rsid w:val="00CA71A1"/>
    <w:rsid w:val="00CB3FED"/>
    <w:rsid w:val="00CB6B3B"/>
    <w:rsid w:val="00CC0BDB"/>
    <w:rsid w:val="00CC1554"/>
    <w:rsid w:val="00CC30DB"/>
    <w:rsid w:val="00CC3F56"/>
    <w:rsid w:val="00CC56FC"/>
    <w:rsid w:val="00CC610A"/>
    <w:rsid w:val="00CC7D19"/>
    <w:rsid w:val="00CC7FFB"/>
    <w:rsid w:val="00CD4295"/>
    <w:rsid w:val="00CD4377"/>
    <w:rsid w:val="00CD4C4D"/>
    <w:rsid w:val="00CD5994"/>
    <w:rsid w:val="00CE23EF"/>
    <w:rsid w:val="00CE5158"/>
    <w:rsid w:val="00CE623B"/>
    <w:rsid w:val="00CF70F1"/>
    <w:rsid w:val="00D005D0"/>
    <w:rsid w:val="00D007FE"/>
    <w:rsid w:val="00D0468D"/>
    <w:rsid w:val="00D12B92"/>
    <w:rsid w:val="00D142A6"/>
    <w:rsid w:val="00D1792D"/>
    <w:rsid w:val="00D21B29"/>
    <w:rsid w:val="00D23C0E"/>
    <w:rsid w:val="00D2487C"/>
    <w:rsid w:val="00D30682"/>
    <w:rsid w:val="00D308EF"/>
    <w:rsid w:val="00D3350B"/>
    <w:rsid w:val="00D37282"/>
    <w:rsid w:val="00D4406D"/>
    <w:rsid w:val="00D44380"/>
    <w:rsid w:val="00D44CE3"/>
    <w:rsid w:val="00D535F2"/>
    <w:rsid w:val="00D53EF7"/>
    <w:rsid w:val="00D5406E"/>
    <w:rsid w:val="00D56951"/>
    <w:rsid w:val="00D56987"/>
    <w:rsid w:val="00D6032A"/>
    <w:rsid w:val="00D611D2"/>
    <w:rsid w:val="00D61C7E"/>
    <w:rsid w:val="00D63FCC"/>
    <w:rsid w:val="00D705CA"/>
    <w:rsid w:val="00D70688"/>
    <w:rsid w:val="00D748E4"/>
    <w:rsid w:val="00D75D1C"/>
    <w:rsid w:val="00D7741E"/>
    <w:rsid w:val="00D82960"/>
    <w:rsid w:val="00D83B35"/>
    <w:rsid w:val="00D844BF"/>
    <w:rsid w:val="00D847C6"/>
    <w:rsid w:val="00D9656D"/>
    <w:rsid w:val="00DA18E9"/>
    <w:rsid w:val="00DA3EF1"/>
    <w:rsid w:val="00DB0506"/>
    <w:rsid w:val="00DB2D34"/>
    <w:rsid w:val="00DB6CE4"/>
    <w:rsid w:val="00DC30AD"/>
    <w:rsid w:val="00DC42E7"/>
    <w:rsid w:val="00DC5558"/>
    <w:rsid w:val="00DC6908"/>
    <w:rsid w:val="00DD2F27"/>
    <w:rsid w:val="00DD35FF"/>
    <w:rsid w:val="00DD3A99"/>
    <w:rsid w:val="00DE04D0"/>
    <w:rsid w:val="00DE458D"/>
    <w:rsid w:val="00DF0848"/>
    <w:rsid w:val="00DF13EE"/>
    <w:rsid w:val="00DF2240"/>
    <w:rsid w:val="00DF7A08"/>
    <w:rsid w:val="00E03295"/>
    <w:rsid w:val="00E03FBD"/>
    <w:rsid w:val="00E16A8D"/>
    <w:rsid w:val="00E16F18"/>
    <w:rsid w:val="00E205EE"/>
    <w:rsid w:val="00E21DDA"/>
    <w:rsid w:val="00E273EF"/>
    <w:rsid w:val="00E30AFD"/>
    <w:rsid w:val="00E3526F"/>
    <w:rsid w:val="00E41287"/>
    <w:rsid w:val="00E420DF"/>
    <w:rsid w:val="00E50322"/>
    <w:rsid w:val="00E51C1E"/>
    <w:rsid w:val="00E5336C"/>
    <w:rsid w:val="00E547DB"/>
    <w:rsid w:val="00E55A1F"/>
    <w:rsid w:val="00E55B22"/>
    <w:rsid w:val="00E623B5"/>
    <w:rsid w:val="00E63595"/>
    <w:rsid w:val="00E63822"/>
    <w:rsid w:val="00E65F75"/>
    <w:rsid w:val="00E70CFB"/>
    <w:rsid w:val="00E71341"/>
    <w:rsid w:val="00E74B11"/>
    <w:rsid w:val="00E810B8"/>
    <w:rsid w:val="00E82879"/>
    <w:rsid w:val="00E8471D"/>
    <w:rsid w:val="00E84ECC"/>
    <w:rsid w:val="00E95925"/>
    <w:rsid w:val="00E95965"/>
    <w:rsid w:val="00E96DCD"/>
    <w:rsid w:val="00EA0549"/>
    <w:rsid w:val="00EA16BF"/>
    <w:rsid w:val="00EA2029"/>
    <w:rsid w:val="00EA2FB9"/>
    <w:rsid w:val="00EA4B75"/>
    <w:rsid w:val="00EA5B43"/>
    <w:rsid w:val="00EA5D64"/>
    <w:rsid w:val="00EB1BAF"/>
    <w:rsid w:val="00EB29AE"/>
    <w:rsid w:val="00EB49ED"/>
    <w:rsid w:val="00EC07A1"/>
    <w:rsid w:val="00EC0D92"/>
    <w:rsid w:val="00EC10E3"/>
    <w:rsid w:val="00EC1E77"/>
    <w:rsid w:val="00EC3886"/>
    <w:rsid w:val="00ED3BFF"/>
    <w:rsid w:val="00ED5641"/>
    <w:rsid w:val="00EE269B"/>
    <w:rsid w:val="00EE3B1C"/>
    <w:rsid w:val="00EE6F1C"/>
    <w:rsid w:val="00EF04F6"/>
    <w:rsid w:val="00EF1186"/>
    <w:rsid w:val="00EF3E89"/>
    <w:rsid w:val="00F01A2C"/>
    <w:rsid w:val="00F02BBE"/>
    <w:rsid w:val="00F04A0E"/>
    <w:rsid w:val="00F04F49"/>
    <w:rsid w:val="00F0540E"/>
    <w:rsid w:val="00F05454"/>
    <w:rsid w:val="00F05A54"/>
    <w:rsid w:val="00F05E73"/>
    <w:rsid w:val="00F16316"/>
    <w:rsid w:val="00F23284"/>
    <w:rsid w:val="00F315DE"/>
    <w:rsid w:val="00F33311"/>
    <w:rsid w:val="00F333BA"/>
    <w:rsid w:val="00F336CC"/>
    <w:rsid w:val="00F37F24"/>
    <w:rsid w:val="00F40972"/>
    <w:rsid w:val="00F40BB2"/>
    <w:rsid w:val="00F41045"/>
    <w:rsid w:val="00F45B96"/>
    <w:rsid w:val="00F519AB"/>
    <w:rsid w:val="00F53C3B"/>
    <w:rsid w:val="00F6046E"/>
    <w:rsid w:val="00F622CD"/>
    <w:rsid w:val="00F67A1A"/>
    <w:rsid w:val="00F70628"/>
    <w:rsid w:val="00F87145"/>
    <w:rsid w:val="00F91C15"/>
    <w:rsid w:val="00F9613F"/>
    <w:rsid w:val="00F96379"/>
    <w:rsid w:val="00FA212D"/>
    <w:rsid w:val="00FB251B"/>
    <w:rsid w:val="00FB2EF0"/>
    <w:rsid w:val="00FB4BBA"/>
    <w:rsid w:val="00FB5467"/>
    <w:rsid w:val="00FB6647"/>
    <w:rsid w:val="00FC287E"/>
    <w:rsid w:val="00FD308E"/>
    <w:rsid w:val="00FD3FC7"/>
    <w:rsid w:val="00FD54C5"/>
    <w:rsid w:val="00FE6123"/>
    <w:rsid w:val="00FF2B1F"/>
    <w:rsid w:val="00FF39F1"/>
    <w:rsid w:val="00FF7192"/>
    <w:rsid w:val="00FF79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EF3"/>
    <w:pPr>
      <w:spacing w:after="200" w:line="276" w:lineRule="auto"/>
    </w:pPr>
    <w:rPr>
      <w:rFonts w:ascii="Calibri" w:eastAsia="Calibri" w:hAnsi="Calibri" w:cs="Times New Roman"/>
      <w:sz w:val="22"/>
      <w:szCs w:val="22"/>
      <w:lang w:val="en-GB"/>
    </w:rPr>
  </w:style>
  <w:style w:type="paragraph" w:styleId="Titolo2">
    <w:name w:val="heading 2"/>
    <w:basedOn w:val="Normale"/>
    <w:next w:val="Normale"/>
    <w:link w:val="Titolo2Carattere"/>
    <w:uiPriority w:val="99"/>
    <w:qFormat/>
    <w:rsid w:val="004F6ECE"/>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4F6ECE"/>
    <w:rPr>
      <w:rFonts w:ascii="Cambria" w:eastAsia="Times New Roman" w:hAnsi="Cambria" w:cs="Times New Roman"/>
      <w:b/>
      <w:bCs/>
      <w:color w:val="4F81BD"/>
      <w:sz w:val="26"/>
      <w:szCs w:val="26"/>
      <w:lang w:val="en-GB"/>
    </w:rPr>
  </w:style>
  <w:style w:type="paragraph" w:styleId="Corpodeltesto">
    <w:name w:val="Body Text"/>
    <w:aliases w:val="Char,Char + Italic"/>
    <w:basedOn w:val="Normale"/>
    <w:link w:val="CorpodeltestoCarattere"/>
    <w:uiPriority w:val="99"/>
    <w:qFormat/>
    <w:rsid w:val="004F6ECE"/>
    <w:pPr>
      <w:spacing w:after="120" w:line="288" w:lineRule="auto"/>
    </w:pPr>
    <w:rPr>
      <w:rFonts w:ascii="Times New Roman" w:eastAsia="Times New Roman" w:hAnsi="Times New Roman"/>
      <w:sz w:val="24"/>
      <w:szCs w:val="24"/>
      <w:lang w:val="it-IT" w:eastAsia="it-IT"/>
    </w:rPr>
  </w:style>
  <w:style w:type="character" w:customStyle="1" w:styleId="CorpodeltestoCarattere">
    <w:name w:val="Corpo del testo Carattere"/>
    <w:aliases w:val="Char Carattere,Char + Italic Carattere"/>
    <w:basedOn w:val="Carpredefinitoparagrafo"/>
    <w:link w:val="Corpodeltesto"/>
    <w:uiPriority w:val="99"/>
    <w:rsid w:val="004F6ECE"/>
    <w:rPr>
      <w:rFonts w:ascii="Times New Roman" w:eastAsia="Times New Roman" w:hAnsi="Times New Roman" w:cs="Times New Roman"/>
      <w:lang w:eastAsia="it-IT"/>
    </w:rPr>
  </w:style>
  <w:style w:type="character" w:customStyle="1" w:styleId="Nessuno">
    <w:name w:val="Nessuno"/>
    <w:uiPriority w:val="99"/>
    <w:rsid w:val="00AF1CD7"/>
  </w:style>
  <w:style w:type="paragraph" w:customStyle="1" w:styleId="Default">
    <w:name w:val="Default"/>
    <w:rsid w:val="00AF1CD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u w:color="000000"/>
      <w:lang w:eastAsia="it-IT"/>
    </w:rPr>
  </w:style>
  <w:style w:type="paragraph" w:styleId="Paragrafoelenco">
    <w:name w:val="List Paragraph"/>
    <w:basedOn w:val="Normale"/>
    <w:uiPriority w:val="99"/>
    <w:qFormat/>
    <w:rsid w:val="0009533C"/>
    <w:pPr>
      <w:ind w:left="720"/>
      <w:contextualSpacing/>
    </w:pPr>
  </w:style>
  <w:style w:type="character" w:styleId="Enfasicorsivo">
    <w:name w:val="Emphasis"/>
    <w:basedOn w:val="Carpredefinitoparagrafo"/>
    <w:uiPriority w:val="20"/>
    <w:qFormat/>
    <w:rsid w:val="009643B1"/>
    <w:rPr>
      <w:i/>
      <w:iCs/>
    </w:rPr>
  </w:style>
  <w:style w:type="character" w:styleId="Rimandocommento">
    <w:name w:val="annotation reference"/>
    <w:basedOn w:val="Carpredefinitoparagrafo"/>
    <w:uiPriority w:val="99"/>
    <w:semiHidden/>
    <w:unhideWhenUsed/>
    <w:rsid w:val="00041C7E"/>
    <w:rPr>
      <w:sz w:val="16"/>
      <w:szCs w:val="16"/>
    </w:rPr>
  </w:style>
  <w:style w:type="paragraph" w:styleId="Testocommento">
    <w:name w:val="annotation text"/>
    <w:basedOn w:val="Normale"/>
    <w:link w:val="TestocommentoCarattere"/>
    <w:uiPriority w:val="99"/>
    <w:semiHidden/>
    <w:unhideWhenUsed/>
    <w:rsid w:val="00041C7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41C7E"/>
    <w:rPr>
      <w:rFonts w:ascii="Calibri" w:eastAsia="Calibri" w:hAnsi="Calibri"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041C7E"/>
    <w:rPr>
      <w:b/>
      <w:bCs/>
    </w:rPr>
  </w:style>
  <w:style w:type="character" w:customStyle="1" w:styleId="SoggettocommentoCarattere">
    <w:name w:val="Soggetto commento Carattere"/>
    <w:basedOn w:val="TestocommentoCarattere"/>
    <w:link w:val="Soggettocommento"/>
    <w:uiPriority w:val="99"/>
    <w:semiHidden/>
    <w:rsid w:val="00041C7E"/>
    <w:rPr>
      <w:rFonts w:ascii="Calibri" w:eastAsia="Calibri" w:hAnsi="Calibri" w:cs="Times New Roman"/>
      <w:b/>
      <w:bCs/>
      <w:sz w:val="20"/>
      <w:szCs w:val="20"/>
      <w:lang w:val="en-GB"/>
    </w:rPr>
  </w:style>
  <w:style w:type="paragraph" w:styleId="Testofumetto">
    <w:name w:val="Balloon Text"/>
    <w:basedOn w:val="Normale"/>
    <w:link w:val="TestofumettoCarattere"/>
    <w:uiPriority w:val="99"/>
    <w:semiHidden/>
    <w:unhideWhenUsed/>
    <w:rsid w:val="00041C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1C7E"/>
    <w:rPr>
      <w:rFonts w:ascii="Segoe UI" w:eastAsia="Calibri" w:hAnsi="Segoe UI" w:cs="Segoe UI"/>
      <w:sz w:val="18"/>
      <w:szCs w:val="18"/>
      <w:lang w:val="en-GB"/>
    </w:rPr>
  </w:style>
  <w:style w:type="paragraph" w:styleId="Revisione">
    <w:name w:val="Revision"/>
    <w:hidden/>
    <w:uiPriority w:val="99"/>
    <w:semiHidden/>
    <w:rsid w:val="004D3080"/>
    <w:rPr>
      <w:rFonts w:ascii="Calibri" w:eastAsia="Calibri" w:hAnsi="Calibri" w:cs="Times New Roman"/>
      <w:sz w:val="22"/>
      <w:szCs w:val="22"/>
      <w:lang w:val="en-GB"/>
    </w:rPr>
  </w:style>
  <w:style w:type="paragraph" w:customStyle="1" w:styleId="EndNoteBibliography">
    <w:name w:val="EndNote Bibliography"/>
    <w:basedOn w:val="Normale"/>
    <w:link w:val="EndNoteBibliographyChar"/>
    <w:uiPriority w:val="99"/>
    <w:rsid w:val="00981B54"/>
    <w:pPr>
      <w:spacing w:after="160" w:line="240" w:lineRule="auto"/>
    </w:pPr>
    <w:rPr>
      <w:rFonts w:eastAsia="Times New Roman"/>
      <w:noProof/>
      <w:lang w:val="en-US"/>
    </w:rPr>
  </w:style>
  <w:style w:type="character" w:customStyle="1" w:styleId="EndNoteBibliographyChar">
    <w:name w:val="EndNote Bibliography Char"/>
    <w:link w:val="EndNoteBibliography"/>
    <w:uiPriority w:val="99"/>
    <w:locked/>
    <w:rsid w:val="00981B54"/>
    <w:rPr>
      <w:rFonts w:ascii="Calibri" w:eastAsia="Times New Roman" w:hAnsi="Calibri" w:cs="Times New Roman"/>
      <w:noProof/>
      <w:sz w:val="22"/>
      <w:szCs w:val="22"/>
      <w:lang w:val="en-US"/>
    </w:rPr>
  </w:style>
  <w:style w:type="paragraph" w:styleId="Didascalia">
    <w:name w:val="caption"/>
    <w:aliases w:val="Fig/Tab Title"/>
    <w:basedOn w:val="Corpodeltesto"/>
    <w:next w:val="Corpodeltesto"/>
    <w:link w:val="DidascaliaCarattere"/>
    <w:qFormat/>
    <w:rsid w:val="00D3350B"/>
    <w:pPr>
      <w:keepNext/>
      <w:keepLines/>
      <w:spacing w:before="120"/>
      <w:outlineLvl w:val="8"/>
    </w:pPr>
    <w:rPr>
      <w:rFonts w:ascii="Arial" w:hAnsi="Arial" w:cs="Arial"/>
      <w:b/>
      <w:bCs/>
      <w:sz w:val="20"/>
      <w:szCs w:val="20"/>
      <w:lang w:val="en-US" w:eastAsia="en-US"/>
    </w:rPr>
  </w:style>
  <w:style w:type="character" w:customStyle="1" w:styleId="DidascaliaCarattere">
    <w:name w:val="Didascalia Carattere"/>
    <w:aliases w:val="Fig/Tab Title Carattere"/>
    <w:link w:val="Didascalia"/>
    <w:locked/>
    <w:rsid w:val="00D3350B"/>
    <w:rPr>
      <w:rFonts w:ascii="Arial" w:eastAsia="Times New Roman" w:hAnsi="Arial" w:cs="Arial"/>
      <w:b/>
      <w:bCs/>
      <w:sz w:val="20"/>
      <w:szCs w:val="20"/>
      <w:lang w:val="en-US"/>
    </w:rPr>
  </w:style>
  <w:style w:type="paragraph" w:customStyle="1" w:styleId="FigCaption">
    <w:name w:val="Fig Caption"/>
    <w:basedOn w:val="Didascalia"/>
    <w:link w:val="FigCaptionChar"/>
    <w:qFormat/>
    <w:rsid w:val="00D3350B"/>
    <w:rPr>
      <w:rFonts w:ascii="Times New Roman" w:hAnsi="Times New Roman" w:cs="Times New Roman"/>
      <w:b w:val="0"/>
    </w:rPr>
  </w:style>
  <w:style w:type="character" w:customStyle="1" w:styleId="FigCaptionChar">
    <w:name w:val="Fig Caption Char"/>
    <w:link w:val="FigCaption"/>
    <w:rsid w:val="00D3350B"/>
    <w:rPr>
      <w:rFonts w:ascii="Times New Roman" w:eastAsia="Times New Roman" w:hAnsi="Times New Roman" w:cs="Times New Roman"/>
      <w:bCs/>
      <w:sz w:val="20"/>
      <w:szCs w:val="20"/>
      <w:lang w:val="en-US"/>
    </w:rPr>
  </w:style>
  <w:style w:type="character" w:styleId="Numeroriga">
    <w:name w:val="line number"/>
    <w:basedOn w:val="Carpredefinitoparagrafo"/>
    <w:uiPriority w:val="99"/>
    <w:semiHidden/>
    <w:unhideWhenUsed/>
    <w:rsid w:val="00B74AD6"/>
  </w:style>
  <w:style w:type="paragraph" w:styleId="Intestazione">
    <w:name w:val="header"/>
    <w:basedOn w:val="Normale"/>
    <w:link w:val="IntestazioneCarattere"/>
    <w:uiPriority w:val="99"/>
    <w:semiHidden/>
    <w:unhideWhenUsed/>
    <w:rsid w:val="00DC6908"/>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semiHidden/>
    <w:rsid w:val="00DC6908"/>
    <w:rPr>
      <w:rFonts w:ascii="Calibri" w:eastAsia="Calibri" w:hAnsi="Calibri" w:cs="Times New Roman"/>
      <w:sz w:val="22"/>
      <w:szCs w:val="22"/>
      <w:lang w:val="en-GB"/>
    </w:rPr>
  </w:style>
  <w:style w:type="paragraph" w:styleId="Pidipagina">
    <w:name w:val="footer"/>
    <w:basedOn w:val="Normale"/>
    <w:link w:val="PidipaginaCarattere"/>
    <w:uiPriority w:val="99"/>
    <w:unhideWhenUsed/>
    <w:rsid w:val="00DC6908"/>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DC6908"/>
    <w:rPr>
      <w:rFonts w:ascii="Calibri" w:eastAsia="Calibri" w:hAnsi="Calibri" w:cs="Times New Roman"/>
      <w:sz w:val="22"/>
      <w:szCs w:val="22"/>
      <w:lang w:val="en-GB"/>
    </w:rPr>
  </w:style>
  <w:style w:type="character" w:styleId="Collegamentoipertestuale">
    <w:name w:val="Hyperlink"/>
    <w:basedOn w:val="Carpredefinitoparagrafo"/>
    <w:uiPriority w:val="99"/>
    <w:unhideWhenUsed/>
    <w:rsid w:val="00271E9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7724836">
      <w:bodyDiv w:val="1"/>
      <w:marLeft w:val="0"/>
      <w:marRight w:val="0"/>
      <w:marTop w:val="0"/>
      <w:marBottom w:val="0"/>
      <w:divBdr>
        <w:top w:val="none" w:sz="0" w:space="0" w:color="auto"/>
        <w:left w:val="none" w:sz="0" w:space="0" w:color="auto"/>
        <w:bottom w:val="none" w:sz="0" w:space="0" w:color="auto"/>
        <w:right w:val="none" w:sz="0" w:space="0" w:color="auto"/>
      </w:divBdr>
    </w:div>
    <w:div w:id="149251209">
      <w:bodyDiv w:val="1"/>
      <w:marLeft w:val="0"/>
      <w:marRight w:val="0"/>
      <w:marTop w:val="0"/>
      <w:marBottom w:val="0"/>
      <w:divBdr>
        <w:top w:val="none" w:sz="0" w:space="0" w:color="auto"/>
        <w:left w:val="none" w:sz="0" w:space="0" w:color="auto"/>
        <w:bottom w:val="none" w:sz="0" w:space="0" w:color="auto"/>
        <w:right w:val="none" w:sz="0" w:space="0" w:color="auto"/>
      </w:divBdr>
    </w:div>
    <w:div w:id="382024599">
      <w:bodyDiv w:val="1"/>
      <w:marLeft w:val="0"/>
      <w:marRight w:val="0"/>
      <w:marTop w:val="0"/>
      <w:marBottom w:val="0"/>
      <w:divBdr>
        <w:top w:val="none" w:sz="0" w:space="0" w:color="auto"/>
        <w:left w:val="none" w:sz="0" w:space="0" w:color="auto"/>
        <w:bottom w:val="none" w:sz="0" w:space="0" w:color="auto"/>
        <w:right w:val="none" w:sz="0" w:space="0" w:color="auto"/>
      </w:divBdr>
    </w:div>
    <w:div w:id="439571161">
      <w:bodyDiv w:val="1"/>
      <w:marLeft w:val="0"/>
      <w:marRight w:val="0"/>
      <w:marTop w:val="0"/>
      <w:marBottom w:val="0"/>
      <w:divBdr>
        <w:top w:val="none" w:sz="0" w:space="0" w:color="auto"/>
        <w:left w:val="none" w:sz="0" w:space="0" w:color="auto"/>
        <w:bottom w:val="none" w:sz="0" w:space="0" w:color="auto"/>
        <w:right w:val="none" w:sz="0" w:space="0" w:color="auto"/>
      </w:divBdr>
    </w:div>
    <w:div w:id="743532014">
      <w:bodyDiv w:val="1"/>
      <w:marLeft w:val="0"/>
      <w:marRight w:val="0"/>
      <w:marTop w:val="0"/>
      <w:marBottom w:val="0"/>
      <w:divBdr>
        <w:top w:val="none" w:sz="0" w:space="0" w:color="auto"/>
        <w:left w:val="none" w:sz="0" w:space="0" w:color="auto"/>
        <w:bottom w:val="none" w:sz="0" w:space="0" w:color="auto"/>
        <w:right w:val="none" w:sz="0" w:space="0" w:color="auto"/>
      </w:divBdr>
    </w:div>
    <w:div w:id="748884680">
      <w:bodyDiv w:val="1"/>
      <w:marLeft w:val="0"/>
      <w:marRight w:val="0"/>
      <w:marTop w:val="0"/>
      <w:marBottom w:val="0"/>
      <w:divBdr>
        <w:top w:val="none" w:sz="0" w:space="0" w:color="auto"/>
        <w:left w:val="none" w:sz="0" w:space="0" w:color="auto"/>
        <w:bottom w:val="none" w:sz="0" w:space="0" w:color="auto"/>
        <w:right w:val="none" w:sz="0" w:space="0" w:color="auto"/>
      </w:divBdr>
    </w:div>
    <w:div w:id="776095607">
      <w:bodyDiv w:val="1"/>
      <w:marLeft w:val="0"/>
      <w:marRight w:val="0"/>
      <w:marTop w:val="0"/>
      <w:marBottom w:val="0"/>
      <w:divBdr>
        <w:top w:val="none" w:sz="0" w:space="0" w:color="auto"/>
        <w:left w:val="none" w:sz="0" w:space="0" w:color="auto"/>
        <w:bottom w:val="none" w:sz="0" w:space="0" w:color="auto"/>
        <w:right w:val="none" w:sz="0" w:space="0" w:color="auto"/>
      </w:divBdr>
    </w:div>
    <w:div w:id="1118645863">
      <w:bodyDiv w:val="1"/>
      <w:marLeft w:val="0"/>
      <w:marRight w:val="0"/>
      <w:marTop w:val="0"/>
      <w:marBottom w:val="0"/>
      <w:divBdr>
        <w:top w:val="none" w:sz="0" w:space="0" w:color="auto"/>
        <w:left w:val="none" w:sz="0" w:space="0" w:color="auto"/>
        <w:bottom w:val="none" w:sz="0" w:space="0" w:color="auto"/>
        <w:right w:val="none" w:sz="0" w:space="0" w:color="auto"/>
      </w:divBdr>
    </w:div>
    <w:div w:id="1198203279">
      <w:bodyDiv w:val="1"/>
      <w:marLeft w:val="0"/>
      <w:marRight w:val="0"/>
      <w:marTop w:val="0"/>
      <w:marBottom w:val="0"/>
      <w:divBdr>
        <w:top w:val="none" w:sz="0" w:space="0" w:color="auto"/>
        <w:left w:val="none" w:sz="0" w:space="0" w:color="auto"/>
        <w:bottom w:val="none" w:sz="0" w:space="0" w:color="auto"/>
        <w:right w:val="none" w:sz="0" w:space="0" w:color="auto"/>
      </w:divBdr>
    </w:div>
    <w:div w:id="1533805594">
      <w:bodyDiv w:val="1"/>
      <w:marLeft w:val="0"/>
      <w:marRight w:val="0"/>
      <w:marTop w:val="0"/>
      <w:marBottom w:val="0"/>
      <w:divBdr>
        <w:top w:val="none" w:sz="0" w:space="0" w:color="auto"/>
        <w:left w:val="none" w:sz="0" w:space="0" w:color="auto"/>
        <w:bottom w:val="none" w:sz="0" w:space="0" w:color="auto"/>
        <w:right w:val="none" w:sz="0" w:space="0" w:color="auto"/>
      </w:divBdr>
    </w:div>
    <w:div w:id="1628703887">
      <w:bodyDiv w:val="1"/>
      <w:marLeft w:val="0"/>
      <w:marRight w:val="0"/>
      <w:marTop w:val="0"/>
      <w:marBottom w:val="0"/>
      <w:divBdr>
        <w:top w:val="none" w:sz="0" w:space="0" w:color="auto"/>
        <w:left w:val="none" w:sz="0" w:space="0" w:color="auto"/>
        <w:bottom w:val="none" w:sz="0" w:space="0" w:color="auto"/>
        <w:right w:val="none" w:sz="0" w:space="0" w:color="auto"/>
      </w:divBdr>
    </w:div>
    <w:div w:id="1732188206">
      <w:bodyDiv w:val="1"/>
      <w:marLeft w:val="0"/>
      <w:marRight w:val="0"/>
      <w:marTop w:val="0"/>
      <w:marBottom w:val="0"/>
      <w:divBdr>
        <w:top w:val="none" w:sz="0" w:space="0" w:color="auto"/>
        <w:left w:val="none" w:sz="0" w:space="0" w:color="auto"/>
        <w:bottom w:val="none" w:sz="0" w:space="0" w:color="auto"/>
        <w:right w:val="none" w:sz="0" w:space="0" w:color="auto"/>
      </w:divBdr>
    </w:div>
    <w:div w:id="1803234868">
      <w:bodyDiv w:val="1"/>
      <w:marLeft w:val="0"/>
      <w:marRight w:val="0"/>
      <w:marTop w:val="0"/>
      <w:marBottom w:val="0"/>
      <w:divBdr>
        <w:top w:val="none" w:sz="0" w:space="0" w:color="auto"/>
        <w:left w:val="none" w:sz="0" w:space="0" w:color="auto"/>
        <w:bottom w:val="none" w:sz="0" w:space="0" w:color="auto"/>
        <w:right w:val="none" w:sz="0" w:space="0" w:color="auto"/>
      </w:divBdr>
    </w:div>
    <w:div w:id="1908301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94413-D738-4540-B76E-71B2A219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2346</Words>
  <Characters>13374</Characters>
  <Application>Microsoft Office Word</Application>
  <DocSecurity>0</DocSecurity>
  <Lines>111</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F</dc:creator>
  <cp:lastModifiedBy>merlingi</cp:lastModifiedBy>
  <cp:revision>20</cp:revision>
  <cp:lastPrinted>2018-10-31T12:52:00Z</cp:lastPrinted>
  <dcterms:created xsi:type="dcterms:W3CDTF">2018-11-27T16:04:00Z</dcterms:created>
  <dcterms:modified xsi:type="dcterms:W3CDTF">2019-05-10T14:24:00Z</dcterms:modified>
</cp:coreProperties>
</file>