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1EE86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Supplementary Legend</w:t>
      </w: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>s:</w:t>
      </w:r>
    </w:p>
    <w:p w14:paraId="674848F1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5B234394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Figure 1: </w:t>
      </w:r>
      <w:r>
        <w:rPr>
          <w:rFonts w:asciiTheme="majorHAnsi" w:hAnsiTheme="majorHAnsi" w:cs="Arial"/>
          <w:sz w:val="22"/>
          <w:szCs w:val="22"/>
        </w:rPr>
        <w:t xml:space="preserve">Comparison of correlations for </w:t>
      </w:r>
      <w:r>
        <w:rPr>
          <w:rFonts w:asciiTheme="majorHAnsi" w:hAnsiTheme="majorHAnsi" w:cs="Arial"/>
          <w:i/>
          <w:sz w:val="22"/>
          <w:szCs w:val="22"/>
        </w:rPr>
        <w:t>ALK</w:t>
      </w:r>
      <w:r>
        <w:rPr>
          <w:rFonts w:asciiTheme="majorHAnsi" w:hAnsiTheme="majorHAnsi" w:cs="Arial"/>
          <w:sz w:val="22"/>
          <w:szCs w:val="22"/>
        </w:rPr>
        <w:t xml:space="preserve"> and </w:t>
      </w:r>
      <w:r>
        <w:rPr>
          <w:rFonts w:asciiTheme="majorHAnsi" w:hAnsiTheme="majorHAnsi" w:cs="Arial"/>
          <w:i/>
          <w:sz w:val="22"/>
          <w:szCs w:val="22"/>
        </w:rPr>
        <w:t>MET</w:t>
      </w:r>
      <w:r>
        <w:rPr>
          <w:rFonts w:asciiTheme="majorHAnsi" w:hAnsiTheme="majorHAnsi" w:cs="Arial"/>
          <w:b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Blue, red and grey cells denote significant correlations, significant anti-correlations and non-significant correlations respectively. White cells correspond to combinations that were not tested or are not valid drug-target pairs.</w:t>
      </w:r>
    </w:p>
    <w:p w14:paraId="72E47288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410ACF94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Supplementary Figure 2:</w:t>
      </w:r>
      <w:r>
        <w:rPr>
          <w:rFonts w:asciiTheme="majorHAnsi" w:hAnsiTheme="majorHAnsi" w:cs="Arial"/>
          <w:sz w:val="22"/>
          <w:szCs w:val="22"/>
        </w:rPr>
        <w:t xml:space="preserve"> Comparison of correlations for </w:t>
      </w:r>
      <w:r>
        <w:rPr>
          <w:rFonts w:asciiTheme="majorHAnsi" w:hAnsiTheme="majorHAnsi" w:cs="Arial"/>
          <w:i/>
          <w:sz w:val="22"/>
          <w:szCs w:val="22"/>
        </w:rPr>
        <w:t>HDAC1</w:t>
      </w:r>
      <w:r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i/>
          <w:sz w:val="22"/>
          <w:szCs w:val="22"/>
        </w:rPr>
        <w:t>HDAC2</w:t>
      </w:r>
      <w:r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i/>
          <w:sz w:val="22"/>
          <w:szCs w:val="22"/>
        </w:rPr>
        <w:t>HDAC3</w:t>
      </w:r>
      <w:r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i/>
          <w:sz w:val="22"/>
          <w:szCs w:val="22"/>
        </w:rPr>
        <w:t>HDAC6</w:t>
      </w:r>
      <w:r>
        <w:rPr>
          <w:rFonts w:asciiTheme="majorHAnsi" w:hAnsiTheme="majorHAnsi" w:cs="Arial"/>
          <w:sz w:val="22"/>
          <w:szCs w:val="22"/>
        </w:rPr>
        <w:t xml:space="preserve"> and </w:t>
      </w:r>
      <w:r>
        <w:rPr>
          <w:rFonts w:asciiTheme="majorHAnsi" w:hAnsiTheme="majorHAnsi" w:cs="Arial"/>
          <w:i/>
          <w:sz w:val="22"/>
          <w:szCs w:val="22"/>
        </w:rPr>
        <w:t>HDAC8</w:t>
      </w:r>
      <w:r>
        <w:rPr>
          <w:rFonts w:asciiTheme="majorHAnsi" w:hAnsiTheme="majorHAnsi" w:cs="Arial"/>
          <w:b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Blue, red and grey cells denote significant correlations, significant anti-correlations and non-significant correlations respectively. White cells correspond to combinations that were not tested or are not valid drug-target pairs.</w:t>
      </w:r>
    </w:p>
    <w:p w14:paraId="56CA4A7D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29988291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Figure 3: </w:t>
      </w:r>
      <w:r>
        <w:rPr>
          <w:rFonts w:asciiTheme="majorHAnsi" w:hAnsiTheme="majorHAnsi"/>
          <w:sz w:val="22"/>
          <w:szCs w:val="22"/>
        </w:rPr>
        <w:t xml:space="preserve">Summary of the degree of overlap between the GDSC and CTRP analyses at the transcript level. </w:t>
      </w:r>
      <w:r>
        <w:rPr>
          <w:rFonts w:asciiTheme="majorHAnsi" w:hAnsiTheme="majorHAnsi" w:cs="Arial"/>
          <w:sz w:val="22"/>
          <w:szCs w:val="22"/>
        </w:rPr>
        <w:t>As GDSC and CTRP provide gene-level expression measurements from different microarray versions (</w:t>
      </w:r>
      <w:proofErr w:type="spellStart"/>
      <w:r>
        <w:rPr>
          <w:rFonts w:asciiTheme="majorHAnsi" w:hAnsiTheme="majorHAnsi" w:cs="Arial"/>
          <w:sz w:val="22"/>
          <w:szCs w:val="22"/>
        </w:rPr>
        <w:t>Affymetrix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GeneChip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HG-U133A in GDSC and HG-U133PLUS2 in CTRP) which potentially detect different isoforms of each gene, we repeated our concordance analysis at the transcript level. </w:t>
      </w:r>
      <w:r>
        <w:rPr>
          <w:rFonts w:asciiTheme="majorHAnsi" w:hAnsiTheme="majorHAnsi"/>
          <w:sz w:val="22"/>
          <w:szCs w:val="22"/>
        </w:rPr>
        <w:t>The correlation coefficient was calculated for 74 common drugs (targeting drug-target transcript isoforms). The 541 cell lines common in GDSC and CTRP where drug-target transcript isoform expression and AUC values could be obtained were considered.</w:t>
      </w:r>
    </w:p>
    <w:p w14:paraId="5AD5B064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52DCE39D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Table 1: </w:t>
      </w:r>
      <w:r>
        <w:rPr>
          <w:rFonts w:asciiTheme="majorHAnsi" w:hAnsiTheme="majorHAnsi"/>
          <w:sz w:val="22"/>
          <w:szCs w:val="22"/>
        </w:rPr>
        <w:t>Spearman correlation values between drug sensitivity and gene expression for 250 drugs studied in the GDSC dataset.</w:t>
      </w:r>
    </w:p>
    <w:p w14:paraId="7F14DE77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5EA772AA" w14:textId="77777777" w:rsidR="002F18FF" w:rsidRDefault="002F18FF" w:rsidP="002F18F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Table 2: </w:t>
      </w:r>
      <w:r>
        <w:rPr>
          <w:rFonts w:asciiTheme="majorHAnsi" w:hAnsiTheme="majorHAnsi"/>
          <w:sz w:val="22"/>
          <w:szCs w:val="22"/>
        </w:rPr>
        <w:t>Spearman correlation values between drug sensitivity and gene expression for 481 drugs studied in the CTRP dataset.</w:t>
      </w:r>
    </w:p>
    <w:p w14:paraId="58E6D247" w14:textId="77777777" w:rsidR="002F18FF" w:rsidRDefault="002F18FF" w:rsidP="002F18FF">
      <w:pPr>
        <w:jc w:val="both"/>
        <w:rPr>
          <w:rFonts w:asciiTheme="majorHAnsi" w:hAnsiTheme="majorHAnsi"/>
          <w:sz w:val="22"/>
          <w:szCs w:val="22"/>
        </w:rPr>
      </w:pPr>
    </w:p>
    <w:p w14:paraId="2A1DC490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Table 3a: </w:t>
      </w:r>
      <w:r>
        <w:rPr>
          <w:rFonts w:asciiTheme="majorHAnsi" w:hAnsiTheme="majorHAnsi" w:cs="Arial"/>
          <w:sz w:val="22"/>
          <w:szCs w:val="22"/>
        </w:rPr>
        <w:t xml:space="preserve">Molecular Targets of the Anticancer Drugs from GDSC, CTRP and </w:t>
      </w:r>
      <w:proofErr w:type="spellStart"/>
      <w:r>
        <w:rPr>
          <w:rFonts w:asciiTheme="majorHAnsi" w:hAnsiTheme="majorHAnsi" w:cs="Arial"/>
          <w:sz w:val="22"/>
          <w:szCs w:val="22"/>
        </w:rPr>
        <w:t>DrugBank</w:t>
      </w:r>
      <w:proofErr w:type="spellEnd"/>
      <w:r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Spearman correlation and permutation testing results are provided for both the GDSC and CTRP datasets.</w:t>
      </w:r>
    </w:p>
    <w:p w14:paraId="530A88D3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373F9D3" w14:textId="77777777" w:rsidR="002F18FF" w:rsidRPr="000E5000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</w:t>
      </w:r>
      <w:r w:rsidRPr="000E5000">
        <w:rPr>
          <w:rFonts w:asciiTheme="majorHAnsi" w:hAnsiTheme="majorHAnsi" w:cs="Arial"/>
          <w:b/>
          <w:sz w:val="22"/>
          <w:szCs w:val="22"/>
        </w:rPr>
        <w:t xml:space="preserve">Table 4: </w:t>
      </w:r>
      <w:r w:rsidRPr="000E5000">
        <w:rPr>
          <w:rFonts w:asciiTheme="majorHAnsi" w:hAnsiTheme="majorHAnsi" w:cs="Arial"/>
          <w:sz w:val="22"/>
          <w:szCs w:val="22"/>
        </w:rPr>
        <w:t>List of drugs where we observe both a correlated and an anti-correlated target in GDSC and CRTP datasets.</w:t>
      </w:r>
    </w:p>
    <w:p w14:paraId="734406D0" w14:textId="77777777" w:rsidR="002F18FF" w:rsidRPr="000E5000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3C660BC" w14:textId="77777777" w:rsidR="002F18FF" w:rsidRPr="001C650E" w:rsidRDefault="002F18FF" w:rsidP="002F18FF">
      <w:pPr>
        <w:jc w:val="both"/>
        <w:rPr>
          <w:rFonts w:asciiTheme="majorHAnsi" w:hAnsiTheme="majorHAnsi" w:cs="Arial"/>
          <w:sz w:val="22"/>
          <w:szCs w:val="22"/>
        </w:rPr>
      </w:pPr>
      <w:r w:rsidRPr="000E5000">
        <w:rPr>
          <w:rFonts w:asciiTheme="majorHAnsi" w:hAnsiTheme="majorHAnsi" w:cs="Arial"/>
          <w:b/>
          <w:sz w:val="22"/>
          <w:szCs w:val="22"/>
        </w:rPr>
        <w:t xml:space="preserve">Supplementary Table 5: </w:t>
      </w:r>
      <w:r w:rsidRPr="000E5000">
        <w:rPr>
          <w:rFonts w:asciiTheme="majorHAnsi" w:hAnsiTheme="majorHAnsi"/>
          <w:sz w:val="22"/>
          <w:szCs w:val="22"/>
        </w:rPr>
        <w:t>Fractions of single cells in each cell line expressing both targets from Figure 3.</w:t>
      </w:r>
    </w:p>
    <w:p w14:paraId="3C79D9D9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29A73399" w14:textId="77777777" w:rsidR="002F18FF" w:rsidRDefault="002F18FF" w:rsidP="002F18F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Table 6a: </w:t>
      </w:r>
      <w:r>
        <w:rPr>
          <w:rFonts w:asciiTheme="majorHAnsi" w:hAnsiTheme="majorHAnsi"/>
          <w:sz w:val="22"/>
          <w:szCs w:val="22"/>
        </w:rPr>
        <w:t>Spearman correlation values between drug sensitivity and target expression for 86</w:t>
      </w:r>
      <w:r>
        <w:rPr>
          <w:rFonts w:asciiTheme="majorHAnsi" w:hAnsiTheme="majorHAnsi" w:cs="Arial"/>
          <w:sz w:val="22"/>
          <w:szCs w:val="22"/>
        </w:rPr>
        <w:t xml:space="preserve"> drugs common between GDSC and CTRP.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0E733F4A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764FB107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Table 6b: </w:t>
      </w:r>
      <w:r>
        <w:rPr>
          <w:rFonts w:asciiTheme="majorHAnsi" w:hAnsiTheme="majorHAnsi" w:cs="Arial"/>
          <w:sz w:val="22"/>
          <w:szCs w:val="22"/>
        </w:rPr>
        <w:t>Correlation matrix comparing gene expression values.</w:t>
      </w:r>
    </w:p>
    <w:p w14:paraId="6A474DC1" w14:textId="77777777" w:rsidR="002F18FF" w:rsidRDefault="002F18FF" w:rsidP="002F18F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There are 558 cell lines and 15,934 genes common between both the datasets. Calculated 558x 558 – Correlation matrix comparing gene expression values for 15,934 genes in one cell line from GDSC compared to 15,934 genes in CTRP. Correlation method used was Spearman.</w:t>
      </w:r>
    </w:p>
    <w:p w14:paraId="4C7EDAD3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399DB834" w14:textId="77777777" w:rsidR="002F18FF" w:rsidRDefault="002F18FF" w:rsidP="002F18F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Table 6c: </w:t>
      </w:r>
      <w:r>
        <w:rPr>
          <w:rFonts w:asciiTheme="majorHAnsi" w:hAnsiTheme="majorHAnsi" w:cs="Arial"/>
          <w:sz w:val="22"/>
          <w:szCs w:val="22"/>
        </w:rPr>
        <w:t>Spearman correlation values comparing Area under the curve (AUC) values across common cell lines in the GDSC and CTRP datasets for the 86 drugs common between them.</w:t>
      </w:r>
    </w:p>
    <w:p w14:paraId="72B07DC7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77D621CB" w14:textId="77777777" w:rsidR="002F18FF" w:rsidRDefault="002F18FF" w:rsidP="002F18F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Table 6d: </w:t>
      </w:r>
      <w:r>
        <w:rPr>
          <w:rFonts w:asciiTheme="majorHAnsi" w:hAnsiTheme="majorHAnsi" w:cs="Arial"/>
          <w:sz w:val="22"/>
          <w:szCs w:val="22"/>
        </w:rPr>
        <w:t xml:space="preserve">List of the cell lines where a better gene expression correlation was observed with a different cell line. </w:t>
      </w:r>
    </w:p>
    <w:p w14:paraId="6CDB552A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355F262B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Supplementary Table 7: Transcript isoform aware reanalysis of CTRP-GDSC concordance. </w:t>
      </w:r>
      <w:r>
        <w:rPr>
          <w:rFonts w:asciiTheme="majorHAnsi" w:hAnsiTheme="majorHAnsi"/>
          <w:sz w:val="22"/>
          <w:szCs w:val="22"/>
        </w:rPr>
        <w:t>Spearman correlation values between drug sensitivity and drug-target transcript isoforms expression for 74</w:t>
      </w:r>
      <w:r>
        <w:rPr>
          <w:rFonts w:asciiTheme="majorHAnsi" w:hAnsiTheme="majorHAnsi" w:cs="Arial"/>
          <w:sz w:val="22"/>
          <w:szCs w:val="22"/>
        </w:rPr>
        <w:t xml:space="preserve"> drugs common between GDSC and CTRP.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The 541 cell lines common in GDSC and CTRP where drug-target transcript isoform expression and AUC values could be obtained were considered. </w:t>
      </w:r>
      <w:r>
        <w:rPr>
          <w:rFonts w:asciiTheme="majorHAnsi" w:hAnsiTheme="majorHAnsi" w:cs="Arial"/>
          <w:sz w:val="22"/>
          <w:szCs w:val="22"/>
        </w:rPr>
        <w:t>As GDSC and CTRP provide gene-level expression measurements from different microarray versions (</w:t>
      </w:r>
      <w:proofErr w:type="spellStart"/>
      <w:r>
        <w:rPr>
          <w:rFonts w:asciiTheme="majorHAnsi" w:hAnsiTheme="majorHAnsi" w:cs="Arial"/>
          <w:sz w:val="22"/>
          <w:szCs w:val="22"/>
        </w:rPr>
        <w:t>Affymetrix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GeneChip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HG-U133A in GDSC and HG-U133PLUS2 in CTRP), which potentially detect different isoforms of each gene, we repeated our analysis at the transcript level.</w:t>
      </w:r>
    </w:p>
    <w:p w14:paraId="1E48077B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4C53B494" w14:textId="77777777" w:rsidR="002F18FF" w:rsidRPr="000E5000" w:rsidRDefault="002F18FF" w:rsidP="002F18FF">
      <w:pPr>
        <w:jc w:val="both"/>
      </w:pPr>
      <w:r>
        <w:rPr>
          <w:rFonts w:asciiTheme="majorHAnsi" w:hAnsiTheme="majorHAnsi" w:cs="Arial"/>
          <w:b/>
          <w:sz w:val="22"/>
          <w:szCs w:val="22"/>
        </w:rPr>
        <w:t xml:space="preserve">Supplementary Table 8: </w:t>
      </w:r>
      <w:r>
        <w:rPr>
          <w:rFonts w:asciiTheme="majorHAnsi" w:hAnsiTheme="majorHAnsi" w:cs="Arial"/>
          <w:sz w:val="22"/>
          <w:szCs w:val="22"/>
        </w:rPr>
        <w:t>The top 20 strongest correlations</w:t>
      </w:r>
      <w:r w:rsidRPr="007756FC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and top 20 strongest</w:t>
      </w:r>
      <w:r w:rsidRPr="007756FC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anti-correlations between drug sensi</w:t>
      </w:r>
      <w:r w:rsidRPr="000E5000">
        <w:rPr>
          <w:rFonts w:asciiTheme="majorHAnsi" w:hAnsiTheme="majorHAnsi" w:cs="Arial"/>
          <w:sz w:val="22"/>
          <w:szCs w:val="22"/>
        </w:rPr>
        <w:t>tivity and gene expression for the GDSC and CTRP datasets.</w:t>
      </w:r>
      <w:r w:rsidRPr="000E5000">
        <w:t xml:space="preserve"> </w:t>
      </w:r>
    </w:p>
    <w:p w14:paraId="424362C3" w14:textId="77777777" w:rsidR="002F18FF" w:rsidRPr="000E5000" w:rsidRDefault="002F18FF" w:rsidP="002F18FF">
      <w:pPr>
        <w:jc w:val="both"/>
      </w:pPr>
    </w:p>
    <w:p w14:paraId="2E30BA3E" w14:textId="77777777" w:rsidR="002F18FF" w:rsidRDefault="002F18FF" w:rsidP="002F18FF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0E5000">
        <w:rPr>
          <w:rFonts w:asciiTheme="majorHAnsi" w:hAnsiTheme="majorHAnsi" w:cs="Arial"/>
          <w:b/>
          <w:sz w:val="22"/>
          <w:szCs w:val="22"/>
        </w:rPr>
        <w:t xml:space="preserve">Supplementary Table 9:  </w:t>
      </w:r>
      <w:r w:rsidRPr="000E5000">
        <w:rPr>
          <w:rFonts w:asciiTheme="majorHAnsi" w:hAnsiTheme="majorHAnsi" w:cs="Arial"/>
          <w:sz w:val="22"/>
          <w:szCs w:val="22"/>
        </w:rPr>
        <w:t>Drug-target pairs that are significantly correlated in cell lines derived from a cancer subtype but not significantly correlated in the pan-cancer analysis.</w:t>
      </w:r>
    </w:p>
    <w:p w14:paraId="1E65A97A" w14:textId="77777777" w:rsidR="002F18FF" w:rsidRDefault="002F18FF" w:rsidP="002F18FF"/>
    <w:p w14:paraId="3D2375B4" w14:textId="77777777" w:rsidR="002F18FF" w:rsidRDefault="002F18FF" w:rsidP="002F18FF">
      <w:pPr>
        <w:rPr>
          <w:rFonts w:asciiTheme="majorHAnsi" w:hAnsiTheme="majorHAnsi" w:cs="Arial"/>
          <w:b/>
          <w:sz w:val="22"/>
          <w:szCs w:val="22"/>
        </w:rPr>
      </w:pPr>
      <w:r>
        <w:br w:type="page"/>
      </w:r>
    </w:p>
    <w:p w14:paraId="68555952" w14:textId="6ADFD52B" w:rsidR="003E19E7" w:rsidRDefault="003E19E7">
      <w:pPr>
        <w:jc w:val="both"/>
      </w:pPr>
    </w:p>
    <w:sectPr w:rsidR="003E19E7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szAyMrEAMs3NLZR0lIJTi4sz8/NACoxrASAXY3o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E19E7"/>
    <w:rsid w:val="000020A4"/>
    <w:rsid w:val="0001143F"/>
    <w:rsid w:val="00011B01"/>
    <w:rsid w:val="0001386B"/>
    <w:rsid w:val="00022DA9"/>
    <w:rsid w:val="000243EE"/>
    <w:rsid w:val="0003201A"/>
    <w:rsid w:val="00032588"/>
    <w:rsid w:val="000329FD"/>
    <w:rsid w:val="00045661"/>
    <w:rsid w:val="00061A48"/>
    <w:rsid w:val="00064827"/>
    <w:rsid w:val="00066C69"/>
    <w:rsid w:val="00067ED8"/>
    <w:rsid w:val="00082D74"/>
    <w:rsid w:val="00085EF6"/>
    <w:rsid w:val="00090EEC"/>
    <w:rsid w:val="00094FBA"/>
    <w:rsid w:val="000956CC"/>
    <w:rsid w:val="00095F22"/>
    <w:rsid w:val="00096BE1"/>
    <w:rsid w:val="000A13C0"/>
    <w:rsid w:val="000A1BA8"/>
    <w:rsid w:val="000A1E7A"/>
    <w:rsid w:val="000A2406"/>
    <w:rsid w:val="000A2684"/>
    <w:rsid w:val="000A6B6C"/>
    <w:rsid w:val="000B07A1"/>
    <w:rsid w:val="000B2501"/>
    <w:rsid w:val="000D1CE0"/>
    <w:rsid w:val="000D1D86"/>
    <w:rsid w:val="000D5569"/>
    <w:rsid w:val="000E0637"/>
    <w:rsid w:val="000E35EB"/>
    <w:rsid w:val="000E3B0F"/>
    <w:rsid w:val="000E5000"/>
    <w:rsid w:val="000E70F0"/>
    <w:rsid w:val="000E7285"/>
    <w:rsid w:val="000F0EF4"/>
    <w:rsid w:val="000F1945"/>
    <w:rsid w:val="000F4F1B"/>
    <w:rsid w:val="000F6AD7"/>
    <w:rsid w:val="00104631"/>
    <w:rsid w:val="001058E4"/>
    <w:rsid w:val="00117645"/>
    <w:rsid w:val="001223D6"/>
    <w:rsid w:val="0012622D"/>
    <w:rsid w:val="0012676B"/>
    <w:rsid w:val="00134232"/>
    <w:rsid w:val="00140A72"/>
    <w:rsid w:val="00142C81"/>
    <w:rsid w:val="00143886"/>
    <w:rsid w:val="0014417D"/>
    <w:rsid w:val="001454D3"/>
    <w:rsid w:val="00146B90"/>
    <w:rsid w:val="00151B6B"/>
    <w:rsid w:val="00152CA7"/>
    <w:rsid w:val="0015341F"/>
    <w:rsid w:val="00155C5F"/>
    <w:rsid w:val="0015749D"/>
    <w:rsid w:val="00165B45"/>
    <w:rsid w:val="00173156"/>
    <w:rsid w:val="00177835"/>
    <w:rsid w:val="00180AE4"/>
    <w:rsid w:val="00187C19"/>
    <w:rsid w:val="001A56A1"/>
    <w:rsid w:val="001A62EE"/>
    <w:rsid w:val="001A7B2C"/>
    <w:rsid w:val="001B0160"/>
    <w:rsid w:val="001B2EBF"/>
    <w:rsid w:val="001B33A2"/>
    <w:rsid w:val="001B7BF9"/>
    <w:rsid w:val="001C166D"/>
    <w:rsid w:val="001C4E76"/>
    <w:rsid w:val="001C650E"/>
    <w:rsid w:val="001E490B"/>
    <w:rsid w:val="001E4A4C"/>
    <w:rsid w:val="001F2E8A"/>
    <w:rsid w:val="001F3EA5"/>
    <w:rsid w:val="001F6889"/>
    <w:rsid w:val="002144B2"/>
    <w:rsid w:val="0021473E"/>
    <w:rsid w:val="00221BC5"/>
    <w:rsid w:val="00224310"/>
    <w:rsid w:val="002252EB"/>
    <w:rsid w:val="00230BF6"/>
    <w:rsid w:val="00235EB3"/>
    <w:rsid w:val="002626A7"/>
    <w:rsid w:val="002633FF"/>
    <w:rsid w:val="002774A5"/>
    <w:rsid w:val="00277B32"/>
    <w:rsid w:val="00277D49"/>
    <w:rsid w:val="00280025"/>
    <w:rsid w:val="002851CE"/>
    <w:rsid w:val="00286DFF"/>
    <w:rsid w:val="00291332"/>
    <w:rsid w:val="00294E99"/>
    <w:rsid w:val="00297161"/>
    <w:rsid w:val="002B0E17"/>
    <w:rsid w:val="002B459D"/>
    <w:rsid w:val="002B73F1"/>
    <w:rsid w:val="002C535E"/>
    <w:rsid w:val="002D3BF3"/>
    <w:rsid w:val="002D6A22"/>
    <w:rsid w:val="002E7ACB"/>
    <w:rsid w:val="002F1878"/>
    <w:rsid w:val="002F18FF"/>
    <w:rsid w:val="002F3D2B"/>
    <w:rsid w:val="002F4D08"/>
    <w:rsid w:val="002F5B18"/>
    <w:rsid w:val="0030265D"/>
    <w:rsid w:val="00302788"/>
    <w:rsid w:val="00304B34"/>
    <w:rsid w:val="00305C9E"/>
    <w:rsid w:val="0031235C"/>
    <w:rsid w:val="00316E01"/>
    <w:rsid w:val="00321149"/>
    <w:rsid w:val="003214F0"/>
    <w:rsid w:val="00322AF1"/>
    <w:rsid w:val="00324876"/>
    <w:rsid w:val="00325A52"/>
    <w:rsid w:val="00326F33"/>
    <w:rsid w:val="00327E10"/>
    <w:rsid w:val="003302E6"/>
    <w:rsid w:val="00334D07"/>
    <w:rsid w:val="003351E1"/>
    <w:rsid w:val="0034124E"/>
    <w:rsid w:val="00344A47"/>
    <w:rsid w:val="003452EF"/>
    <w:rsid w:val="00346107"/>
    <w:rsid w:val="00347BC5"/>
    <w:rsid w:val="00350730"/>
    <w:rsid w:val="003517E5"/>
    <w:rsid w:val="003540EC"/>
    <w:rsid w:val="003549D8"/>
    <w:rsid w:val="00357B83"/>
    <w:rsid w:val="003628D8"/>
    <w:rsid w:val="003643F4"/>
    <w:rsid w:val="0036484D"/>
    <w:rsid w:val="00367455"/>
    <w:rsid w:val="00370C3B"/>
    <w:rsid w:val="003752A5"/>
    <w:rsid w:val="00376262"/>
    <w:rsid w:val="0038108F"/>
    <w:rsid w:val="0039161B"/>
    <w:rsid w:val="0039641A"/>
    <w:rsid w:val="003A4ED2"/>
    <w:rsid w:val="003A5ABA"/>
    <w:rsid w:val="003B2488"/>
    <w:rsid w:val="003B4DBE"/>
    <w:rsid w:val="003B5853"/>
    <w:rsid w:val="003C01D6"/>
    <w:rsid w:val="003C3F29"/>
    <w:rsid w:val="003C4418"/>
    <w:rsid w:val="003D15DC"/>
    <w:rsid w:val="003D3F95"/>
    <w:rsid w:val="003E19E7"/>
    <w:rsid w:val="003E356D"/>
    <w:rsid w:val="003E3B01"/>
    <w:rsid w:val="003E3B7A"/>
    <w:rsid w:val="003E58D1"/>
    <w:rsid w:val="003E5B18"/>
    <w:rsid w:val="00404983"/>
    <w:rsid w:val="004059E0"/>
    <w:rsid w:val="00411503"/>
    <w:rsid w:val="004210AE"/>
    <w:rsid w:val="00423E9B"/>
    <w:rsid w:val="00424894"/>
    <w:rsid w:val="00430029"/>
    <w:rsid w:val="0043045C"/>
    <w:rsid w:val="00437DE3"/>
    <w:rsid w:val="0045014C"/>
    <w:rsid w:val="004704B1"/>
    <w:rsid w:val="00472489"/>
    <w:rsid w:val="0047250F"/>
    <w:rsid w:val="0047463A"/>
    <w:rsid w:val="00492D47"/>
    <w:rsid w:val="004A092B"/>
    <w:rsid w:val="004A369D"/>
    <w:rsid w:val="004A6688"/>
    <w:rsid w:val="004B4739"/>
    <w:rsid w:val="004D2B24"/>
    <w:rsid w:val="004D54F2"/>
    <w:rsid w:val="004D5CCF"/>
    <w:rsid w:val="004E1BE8"/>
    <w:rsid w:val="004E5B64"/>
    <w:rsid w:val="004E5EBA"/>
    <w:rsid w:val="004F04C6"/>
    <w:rsid w:val="004F17B6"/>
    <w:rsid w:val="004F2691"/>
    <w:rsid w:val="004F5DD9"/>
    <w:rsid w:val="004F630B"/>
    <w:rsid w:val="004F72A5"/>
    <w:rsid w:val="0050308D"/>
    <w:rsid w:val="00510B79"/>
    <w:rsid w:val="005145CB"/>
    <w:rsid w:val="00515C0B"/>
    <w:rsid w:val="005166AF"/>
    <w:rsid w:val="00520F69"/>
    <w:rsid w:val="00526FE4"/>
    <w:rsid w:val="0052752A"/>
    <w:rsid w:val="00527B22"/>
    <w:rsid w:val="00533463"/>
    <w:rsid w:val="00534DDD"/>
    <w:rsid w:val="005462DB"/>
    <w:rsid w:val="00546A81"/>
    <w:rsid w:val="00552FDA"/>
    <w:rsid w:val="005633F9"/>
    <w:rsid w:val="00564871"/>
    <w:rsid w:val="00565BD1"/>
    <w:rsid w:val="00566EC3"/>
    <w:rsid w:val="0057010A"/>
    <w:rsid w:val="00570AAF"/>
    <w:rsid w:val="005732AC"/>
    <w:rsid w:val="005756E3"/>
    <w:rsid w:val="005772FB"/>
    <w:rsid w:val="00577EAD"/>
    <w:rsid w:val="00582610"/>
    <w:rsid w:val="00583B8F"/>
    <w:rsid w:val="005840D9"/>
    <w:rsid w:val="00584827"/>
    <w:rsid w:val="00586F40"/>
    <w:rsid w:val="00591486"/>
    <w:rsid w:val="00594EAE"/>
    <w:rsid w:val="005A0B38"/>
    <w:rsid w:val="005A682F"/>
    <w:rsid w:val="005B147F"/>
    <w:rsid w:val="005B682A"/>
    <w:rsid w:val="005C6232"/>
    <w:rsid w:val="005C7452"/>
    <w:rsid w:val="005D2736"/>
    <w:rsid w:val="005E3E30"/>
    <w:rsid w:val="005F0C8E"/>
    <w:rsid w:val="00604421"/>
    <w:rsid w:val="006046C6"/>
    <w:rsid w:val="00607884"/>
    <w:rsid w:val="006130E3"/>
    <w:rsid w:val="00616081"/>
    <w:rsid w:val="006167E8"/>
    <w:rsid w:val="00630D9A"/>
    <w:rsid w:val="00631853"/>
    <w:rsid w:val="0063675B"/>
    <w:rsid w:val="00637ED8"/>
    <w:rsid w:val="006435EF"/>
    <w:rsid w:val="0065419C"/>
    <w:rsid w:val="00654531"/>
    <w:rsid w:val="0065666C"/>
    <w:rsid w:val="0065675F"/>
    <w:rsid w:val="006605C7"/>
    <w:rsid w:val="006614A4"/>
    <w:rsid w:val="006640FC"/>
    <w:rsid w:val="00665821"/>
    <w:rsid w:val="00666E44"/>
    <w:rsid w:val="0068694B"/>
    <w:rsid w:val="006902EE"/>
    <w:rsid w:val="00694FD2"/>
    <w:rsid w:val="006A0108"/>
    <w:rsid w:val="006A0DCD"/>
    <w:rsid w:val="006A4CC2"/>
    <w:rsid w:val="006A7ED0"/>
    <w:rsid w:val="006B0B15"/>
    <w:rsid w:val="006B50CD"/>
    <w:rsid w:val="006C232B"/>
    <w:rsid w:val="006C3D94"/>
    <w:rsid w:val="006C5CE1"/>
    <w:rsid w:val="006D23D0"/>
    <w:rsid w:val="006D35CC"/>
    <w:rsid w:val="006E44FF"/>
    <w:rsid w:val="006E697D"/>
    <w:rsid w:val="006E7945"/>
    <w:rsid w:val="006F0359"/>
    <w:rsid w:val="006F0BDA"/>
    <w:rsid w:val="006F42A1"/>
    <w:rsid w:val="006F48F6"/>
    <w:rsid w:val="006F6FEE"/>
    <w:rsid w:val="007108C4"/>
    <w:rsid w:val="007119F0"/>
    <w:rsid w:val="00715005"/>
    <w:rsid w:val="00715759"/>
    <w:rsid w:val="0071709C"/>
    <w:rsid w:val="00720C23"/>
    <w:rsid w:val="00726021"/>
    <w:rsid w:val="00727827"/>
    <w:rsid w:val="00727843"/>
    <w:rsid w:val="00731CD3"/>
    <w:rsid w:val="00733D4C"/>
    <w:rsid w:val="0074311A"/>
    <w:rsid w:val="007449BF"/>
    <w:rsid w:val="00745EA3"/>
    <w:rsid w:val="00750B89"/>
    <w:rsid w:val="007525BF"/>
    <w:rsid w:val="00756BAF"/>
    <w:rsid w:val="007579E7"/>
    <w:rsid w:val="007602A9"/>
    <w:rsid w:val="00760EA5"/>
    <w:rsid w:val="00761E3C"/>
    <w:rsid w:val="00764E4F"/>
    <w:rsid w:val="00767673"/>
    <w:rsid w:val="0077195F"/>
    <w:rsid w:val="00771F0A"/>
    <w:rsid w:val="007726FD"/>
    <w:rsid w:val="007756FC"/>
    <w:rsid w:val="00777712"/>
    <w:rsid w:val="00780149"/>
    <w:rsid w:val="00780740"/>
    <w:rsid w:val="00782A76"/>
    <w:rsid w:val="00786258"/>
    <w:rsid w:val="00787609"/>
    <w:rsid w:val="00787A69"/>
    <w:rsid w:val="00790313"/>
    <w:rsid w:val="007911FB"/>
    <w:rsid w:val="00793DB8"/>
    <w:rsid w:val="007A5FD2"/>
    <w:rsid w:val="007B5257"/>
    <w:rsid w:val="007C34EE"/>
    <w:rsid w:val="007C6320"/>
    <w:rsid w:val="007D1531"/>
    <w:rsid w:val="007D4200"/>
    <w:rsid w:val="007D59AE"/>
    <w:rsid w:val="007D5EBD"/>
    <w:rsid w:val="007D6DCF"/>
    <w:rsid w:val="007E07AB"/>
    <w:rsid w:val="007E0C3F"/>
    <w:rsid w:val="007E766F"/>
    <w:rsid w:val="007F0DBF"/>
    <w:rsid w:val="007F2BFB"/>
    <w:rsid w:val="007F34A1"/>
    <w:rsid w:val="007F5A5B"/>
    <w:rsid w:val="00802411"/>
    <w:rsid w:val="008029AA"/>
    <w:rsid w:val="00816F24"/>
    <w:rsid w:val="00820D80"/>
    <w:rsid w:val="00824D57"/>
    <w:rsid w:val="00824E43"/>
    <w:rsid w:val="00833685"/>
    <w:rsid w:val="00836637"/>
    <w:rsid w:val="0084212A"/>
    <w:rsid w:val="00847DDB"/>
    <w:rsid w:val="008612CD"/>
    <w:rsid w:val="008630EF"/>
    <w:rsid w:val="00864D28"/>
    <w:rsid w:val="00867369"/>
    <w:rsid w:val="0087078E"/>
    <w:rsid w:val="00876FBA"/>
    <w:rsid w:val="00881A52"/>
    <w:rsid w:val="00884972"/>
    <w:rsid w:val="00887519"/>
    <w:rsid w:val="00891302"/>
    <w:rsid w:val="00893B31"/>
    <w:rsid w:val="0089564A"/>
    <w:rsid w:val="008A3DFE"/>
    <w:rsid w:val="008A6B82"/>
    <w:rsid w:val="008A6E96"/>
    <w:rsid w:val="008B5E08"/>
    <w:rsid w:val="008C3085"/>
    <w:rsid w:val="008C498D"/>
    <w:rsid w:val="008C4D95"/>
    <w:rsid w:val="008C7780"/>
    <w:rsid w:val="008C7C57"/>
    <w:rsid w:val="008D706E"/>
    <w:rsid w:val="008D7FF2"/>
    <w:rsid w:val="008E0B54"/>
    <w:rsid w:val="008E2DA4"/>
    <w:rsid w:val="008E3D70"/>
    <w:rsid w:val="008E5440"/>
    <w:rsid w:val="008F46DA"/>
    <w:rsid w:val="008F6105"/>
    <w:rsid w:val="008F7750"/>
    <w:rsid w:val="008F7A75"/>
    <w:rsid w:val="0090009B"/>
    <w:rsid w:val="00913C34"/>
    <w:rsid w:val="00914286"/>
    <w:rsid w:val="0091627C"/>
    <w:rsid w:val="00916C64"/>
    <w:rsid w:val="0092643B"/>
    <w:rsid w:val="00934EDC"/>
    <w:rsid w:val="00943A49"/>
    <w:rsid w:val="00950321"/>
    <w:rsid w:val="0095041A"/>
    <w:rsid w:val="00953835"/>
    <w:rsid w:val="009641D4"/>
    <w:rsid w:val="00964740"/>
    <w:rsid w:val="00964E9E"/>
    <w:rsid w:val="009726A1"/>
    <w:rsid w:val="00981653"/>
    <w:rsid w:val="00983367"/>
    <w:rsid w:val="0098601B"/>
    <w:rsid w:val="00986F51"/>
    <w:rsid w:val="009903F6"/>
    <w:rsid w:val="00992105"/>
    <w:rsid w:val="009946C9"/>
    <w:rsid w:val="009A7FF5"/>
    <w:rsid w:val="009C01EB"/>
    <w:rsid w:val="009C29C3"/>
    <w:rsid w:val="009C4368"/>
    <w:rsid w:val="009D3790"/>
    <w:rsid w:val="009E3232"/>
    <w:rsid w:val="009E374A"/>
    <w:rsid w:val="009E5905"/>
    <w:rsid w:val="009E595A"/>
    <w:rsid w:val="009F2C00"/>
    <w:rsid w:val="009F2EFC"/>
    <w:rsid w:val="00A0116B"/>
    <w:rsid w:val="00A1022A"/>
    <w:rsid w:val="00A16DB8"/>
    <w:rsid w:val="00A21A08"/>
    <w:rsid w:val="00A23463"/>
    <w:rsid w:val="00A238B6"/>
    <w:rsid w:val="00A27312"/>
    <w:rsid w:val="00A27BF5"/>
    <w:rsid w:val="00A4450E"/>
    <w:rsid w:val="00A452FF"/>
    <w:rsid w:val="00A54590"/>
    <w:rsid w:val="00A56C2C"/>
    <w:rsid w:val="00A60C99"/>
    <w:rsid w:val="00A704D2"/>
    <w:rsid w:val="00A749C7"/>
    <w:rsid w:val="00A76B55"/>
    <w:rsid w:val="00A84CB0"/>
    <w:rsid w:val="00A85B4D"/>
    <w:rsid w:val="00A86C20"/>
    <w:rsid w:val="00A9393F"/>
    <w:rsid w:val="00A94523"/>
    <w:rsid w:val="00A96AA1"/>
    <w:rsid w:val="00AA1E4F"/>
    <w:rsid w:val="00AA37DD"/>
    <w:rsid w:val="00AA5E24"/>
    <w:rsid w:val="00AA7A9D"/>
    <w:rsid w:val="00AB095A"/>
    <w:rsid w:val="00AB3493"/>
    <w:rsid w:val="00AC6B31"/>
    <w:rsid w:val="00AD1EF7"/>
    <w:rsid w:val="00AD3423"/>
    <w:rsid w:val="00AD434E"/>
    <w:rsid w:val="00AD48A4"/>
    <w:rsid w:val="00AD66C3"/>
    <w:rsid w:val="00AD6FB9"/>
    <w:rsid w:val="00AE4B7C"/>
    <w:rsid w:val="00AE5578"/>
    <w:rsid w:val="00AE5FF6"/>
    <w:rsid w:val="00AF117D"/>
    <w:rsid w:val="00AF2D76"/>
    <w:rsid w:val="00AF3430"/>
    <w:rsid w:val="00AF53EC"/>
    <w:rsid w:val="00AF564B"/>
    <w:rsid w:val="00AF59A9"/>
    <w:rsid w:val="00B050D8"/>
    <w:rsid w:val="00B06482"/>
    <w:rsid w:val="00B20709"/>
    <w:rsid w:val="00B20E64"/>
    <w:rsid w:val="00B24A1F"/>
    <w:rsid w:val="00B258C9"/>
    <w:rsid w:val="00B316F5"/>
    <w:rsid w:val="00B3198D"/>
    <w:rsid w:val="00B332AA"/>
    <w:rsid w:val="00B3501C"/>
    <w:rsid w:val="00B414A0"/>
    <w:rsid w:val="00B443A8"/>
    <w:rsid w:val="00B5025C"/>
    <w:rsid w:val="00B55F73"/>
    <w:rsid w:val="00B56AA6"/>
    <w:rsid w:val="00B60F29"/>
    <w:rsid w:val="00B611FA"/>
    <w:rsid w:val="00B70344"/>
    <w:rsid w:val="00B728B4"/>
    <w:rsid w:val="00B728D3"/>
    <w:rsid w:val="00B73FB5"/>
    <w:rsid w:val="00B827B8"/>
    <w:rsid w:val="00B92193"/>
    <w:rsid w:val="00B93CCD"/>
    <w:rsid w:val="00B95F38"/>
    <w:rsid w:val="00BA5475"/>
    <w:rsid w:val="00BB37C6"/>
    <w:rsid w:val="00BB447F"/>
    <w:rsid w:val="00BC5776"/>
    <w:rsid w:val="00BD2242"/>
    <w:rsid w:val="00BD3850"/>
    <w:rsid w:val="00BD6DE2"/>
    <w:rsid w:val="00C0146E"/>
    <w:rsid w:val="00C01A78"/>
    <w:rsid w:val="00C0376E"/>
    <w:rsid w:val="00C04E8E"/>
    <w:rsid w:val="00C10F85"/>
    <w:rsid w:val="00C12FB5"/>
    <w:rsid w:val="00C16544"/>
    <w:rsid w:val="00C16651"/>
    <w:rsid w:val="00C205A2"/>
    <w:rsid w:val="00C20B59"/>
    <w:rsid w:val="00C21420"/>
    <w:rsid w:val="00C30C43"/>
    <w:rsid w:val="00C3512B"/>
    <w:rsid w:val="00C41C3A"/>
    <w:rsid w:val="00C42765"/>
    <w:rsid w:val="00C44F04"/>
    <w:rsid w:val="00C5012B"/>
    <w:rsid w:val="00C534CE"/>
    <w:rsid w:val="00C537D3"/>
    <w:rsid w:val="00C53F58"/>
    <w:rsid w:val="00C60E6C"/>
    <w:rsid w:val="00C63256"/>
    <w:rsid w:val="00C635A8"/>
    <w:rsid w:val="00C72C64"/>
    <w:rsid w:val="00C7755B"/>
    <w:rsid w:val="00C77C37"/>
    <w:rsid w:val="00C8294F"/>
    <w:rsid w:val="00C85B1A"/>
    <w:rsid w:val="00C96A81"/>
    <w:rsid w:val="00CA0310"/>
    <w:rsid w:val="00CA0D27"/>
    <w:rsid w:val="00CA4B6B"/>
    <w:rsid w:val="00CA6FA0"/>
    <w:rsid w:val="00CB4A29"/>
    <w:rsid w:val="00CB542D"/>
    <w:rsid w:val="00CC0D6C"/>
    <w:rsid w:val="00CC4862"/>
    <w:rsid w:val="00CD796A"/>
    <w:rsid w:val="00CE1858"/>
    <w:rsid w:val="00CE1884"/>
    <w:rsid w:val="00CE3802"/>
    <w:rsid w:val="00CE4655"/>
    <w:rsid w:val="00CF1591"/>
    <w:rsid w:val="00CF5C2E"/>
    <w:rsid w:val="00CF6E21"/>
    <w:rsid w:val="00CF761E"/>
    <w:rsid w:val="00D01502"/>
    <w:rsid w:val="00D01CB7"/>
    <w:rsid w:val="00D03F63"/>
    <w:rsid w:val="00D06E9F"/>
    <w:rsid w:val="00D12321"/>
    <w:rsid w:val="00D2652E"/>
    <w:rsid w:val="00D26FB0"/>
    <w:rsid w:val="00D272C4"/>
    <w:rsid w:val="00D30213"/>
    <w:rsid w:val="00D33AF1"/>
    <w:rsid w:val="00D34226"/>
    <w:rsid w:val="00D356CD"/>
    <w:rsid w:val="00D73A3D"/>
    <w:rsid w:val="00D74292"/>
    <w:rsid w:val="00D758B5"/>
    <w:rsid w:val="00D75B3F"/>
    <w:rsid w:val="00D76B21"/>
    <w:rsid w:val="00D876D0"/>
    <w:rsid w:val="00D87708"/>
    <w:rsid w:val="00D90BFF"/>
    <w:rsid w:val="00D914AE"/>
    <w:rsid w:val="00D93843"/>
    <w:rsid w:val="00D93B23"/>
    <w:rsid w:val="00D965EC"/>
    <w:rsid w:val="00DA08E0"/>
    <w:rsid w:val="00DA4FCD"/>
    <w:rsid w:val="00DB1DFF"/>
    <w:rsid w:val="00DB2C3C"/>
    <w:rsid w:val="00DC0573"/>
    <w:rsid w:val="00DC1FE7"/>
    <w:rsid w:val="00DC27D0"/>
    <w:rsid w:val="00DD06AA"/>
    <w:rsid w:val="00DD08F3"/>
    <w:rsid w:val="00DD2E32"/>
    <w:rsid w:val="00DD64D1"/>
    <w:rsid w:val="00DE468C"/>
    <w:rsid w:val="00DE48DD"/>
    <w:rsid w:val="00DF0F1C"/>
    <w:rsid w:val="00DF7F61"/>
    <w:rsid w:val="00E02BF1"/>
    <w:rsid w:val="00E04E61"/>
    <w:rsid w:val="00E05C92"/>
    <w:rsid w:val="00E06965"/>
    <w:rsid w:val="00E11201"/>
    <w:rsid w:val="00E147BB"/>
    <w:rsid w:val="00E16400"/>
    <w:rsid w:val="00E168BE"/>
    <w:rsid w:val="00E20F82"/>
    <w:rsid w:val="00E27558"/>
    <w:rsid w:val="00E30153"/>
    <w:rsid w:val="00E331FF"/>
    <w:rsid w:val="00E458DE"/>
    <w:rsid w:val="00E63002"/>
    <w:rsid w:val="00E67963"/>
    <w:rsid w:val="00E714AB"/>
    <w:rsid w:val="00E73B5B"/>
    <w:rsid w:val="00E74EEB"/>
    <w:rsid w:val="00E75AC3"/>
    <w:rsid w:val="00E81200"/>
    <w:rsid w:val="00E8567D"/>
    <w:rsid w:val="00E90089"/>
    <w:rsid w:val="00E90B21"/>
    <w:rsid w:val="00E93275"/>
    <w:rsid w:val="00E939B2"/>
    <w:rsid w:val="00E93AB2"/>
    <w:rsid w:val="00E93C03"/>
    <w:rsid w:val="00E94F40"/>
    <w:rsid w:val="00EA0D34"/>
    <w:rsid w:val="00EA15B0"/>
    <w:rsid w:val="00EA299C"/>
    <w:rsid w:val="00EB2FD2"/>
    <w:rsid w:val="00EB3507"/>
    <w:rsid w:val="00EB7E96"/>
    <w:rsid w:val="00EC131B"/>
    <w:rsid w:val="00EC537D"/>
    <w:rsid w:val="00ED2947"/>
    <w:rsid w:val="00ED37BC"/>
    <w:rsid w:val="00ED3AB1"/>
    <w:rsid w:val="00ED49C3"/>
    <w:rsid w:val="00ED79C0"/>
    <w:rsid w:val="00EE47E0"/>
    <w:rsid w:val="00F00B02"/>
    <w:rsid w:val="00F0161C"/>
    <w:rsid w:val="00F02D4E"/>
    <w:rsid w:val="00F0376B"/>
    <w:rsid w:val="00F13AF6"/>
    <w:rsid w:val="00F2036E"/>
    <w:rsid w:val="00F239AA"/>
    <w:rsid w:val="00F31A7B"/>
    <w:rsid w:val="00F340B8"/>
    <w:rsid w:val="00F3508A"/>
    <w:rsid w:val="00F438D4"/>
    <w:rsid w:val="00F46D41"/>
    <w:rsid w:val="00F47C43"/>
    <w:rsid w:val="00F47CFF"/>
    <w:rsid w:val="00F52FC5"/>
    <w:rsid w:val="00F56873"/>
    <w:rsid w:val="00F60E83"/>
    <w:rsid w:val="00F6759D"/>
    <w:rsid w:val="00F7146D"/>
    <w:rsid w:val="00F85BED"/>
    <w:rsid w:val="00F868AC"/>
    <w:rsid w:val="00F87708"/>
    <w:rsid w:val="00F94CB3"/>
    <w:rsid w:val="00F97530"/>
    <w:rsid w:val="00F9797B"/>
    <w:rsid w:val="00FA09C3"/>
    <w:rsid w:val="00FA5212"/>
    <w:rsid w:val="00FB7581"/>
    <w:rsid w:val="00FD5828"/>
    <w:rsid w:val="00FD6A0F"/>
    <w:rsid w:val="00FD7209"/>
    <w:rsid w:val="00FD7A04"/>
    <w:rsid w:val="00FD7D42"/>
    <w:rsid w:val="00FD7E70"/>
    <w:rsid w:val="00FE0305"/>
    <w:rsid w:val="00FE4D76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4E548"/>
  <w15:docId w15:val="{4003CBB6-0943-4825-A5B8-3FA446E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757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qFormat/>
    <w:rsid w:val="003B7574"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B7574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qFormat/>
    <w:rsid w:val="003B7574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B7574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qFormat/>
    <w:rsid w:val="003B7574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7574"/>
  </w:style>
  <w:style w:type="character" w:customStyle="1" w:styleId="FooterChar">
    <w:name w:val="Footer Char"/>
    <w:basedOn w:val="DefaultParagraphFont"/>
    <w:link w:val="Footer"/>
    <w:uiPriority w:val="99"/>
    <w:qFormat/>
    <w:rsid w:val="003B7574"/>
  </w:style>
  <w:style w:type="character" w:customStyle="1" w:styleId="InternetLink">
    <w:name w:val="Internet Link"/>
    <w:basedOn w:val="DefaultParagraphFont"/>
    <w:uiPriority w:val="99"/>
    <w:unhideWhenUsed/>
    <w:rsid w:val="003B7574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3B7574"/>
    <w:rPr>
      <w:rFonts w:eastAsiaTheme="minorHAnsi"/>
      <w:sz w:val="22"/>
      <w:szCs w:val="22"/>
    </w:rPr>
  </w:style>
  <w:style w:type="character" w:customStyle="1" w:styleId="indented-counter">
    <w:name w:val="indented-counter"/>
    <w:basedOn w:val="DefaultParagraphFont"/>
    <w:qFormat/>
    <w:rsid w:val="00D67867"/>
  </w:style>
  <w:style w:type="character" w:customStyle="1" w:styleId="italic">
    <w:name w:val="italic"/>
    <w:basedOn w:val="DefaultParagraphFont"/>
    <w:qFormat/>
    <w:rsid w:val="001F1A2B"/>
  </w:style>
  <w:style w:type="character" w:customStyle="1" w:styleId="supref">
    <w:name w:val="sup_ref"/>
    <w:basedOn w:val="DefaultParagraphFont"/>
    <w:qFormat/>
    <w:rsid w:val="001F1A2B"/>
  </w:style>
  <w:style w:type="character" w:styleId="CommentReference">
    <w:name w:val="annotation reference"/>
    <w:basedOn w:val="DefaultParagraphFont"/>
    <w:uiPriority w:val="99"/>
    <w:semiHidden/>
    <w:unhideWhenUsed/>
    <w:qFormat/>
    <w:rsid w:val="00EB1FC6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004F8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36DA4"/>
    <w:rPr>
      <w:color w:val="800080" w:themeColor="followedHyperlink"/>
      <w:u w:val="single"/>
    </w:rPr>
  </w:style>
  <w:style w:type="character" w:customStyle="1" w:styleId="stix">
    <w:name w:val="stix"/>
    <w:basedOn w:val="DefaultParagraphFont"/>
    <w:qFormat/>
    <w:rsid w:val="00840CC0"/>
  </w:style>
  <w:style w:type="character" w:customStyle="1" w:styleId="ListLabel1">
    <w:name w:val="ListLabel 1"/>
    <w:qFormat/>
    <w:rPr>
      <w:rFonts w:asciiTheme="majorHAnsi" w:hAnsiTheme="majorHAnsi" w:cs="Arial"/>
      <w:sz w:val="22"/>
      <w:szCs w:val="22"/>
    </w:rPr>
  </w:style>
  <w:style w:type="character" w:customStyle="1" w:styleId="ListLabel2">
    <w:name w:val="ListLabel 2"/>
    <w:qFormat/>
    <w:rPr>
      <w:rFonts w:asciiTheme="majorHAnsi" w:eastAsia="Times New Roman" w:hAnsiTheme="majorHAnsi" w:cs="Times New Roman"/>
      <w:sz w:val="22"/>
      <w:szCs w:val="22"/>
      <w:shd w:val="clear" w:color="auto" w:fill="FFFFFF"/>
    </w:rPr>
  </w:style>
  <w:style w:type="character" w:customStyle="1" w:styleId="ListLabel3">
    <w:name w:val="ListLabel 3"/>
    <w:qFormat/>
    <w:rPr>
      <w:rFonts w:asciiTheme="majorHAnsi" w:hAnsiTheme="majorHAnsi" w:cs="Arial"/>
      <w:color w:val="1155CC"/>
      <w:sz w:val="22"/>
      <w:szCs w:val="22"/>
      <w:u w:val="single"/>
    </w:rPr>
  </w:style>
  <w:style w:type="character" w:customStyle="1" w:styleId="ListLabel4">
    <w:name w:val="ListLabel 4"/>
    <w:qFormat/>
    <w:rPr>
      <w:rFonts w:asciiTheme="majorHAnsi" w:hAnsiTheme="majorHAnsi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7574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B7574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B75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75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3B757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B7574"/>
    <w:rPr>
      <w:rFonts w:ascii="Cambria" w:eastAsia="MS Mincho" w:hAnsi="Cambria"/>
      <w:color w:val="00000A"/>
    </w:rPr>
  </w:style>
  <w:style w:type="paragraph" w:styleId="ListParagraph">
    <w:name w:val="List Paragraph"/>
    <w:basedOn w:val="Normal"/>
    <w:link w:val="ListParagraphChar"/>
    <w:uiPriority w:val="34"/>
    <w:qFormat/>
    <w:rsid w:val="003B757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ext14">
    <w:name w:val="text14"/>
    <w:basedOn w:val="Normal"/>
    <w:qFormat/>
    <w:rsid w:val="00D67867"/>
    <w:pPr>
      <w:spacing w:beforeAutospacing="1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004F8D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uiPriority w:val="99"/>
    <w:semiHidden/>
    <w:qFormat/>
    <w:rsid w:val="007C5F05"/>
  </w:style>
  <w:style w:type="table" w:styleId="TableGrid">
    <w:name w:val="Table Grid"/>
    <w:basedOn w:val="TableNormal"/>
    <w:uiPriority w:val="59"/>
    <w:rsid w:val="00ED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DA08E0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DA08E0"/>
    <w:pPr>
      <w:jc w:val="both"/>
    </w:pPr>
    <w:rPr>
      <w:rFonts w:ascii="Cambria" w:hAnsi="Cambria"/>
      <w:lang w:val="en-US"/>
    </w:rPr>
  </w:style>
  <w:style w:type="character" w:styleId="Strong">
    <w:name w:val="Strong"/>
    <w:basedOn w:val="DefaultParagraphFont"/>
    <w:uiPriority w:val="22"/>
    <w:qFormat/>
    <w:rsid w:val="00E73B5B"/>
    <w:rPr>
      <w:b/>
      <w:bCs/>
    </w:rPr>
  </w:style>
  <w:style w:type="character" w:styleId="Hyperlink">
    <w:name w:val="Hyperlink"/>
    <w:basedOn w:val="DefaultParagraphFont"/>
    <w:uiPriority w:val="99"/>
    <w:unhideWhenUsed/>
    <w:rsid w:val="00E30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3B08-9A16-4793-B4E1-59CDC216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 Roy</dc:creator>
  <dc:description/>
  <cp:lastModifiedBy>Alistair Forrest</cp:lastModifiedBy>
  <cp:revision>3</cp:revision>
  <cp:lastPrinted>2019-06-20T08:56:00Z</cp:lastPrinted>
  <dcterms:created xsi:type="dcterms:W3CDTF">2019-08-14T02:03:00Z</dcterms:created>
  <dcterms:modified xsi:type="dcterms:W3CDTF">2019-08-14T02:04:00Z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