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2012" w14:textId="0C363355" w:rsidR="009510DB" w:rsidRPr="00806CF4" w:rsidRDefault="002B3627" w:rsidP="001F298B">
      <w:pPr>
        <w:spacing w:line="360" w:lineRule="auto"/>
        <w:jc w:val="both"/>
        <w:rPr>
          <w:rFonts w:ascii="Arial" w:hAnsi="Arial" w:cs="Arial"/>
          <w:b/>
          <w:lang w:eastAsia="en-GB"/>
        </w:rPr>
      </w:pPr>
      <w:r w:rsidRPr="00806CF4">
        <w:rPr>
          <w:rFonts w:ascii="Arial" w:hAnsi="Arial" w:cs="Arial"/>
          <w:b/>
          <w:lang w:eastAsia="en-GB"/>
        </w:rPr>
        <w:t>Supplementary Figures</w:t>
      </w:r>
    </w:p>
    <w:p w14:paraId="77A95ACC" w14:textId="77777777" w:rsidR="00802852" w:rsidRPr="00806CF4" w:rsidRDefault="00802852" w:rsidP="001F298B">
      <w:pPr>
        <w:spacing w:line="360" w:lineRule="auto"/>
        <w:jc w:val="both"/>
        <w:rPr>
          <w:rFonts w:ascii="Arial" w:hAnsi="Arial" w:cs="Arial"/>
        </w:rPr>
      </w:pPr>
    </w:p>
    <w:p w14:paraId="3EAD1B7F" w14:textId="216B5C30" w:rsidR="0054165F" w:rsidRPr="0017246E" w:rsidRDefault="000D34C7" w:rsidP="001F298B">
      <w:pPr>
        <w:spacing w:line="360" w:lineRule="auto"/>
        <w:jc w:val="both"/>
        <w:rPr>
          <w:rFonts w:ascii="Arial" w:hAnsi="Arial" w:cs="Arial"/>
          <w:noProof/>
        </w:rPr>
      </w:pPr>
      <w:r>
        <w:rPr>
          <w:rFonts w:ascii="Arial" w:hAnsi="Arial" w:cs="Arial"/>
          <w:lang w:eastAsia="en-GB"/>
        </w:rPr>
        <w:t xml:space="preserve">Supplementary Figure S1. </w:t>
      </w:r>
      <w:r w:rsidR="00207BA4" w:rsidRPr="00207BA4">
        <w:rPr>
          <w:rFonts w:ascii="Arial" w:hAnsi="Arial" w:cs="Arial"/>
          <w:i/>
          <w:lang w:eastAsia="en-GB"/>
        </w:rPr>
        <w:t>In vitro</w:t>
      </w:r>
      <w:r w:rsidR="00207BA4">
        <w:rPr>
          <w:rFonts w:ascii="Arial" w:hAnsi="Arial" w:cs="Arial"/>
          <w:lang w:eastAsia="en-GB"/>
        </w:rPr>
        <w:t xml:space="preserve"> kinase assays demonstrate selectivity of ICEC0942 for CDK7. </w:t>
      </w:r>
      <w:r w:rsidR="00BD202E" w:rsidRPr="00BD202E">
        <w:rPr>
          <w:rFonts w:ascii="Arial" w:hAnsi="Arial" w:cs="Arial"/>
          <w:i/>
          <w:lang w:eastAsia="en-GB"/>
        </w:rPr>
        <w:t>A</w:t>
      </w:r>
      <w:r w:rsidR="00D60497">
        <w:rPr>
          <w:rFonts w:ascii="Arial" w:hAnsi="Arial" w:cs="Arial"/>
          <w:i/>
          <w:lang w:eastAsia="en-GB"/>
        </w:rPr>
        <w:t>,</w:t>
      </w:r>
      <w:r w:rsidR="00207BA4">
        <w:rPr>
          <w:rFonts w:ascii="Arial" w:hAnsi="Arial" w:cs="Arial"/>
          <w:lang w:eastAsia="en-GB"/>
        </w:rPr>
        <w:t xml:space="preserve"> </w:t>
      </w:r>
      <w:r w:rsidR="00055E90">
        <w:rPr>
          <w:rFonts w:ascii="Arial" w:hAnsi="Arial" w:cs="Arial"/>
          <w:lang w:eastAsia="en-GB"/>
        </w:rPr>
        <w:t>The</w:t>
      </w:r>
      <w:r w:rsidR="00207BA4">
        <w:rPr>
          <w:rFonts w:ascii="Arial" w:hAnsi="Arial" w:cs="Arial"/>
          <w:lang w:eastAsia="en-GB"/>
        </w:rPr>
        <w:t xml:space="preserve"> struc</w:t>
      </w:r>
      <w:r w:rsidR="00093209">
        <w:rPr>
          <w:rFonts w:ascii="Arial" w:hAnsi="Arial" w:cs="Arial"/>
          <w:lang w:eastAsia="en-GB"/>
        </w:rPr>
        <w:t>tures of ICEC0942, BS-181 and BS</w:t>
      </w:r>
      <w:r w:rsidR="00207BA4">
        <w:rPr>
          <w:rFonts w:ascii="Arial" w:hAnsi="Arial" w:cs="Arial"/>
          <w:lang w:eastAsia="en-GB"/>
        </w:rPr>
        <w:t>-194. Mean IC</w:t>
      </w:r>
      <w:r w:rsidR="00207BA4" w:rsidRPr="00207BA4">
        <w:rPr>
          <w:rFonts w:ascii="Arial" w:hAnsi="Arial" w:cs="Arial"/>
          <w:vertAlign w:val="subscript"/>
          <w:lang w:eastAsia="en-GB"/>
        </w:rPr>
        <w:t>50</w:t>
      </w:r>
      <w:r w:rsidR="00207BA4">
        <w:rPr>
          <w:rFonts w:ascii="Arial" w:hAnsi="Arial" w:cs="Arial"/>
          <w:lang w:eastAsia="en-GB"/>
        </w:rPr>
        <w:t xml:space="preserve"> values for three replicate experiments are shown (SD = standard deviation). </w:t>
      </w:r>
      <w:r w:rsidR="00B3405C" w:rsidRPr="00B3405C">
        <w:rPr>
          <w:rFonts w:ascii="Arial" w:hAnsi="Arial" w:cs="Arial"/>
          <w:i/>
          <w:lang w:eastAsia="en-GB"/>
        </w:rPr>
        <w:t>B</w:t>
      </w:r>
      <w:r w:rsidR="00D60497">
        <w:rPr>
          <w:rFonts w:ascii="Arial" w:hAnsi="Arial" w:cs="Arial"/>
          <w:i/>
          <w:lang w:eastAsia="en-GB"/>
        </w:rPr>
        <w:t>,</w:t>
      </w:r>
      <w:r w:rsidR="00BD202E">
        <w:rPr>
          <w:rFonts w:ascii="Arial" w:hAnsi="Arial" w:cs="Arial"/>
          <w:lang w:eastAsia="en-GB"/>
        </w:rPr>
        <w:t xml:space="preserve"> </w:t>
      </w:r>
      <w:r w:rsidR="0054165F" w:rsidRPr="0017246E">
        <w:rPr>
          <w:rFonts w:ascii="Arial" w:eastAsia="Arial" w:hAnsi="Arial" w:cs="Arial"/>
          <w:noProof/>
        </w:rPr>
        <w:t>Screening of a 117 kinase panel with 1</w:t>
      </w:r>
      <w:r w:rsidR="0054165F">
        <w:rPr>
          <w:rFonts w:ascii="Arial" w:eastAsia="Arial" w:hAnsi="Arial" w:cs="Arial"/>
          <w:noProof/>
        </w:rPr>
        <w:t>0</w:t>
      </w:r>
      <w:r w:rsidR="0054165F" w:rsidRPr="0017246E">
        <w:rPr>
          <w:rFonts w:ascii="Arial" w:eastAsia="Arial" w:hAnsi="Arial" w:cs="Arial"/>
          <w:noProof/>
        </w:rPr>
        <w:t xml:space="preserve"> µM ICEC0942 was performed by the International Centre for Kinase Profiling (</w:t>
      </w:r>
      <w:hyperlink r:id="rId7" w:history="1">
        <w:r w:rsidR="0054165F" w:rsidRPr="0017246E">
          <w:rPr>
            <w:rStyle w:val="Hyperlink"/>
            <w:rFonts w:ascii="Arial" w:eastAsia="Arial" w:hAnsi="Arial" w:cs="Arial"/>
            <w:noProof/>
          </w:rPr>
          <w:t>http://www.kinase-screen.mrc.ac.uk/</w:t>
        </w:r>
      </w:hyperlink>
      <w:r w:rsidR="0054165F" w:rsidRPr="0017246E">
        <w:rPr>
          <w:rFonts w:ascii="Arial" w:eastAsia="Arial" w:hAnsi="Arial" w:cs="Arial"/>
          <w:noProof/>
        </w:rPr>
        <w:t xml:space="preserve">). </w:t>
      </w:r>
      <w:r w:rsidR="0054165F">
        <w:rPr>
          <w:rFonts w:ascii="Arial" w:eastAsia="Arial" w:hAnsi="Arial" w:cs="Arial"/>
          <w:noProof/>
        </w:rPr>
        <w:t>Results of duplicate assays are shown, error bars representing standard errors of the mean.</w:t>
      </w:r>
    </w:p>
    <w:p w14:paraId="53A2B1C8" w14:textId="68487493" w:rsidR="00B3405C" w:rsidRPr="00B3405C" w:rsidRDefault="00B3405C" w:rsidP="001F298B">
      <w:pPr>
        <w:spacing w:line="360" w:lineRule="auto"/>
        <w:jc w:val="both"/>
        <w:rPr>
          <w:rFonts w:ascii="Arial" w:hAnsi="Arial" w:cs="Arial"/>
          <w:lang w:eastAsia="en-GB"/>
        </w:rPr>
      </w:pPr>
    </w:p>
    <w:p w14:paraId="7E47CADC" w14:textId="436C0ADD" w:rsidR="00E83F23" w:rsidRDefault="00582FB2" w:rsidP="001F298B">
      <w:pPr>
        <w:spacing w:line="360" w:lineRule="auto"/>
        <w:jc w:val="both"/>
        <w:rPr>
          <w:rFonts w:ascii="Arial" w:hAnsi="Arial" w:cs="Arial"/>
          <w:lang w:eastAsia="en-GB"/>
        </w:rPr>
      </w:pPr>
      <w:r>
        <w:rPr>
          <w:rFonts w:ascii="Arial" w:hAnsi="Arial" w:cs="Arial"/>
          <w:lang w:eastAsia="en-GB"/>
        </w:rPr>
        <w:t>Supplementary Figure S</w:t>
      </w:r>
      <w:r w:rsidR="00030361">
        <w:rPr>
          <w:rFonts w:ascii="Arial" w:hAnsi="Arial" w:cs="Arial"/>
          <w:lang w:eastAsia="en-GB"/>
        </w:rPr>
        <w:t>2</w:t>
      </w:r>
      <w:r>
        <w:rPr>
          <w:rFonts w:ascii="Arial" w:hAnsi="Arial" w:cs="Arial"/>
          <w:lang w:eastAsia="en-GB"/>
        </w:rPr>
        <w:t xml:space="preserve">. Analysis of ICEC0942 treatment of MCF7 cells. </w:t>
      </w:r>
      <w:r w:rsidRPr="00582FB2">
        <w:rPr>
          <w:rFonts w:ascii="Arial" w:hAnsi="Arial" w:cs="Arial"/>
          <w:i/>
          <w:lang w:eastAsia="en-GB"/>
        </w:rPr>
        <w:t>A</w:t>
      </w:r>
      <w:r w:rsidR="00D60497">
        <w:rPr>
          <w:rFonts w:ascii="Arial" w:hAnsi="Arial" w:cs="Arial"/>
          <w:i/>
          <w:lang w:eastAsia="en-GB"/>
        </w:rPr>
        <w:t>,</w:t>
      </w:r>
      <w:r>
        <w:rPr>
          <w:rFonts w:ascii="Arial" w:hAnsi="Arial" w:cs="Arial"/>
          <w:lang w:eastAsia="en-GB"/>
        </w:rPr>
        <w:t xml:space="preserve"> ICEC0942 (1 µM) was added to MCF7 cells in culture. Cell lysates prepared after 24 hours were immunblotted.</w:t>
      </w:r>
      <w:r w:rsidR="004A3359">
        <w:rPr>
          <w:rFonts w:ascii="Arial" w:hAnsi="Arial" w:cs="Arial"/>
          <w:lang w:eastAsia="en-GB"/>
        </w:rPr>
        <w:t xml:space="preserve"> Also, immunoblotted were</w:t>
      </w:r>
      <w:r>
        <w:rPr>
          <w:rFonts w:ascii="Arial" w:hAnsi="Arial" w:cs="Arial"/>
          <w:lang w:eastAsia="en-GB"/>
        </w:rPr>
        <w:t xml:space="preserve"> lysates prepared MCF7 cells treated </w:t>
      </w:r>
      <w:r w:rsidR="00E83F23">
        <w:rPr>
          <w:rFonts w:ascii="Arial" w:hAnsi="Arial" w:cs="Arial"/>
          <w:lang w:eastAsia="en-GB"/>
        </w:rPr>
        <w:t xml:space="preserve">for 24 hours </w:t>
      </w:r>
      <w:r>
        <w:rPr>
          <w:rFonts w:ascii="Arial" w:hAnsi="Arial" w:cs="Arial"/>
          <w:lang w:eastAsia="en-GB"/>
        </w:rPr>
        <w:t xml:space="preserve">with ICEC0942 at the concentrations shown. </w:t>
      </w:r>
      <w:r w:rsidR="00A63976">
        <w:rPr>
          <w:rFonts w:ascii="Arial" w:hAnsi="Arial" w:cs="Arial"/>
          <w:i/>
          <w:lang w:eastAsia="en-GB"/>
        </w:rPr>
        <w:t>B</w:t>
      </w:r>
      <w:r w:rsidR="00A63976">
        <w:rPr>
          <w:rFonts w:ascii="Arial" w:hAnsi="Arial" w:cs="Arial"/>
          <w:lang w:eastAsia="en-GB"/>
        </w:rPr>
        <w:t xml:space="preserve">, Percentage of apoptotic MCF7 cells 24 hours following addition of ICEC0942, determined by Annexin V and propidium iodide staining and flow cytometric analysis. Results of three independent experiments are shown. </w:t>
      </w:r>
      <w:r w:rsidR="00A63976">
        <w:rPr>
          <w:rFonts w:ascii="Arial" w:hAnsi="Arial" w:cs="Arial"/>
          <w:i/>
          <w:lang w:eastAsia="en-GB"/>
        </w:rPr>
        <w:t>C</w:t>
      </w:r>
      <w:r w:rsidR="00D60497">
        <w:rPr>
          <w:rFonts w:ascii="Arial" w:hAnsi="Arial" w:cs="Arial"/>
          <w:i/>
          <w:lang w:eastAsia="en-GB"/>
        </w:rPr>
        <w:t>,</w:t>
      </w:r>
      <w:r>
        <w:rPr>
          <w:rFonts w:ascii="Arial" w:hAnsi="Arial" w:cs="Arial"/>
          <w:lang w:eastAsia="en-GB"/>
        </w:rPr>
        <w:t xml:space="preserve"> </w:t>
      </w:r>
      <w:r w:rsidR="00E83F23">
        <w:rPr>
          <w:rFonts w:ascii="Arial" w:hAnsi="Arial" w:cs="Arial"/>
          <w:lang w:eastAsia="en-GB"/>
        </w:rPr>
        <w:t>FACS analysis of a</w:t>
      </w:r>
      <w:r w:rsidR="00F03C84">
        <w:rPr>
          <w:rFonts w:ascii="Arial" w:hAnsi="Arial" w:cs="Arial"/>
          <w:lang w:eastAsia="en-GB"/>
        </w:rPr>
        <w:t>synchronous cultures of MCF7 cells, 24 hours after addition of ICEC0942</w:t>
      </w:r>
      <w:r w:rsidR="004A3359">
        <w:rPr>
          <w:rFonts w:ascii="Arial" w:hAnsi="Arial" w:cs="Arial"/>
          <w:lang w:eastAsia="en-GB"/>
        </w:rPr>
        <w:t xml:space="preserve"> at the indicated concentrations</w:t>
      </w:r>
      <w:r w:rsidR="00F03C84">
        <w:rPr>
          <w:rFonts w:ascii="Arial" w:hAnsi="Arial" w:cs="Arial"/>
          <w:lang w:eastAsia="en-GB"/>
        </w:rPr>
        <w:t>.</w:t>
      </w:r>
      <w:r w:rsidR="004A3359">
        <w:rPr>
          <w:rFonts w:ascii="Arial" w:hAnsi="Arial" w:cs="Arial"/>
          <w:lang w:eastAsia="en-GB"/>
        </w:rPr>
        <w:t xml:space="preserve"> Tabulated are the percentage of cells in G1, S and G2/M phases determined from flow cytometric analysis of </w:t>
      </w:r>
      <w:r w:rsidR="0021275B">
        <w:rPr>
          <w:rFonts w:ascii="Arial" w:hAnsi="Arial" w:cs="Arial"/>
          <w:lang w:eastAsia="en-GB"/>
        </w:rPr>
        <w:t>four</w:t>
      </w:r>
      <w:r w:rsidR="004A3359">
        <w:rPr>
          <w:rFonts w:ascii="Arial" w:hAnsi="Arial" w:cs="Arial"/>
          <w:lang w:eastAsia="en-GB"/>
        </w:rPr>
        <w:t xml:space="preserve"> independent experiments.</w:t>
      </w:r>
      <w:r w:rsidR="008C192F">
        <w:rPr>
          <w:rFonts w:ascii="Arial" w:hAnsi="Arial" w:cs="Arial"/>
          <w:lang w:eastAsia="en-GB"/>
        </w:rPr>
        <w:t xml:space="preserve"> Pair-wise comparisons </w:t>
      </w:r>
      <w:r w:rsidR="00BF51B5">
        <w:rPr>
          <w:rFonts w:ascii="Arial" w:hAnsi="Arial" w:cs="Arial"/>
          <w:lang w:eastAsia="en-GB"/>
        </w:rPr>
        <w:t xml:space="preserve">of cells in each phase of the cell cycle relative to the vehicle control was performed using the unpaired t-test, </w:t>
      </w:r>
      <w:r w:rsidR="00BF51B5">
        <w:rPr>
          <w:rFonts w:ascii="Arial" w:hAnsi="Arial" w:cs="Arial"/>
          <w:i/>
          <w:lang w:eastAsia="en-GB"/>
        </w:rPr>
        <w:t>p</w:t>
      </w:r>
      <w:r w:rsidR="00BF51B5">
        <w:rPr>
          <w:rFonts w:ascii="Arial" w:hAnsi="Arial" w:cs="Arial"/>
          <w:lang w:eastAsia="en-GB"/>
        </w:rPr>
        <w:t xml:space="preserve">-values are shown. </w:t>
      </w:r>
    </w:p>
    <w:p w14:paraId="28E67D07" w14:textId="77777777" w:rsidR="00E83F23" w:rsidRDefault="00E83F23" w:rsidP="001F298B">
      <w:pPr>
        <w:spacing w:line="360" w:lineRule="auto"/>
        <w:jc w:val="both"/>
        <w:rPr>
          <w:rFonts w:ascii="Arial" w:hAnsi="Arial" w:cs="Arial"/>
          <w:lang w:eastAsia="en-GB"/>
        </w:rPr>
      </w:pPr>
    </w:p>
    <w:p w14:paraId="0D065EDD" w14:textId="7637F5E4" w:rsidR="000D34C7" w:rsidRDefault="00E83F23" w:rsidP="001F298B">
      <w:pPr>
        <w:spacing w:line="360" w:lineRule="auto"/>
        <w:jc w:val="both"/>
        <w:rPr>
          <w:rFonts w:ascii="Arial" w:hAnsi="Arial" w:cs="Arial"/>
          <w:lang w:eastAsia="en-GB"/>
        </w:rPr>
      </w:pPr>
      <w:r>
        <w:rPr>
          <w:rFonts w:ascii="Arial" w:hAnsi="Arial" w:cs="Arial"/>
          <w:lang w:eastAsia="en-GB"/>
        </w:rPr>
        <w:t>Supplementary Figure S</w:t>
      </w:r>
      <w:r w:rsidR="00030361">
        <w:rPr>
          <w:rFonts w:ascii="Arial" w:hAnsi="Arial" w:cs="Arial"/>
          <w:lang w:eastAsia="en-GB"/>
        </w:rPr>
        <w:t>3</w:t>
      </w:r>
      <w:r>
        <w:rPr>
          <w:rFonts w:ascii="Arial" w:hAnsi="Arial" w:cs="Arial"/>
          <w:lang w:eastAsia="en-GB"/>
        </w:rPr>
        <w:t>. Cell Cycle analysis of MCF7 cells treated with ICEC0942.</w:t>
      </w:r>
      <w:r w:rsidR="004A3359">
        <w:rPr>
          <w:rFonts w:ascii="Arial" w:hAnsi="Arial" w:cs="Arial"/>
          <w:lang w:eastAsia="en-GB"/>
        </w:rPr>
        <w:t xml:space="preserve"> </w:t>
      </w:r>
      <w:r>
        <w:rPr>
          <w:rFonts w:ascii="Arial" w:hAnsi="Arial" w:cs="Arial"/>
          <w:i/>
          <w:noProof/>
        </w:rPr>
        <w:t>A</w:t>
      </w:r>
      <w:r w:rsidR="00E32C75">
        <w:rPr>
          <w:rFonts w:ascii="Arial" w:hAnsi="Arial" w:cs="Arial"/>
          <w:noProof/>
        </w:rPr>
        <w:t xml:space="preserve">, MCF7 cells were arrested in G0/G1, S-phase, or in G2/M. </w:t>
      </w:r>
      <w:r w:rsidR="00297DCD" w:rsidRPr="00297DCD">
        <w:rPr>
          <w:rFonts w:ascii="Arial" w:hAnsi="Arial" w:cs="Arial"/>
          <w:i/>
          <w:noProof/>
        </w:rPr>
        <w:t>B</w:t>
      </w:r>
      <w:r w:rsidR="00297DCD">
        <w:rPr>
          <w:rFonts w:ascii="Arial" w:hAnsi="Arial" w:cs="Arial"/>
          <w:noProof/>
        </w:rPr>
        <w:t xml:space="preserve">, </w:t>
      </w:r>
      <w:r w:rsidR="00E32C75">
        <w:rPr>
          <w:rFonts w:ascii="Arial" w:hAnsi="Arial" w:cs="Arial"/>
          <w:noProof/>
        </w:rPr>
        <w:t xml:space="preserve">Cells were released from block </w:t>
      </w:r>
      <w:r w:rsidR="0010194B">
        <w:rPr>
          <w:rFonts w:ascii="Arial" w:hAnsi="Arial" w:cs="Arial"/>
          <w:noProof/>
        </w:rPr>
        <w:t xml:space="preserve">in G1, S-phase or G2/M </w:t>
      </w:r>
      <w:r w:rsidR="00E32C75">
        <w:rPr>
          <w:rFonts w:ascii="Arial" w:hAnsi="Arial" w:cs="Arial"/>
          <w:noProof/>
        </w:rPr>
        <w:t>by washing and replenishment with fresh medium supplemented with ICEC0942. Cells were processed for flow cytometric cell cycle analysis at 0, 4, 8, 12</w:t>
      </w:r>
      <w:r w:rsidR="0010194B">
        <w:rPr>
          <w:rFonts w:ascii="Arial" w:hAnsi="Arial" w:cs="Arial"/>
          <w:noProof/>
        </w:rPr>
        <w:t>,</w:t>
      </w:r>
      <w:r w:rsidR="00E32C75">
        <w:rPr>
          <w:rFonts w:ascii="Arial" w:hAnsi="Arial" w:cs="Arial"/>
          <w:noProof/>
        </w:rPr>
        <w:t xml:space="preserve"> 24 </w:t>
      </w:r>
      <w:r w:rsidR="0010194B">
        <w:rPr>
          <w:rFonts w:ascii="Arial" w:hAnsi="Arial" w:cs="Arial"/>
          <w:noProof/>
        </w:rPr>
        <w:t xml:space="preserve">and 48 </w:t>
      </w:r>
      <w:r w:rsidR="00E32C75">
        <w:rPr>
          <w:rFonts w:ascii="Arial" w:hAnsi="Arial" w:cs="Arial"/>
          <w:noProof/>
        </w:rPr>
        <w:t xml:space="preserve">hours following ICEC0942 addition. Bar charts show the proportion of cells in G1, S and G2/M phases of the cell cycle for each treatment. Cell cycle profiles for asynchronously growing cells are shown for comparison. The “0 hours” samples show the cell cycle distribution of MCF7 cells following treatment to enrich for cells in G1, S and G2/M phases at the point of addition of </w:t>
      </w:r>
      <w:r w:rsidR="00E32C75">
        <w:rPr>
          <w:rFonts w:ascii="Arial" w:hAnsi="Arial" w:cs="Arial"/>
          <w:noProof/>
        </w:rPr>
        <w:lastRenderedPageBreak/>
        <w:t>ICEC0942 to the remaining cell cultures.</w:t>
      </w:r>
      <w:r w:rsidR="00B12864">
        <w:rPr>
          <w:rFonts w:ascii="Arial" w:hAnsi="Arial" w:cs="Arial"/>
          <w:noProof/>
        </w:rPr>
        <w:t xml:space="preserve"> </w:t>
      </w:r>
      <w:r w:rsidR="00A30E96">
        <w:rPr>
          <w:rFonts w:ascii="Arial" w:hAnsi="Arial" w:cs="Arial"/>
          <w:i/>
          <w:noProof/>
        </w:rPr>
        <w:t>C</w:t>
      </w:r>
      <w:r w:rsidR="00297DCD">
        <w:rPr>
          <w:rFonts w:ascii="Arial" w:hAnsi="Arial" w:cs="Arial"/>
          <w:noProof/>
        </w:rPr>
        <w:t>, MCF7 lysates in Supplementar</w:t>
      </w:r>
      <w:r w:rsidR="00B12864">
        <w:rPr>
          <w:rFonts w:ascii="Arial" w:hAnsi="Arial" w:cs="Arial"/>
          <w:noProof/>
        </w:rPr>
        <w:t>y Figure S3A were immunoblotted for CHK2, or CHK2 phosph</w:t>
      </w:r>
      <w:r w:rsidR="00A30E96">
        <w:rPr>
          <w:rFonts w:ascii="Arial" w:hAnsi="Arial" w:cs="Arial"/>
          <w:noProof/>
        </w:rPr>
        <w:t xml:space="preserve">orylation at Thr68 and Ser516. </w:t>
      </w:r>
      <w:r w:rsidR="00A30E96">
        <w:rPr>
          <w:rFonts w:ascii="Arial" w:hAnsi="Arial" w:cs="Arial"/>
          <w:i/>
          <w:noProof/>
        </w:rPr>
        <w:t>D</w:t>
      </w:r>
      <w:r w:rsidR="00A30E96">
        <w:rPr>
          <w:rFonts w:ascii="Arial" w:hAnsi="Arial" w:cs="Arial"/>
          <w:noProof/>
        </w:rPr>
        <w:t>, Cell lysates prepared from MCF7 cells treated for 6 hours with etoposide, which activates CHK2, in the presence or absence of ICEC0942, were immunoblotted as above.</w:t>
      </w:r>
    </w:p>
    <w:p w14:paraId="5512DE57" w14:textId="77777777" w:rsidR="000D34C7" w:rsidRDefault="000D34C7" w:rsidP="001F298B">
      <w:pPr>
        <w:spacing w:line="360" w:lineRule="auto"/>
        <w:jc w:val="both"/>
        <w:rPr>
          <w:rFonts w:ascii="Arial" w:hAnsi="Arial" w:cs="Arial"/>
          <w:lang w:eastAsia="en-GB"/>
        </w:rPr>
      </w:pPr>
    </w:p>
    <w:p w14:paraId="39EFB840" w14:textId="65524408" w:rsidR="00445FE1" w:rsidRDefault="00806CF4" w:rsidP="001F298B">
      <w:pPr>
        <w:spacing w:line="360" w:lineRule="auto"/>
        <w:jc w:val="both"/>
        <w:rPr>
          <w:rFonts w:ascii="Arial" w:hAnsi="Arial" w:cs="Arial"/>
        </w:rPr>
      </w:pPr>
      <w:r>
        <w:rPr>
          <w:rFonts w:ascii="Arial" w:hAnsi="Arial" w:cs="Arial"/>
          <w:lang w:eastAsia="en-GB"/>
        </w:rPr>
        <w:t>Supplementary Figure S</w:t>
      </w:r>
      <w:r w:rsidR="00030361">
        <w:rPr>
          <w:rFonts w:ascii="Arial" w:hAnsi="Arial" w:cs="Arial"/>
          <w:lang w:eastAsia="en-GB"/>
        </w:rPr>
        <w:t>4</w:t>
      </w:r>
      <w:r w:rsidR="00852720">
        <w:rPr>
          <w:rFonts w:ascii="Arial" w:hAnsi="Arial" w:cs="Arial"/>
          <w:lang w:eastAsia="en-GB"/>
        </w:rPr>
        <w:t>. ADME analysis</w:t>
      </w:r>
      <w:r w:rsidR="002D36DD">
        <w:rPr>
          <w:rFonts w:ascii="Arial" w:hAnsi="Arial" w:cs="Arial"/>
          <w:lang w:eastAsia="en-GB"/>
        </w:rPr>
        <w:t>, oral bioavailability and distribution</w:t>
      </w:r>
      <w:r w:rsidR="00852720">
        <w:rPr>
          <w:rFonts w:ascii="Arial" w:hAnsi="Arial" w:cs="Arial"/>
          <w:lang w:eastAsia="en-GB"/>
        </w:rPr>
        <w:t xml:space="preserve"> of ICEC0942. </w:t>
      </w:r>
      <w:r w:rsidR="00852720" w:rsidRPr="00852720">
        <w:rPr>
          <w:rFonts w:ascii="Arial" w:hAnsi="Arial" w:cs="Arial"/>
          <w:i/>
          <w:lang w:eastAsia="en-GB"/>
        </w:rPr>
        <w:t>A</w:t>
      </w:r>
      <w:r w:rsidR="00D60497">
        <w:rPr>
          <w:rFonts w:ascii="Arial" w:hAnsi="Arial" w:cs="Arial"/>
          <w:i/>
          <w:lang w:eastAsia="en-GB"/>
        </w:rPr>
        <w:t>,</w:t>
      </w:r>
      <w:r>
        <w:rPr>
          <w:rFonts w:ascii="Arial" w:hAnsi="Arial" w:cs="Arial"/>
          <w:lang w:eastAsia="en-GB"/>
        </w:rPr>
        <w:t xml:space="preserve"> Results of in vitro pharmacology and physical properties. </w:t>
      </w:r>
      <w:r w:rsidR="00802852" w:rsidRPr="00806CF4">
        <w:rPr>
          <w:rFonts w:ascii="Arial" w:hAnsi="Arial" w:cs="Arial"/>
          <w:i/>
          <w:noProof/>
          <w:vertAlign w:val="superscript"/>
        </w:rPr>
        <w:t>a</w:t>
      </w:r>
      <w:r w:rsidR="00802852" w:rsidRPr="00806CF4">
        <w:rPr>
          <w:rFonts w:ascii="Arial" w:hAnsi="Arial" w:cs="Arial"/>
          <w:noProof/>
        </w:rPr>
        <w:t xml:space="preserve">24 hour turbidimetric assay. </w:t>
      </w:r>
      <w:r w:rsidR="00802852" w:rsidRPr="00806CF4">
        <w:rPr>
          <w:rFonts w:ascii="Arial" w:hAnsi="Arial" w:cs="Arial"/>
          <w:i/>
          <w:vertAlign w:val="superscript"/>
        </w:rPr>
        <w:t>b</w:t>
      </w:r>
      <w:r w:rsidR="00802852" w:rsidRPr="00806CF4">
        <w:rPr>
          <w:rFonts w:ascii="Arial" w:hAnsi="Arial" w:cs="Arial"/>
        </w:rPr>
        <w:t>LogD</w:t>
      </w:r>
      <w:r w:rsidR="00802852" w:rsidRPr="00806CF4">
        <w:rPr>
          <w:rFonts w:ascii="Arial" w:hAnsi="Arial" w:cs="Arial"/>
          <w:vertAlign w:val="subscript"/>
        </w:rPr>
        <w:t>7.4</w:t>
      </w:r>
      <w:r w:rsidR="00802852" w:rsidRPr="00806CF4">
        <w:rPr>
          <w:rFonts w:ascii="Arial" w:hAnsi="Arial" w:cs="Arial"/>
        </w:rPr>
        <w:t xml:space="preserve"> was determined from addition of octanol to ICEC0942 prepared in buffer at pH 7.4.</w:t>
      </w:r>
      <w:r>
        <w:rPr>
          <w:rFonts w:ascii="Arial" w:hAnsi="Arial" w:cs="Arial"/>
          <w:lang w:eastAsia="en-GB"/>
        </w:rPr>
        <w:t xml:space="preserve"> </w:t>
      </w:r>
      <w:r w:rsidR="00802852" w:rsidRPr="00806CF4">
        <w:rPr>
          <w:rFonts w:ascii="Arial" w:hAnsi="Arial" w:cs="Arial"/>
          <w:i/>
          <w:vertAlign w:val="superscript"/>
        </w:rPr>
        <w:t>c</w:t>
      </w:r>
      <w:r w:rsidR="00802852" w:rsidRPr="00806CF4">
        <w:rPr>
          <w:rFonts w:ascii="Arial" w:hAnsi="Arial" w:cs="Arial"/>
        </w:rPr>
        <w:t>Caco2 apical to basal (A-B) P</w:t>
      </w:r>
      <w:r w:rsidR="00802852" w:rsidRPr="00806CF4">
        <w:rPr>
          <w:rFonts w:ascii="Arial" w:hAnsi="Arial" w:cs="Arial"/>
          <w:vertAlign w:val="subscript"/>
        </w:rPr>
        <w:t>aap</w:t>
      </w:r>
      <w:r w:rsidR="00802852" w:rsidRPr="00806CF4">
        <w:rPr>
          <w:rFonts w:ascii="Arial" w:hAnsi="Arial" w:cs="Arial"/>
        </w:rPr>
        <w:t xml:space="preserve"> value of 0.54×10</w:t>
      </w:r>
      <w:r w:rsidR="00802852" w:rsidRPr="00806CF4">
        <w:rPr>
          <w:rFonts w:ascii="Arial" w:hAnsi="Arial" w:cs="Arial"/>
          <w:vertAlign w:val="superscript"/>
        </w:rPr>
        <w:t>-6</w:t>
      </w:r>
      <w:r w:rsidR="00802852" w:rsidRPr="00806CF4">
        <w:rPr>
          <w:rFonts w:ascii="Arial" w:hAnsi="Arial" w:cs="Arial"/>
        </w:rPr>
        <w:t> c</w:t>
      </w:r>
      <w:r w:rsidR="00802852" w:rsidRPr="00806CF4">
        <w:rPr>
          <w:rFonts w:ascii="Arial" w:hAnsi="Arial" w:cs="Arial"/>
          <w:lang w:eastAsia="en-GB"/>
        </w:rPr>
        <w:t>m/s, indicative of reasonable absorption. Atenolol, which has human absorption = 50%, used as a control in this assay, had P</w:t>
      </w:r>
      <w:r w:rsidR="00802852" w:rsidRPr="00806CF4">
        <w:rPr>
          <w:rFonts w:ascii="Arial" w:hAnsi="Arial" w:cs="Arial"/>
          <w:vertAlign w:val="subscript"/>
          <w:lang w:eastAsia="en-GB"/>
        </w:rPr>
        <w:t>aap</w:t>
      </w:r>
      <w:r w:rsidR="00802852" w:rsidRPr="00806CF4">
        <w:rPr>
          <w:rFonts w:ascii="Arial" w:hAnsi="Arial" w:cs="Arial"/>
          <w:lang w:eastAsia="en-GB"/>
        </w:rPr>
        <w:t xml:space="preserve"> = 0.35</w:t>
      </w:r>
      <w:r w:rsidR="00802852" w:rsidRPr="00806CF4">
        <w:rPr>
          <w:rFonts w:ascii="Arial" w:hAnsi="Arial" w:cs="Arial"/>
        </w:rPr>
        <w:t>×10</w:t>
      </w:r>
      <w:r w:rsidR="00802852" w:rsidRPr="00806CF4">
        <w:rPr>
          <w:rFonts w:ascii="Arial" w:hAnsi="Arial" w:cs="Arial"/>
          <w:vertAlign w:val="superscript"/>
        </w:rPr>
        <w:t>-6</w:t>
      </w:r>
      <w:r w:rsidR="00802852" w:rsidRPr="00806CF4">
        <w:rPr>
          <w:rFonts w:ascii="Arial" w:hAnsi="Arial" w:cs="Arial"/>
        </w:rPr>
        <w:t> c</w:t>
      </w:r>
      <w:r w:rsidR="00802852" w:rsidRPr="00806CF4">
        <w:rPr>
          <w:rFonts w:ascii="Arial" w:hAnsi="Arial" w:cs="Arial"/>
          <w:lang w:eastAsia="en-GB"/>
        </w:rPr>
        <w:t xml:space="preserve">m/s. However, the </w:t>
      </w:r>
      <w:r w:rsidR="00C40F56">
        <w:rPr>
          <w:rFonts w:ascii="Arial" w:hAnsi="Arial" w:cs="Arial"/>
          <w:lang w:eastAsia="en-GB"/>
        </w:rPr>
        <w:t>B</w:t>
      </w:r>
      <w:r w:rsidR="00802852" w:rsidRPr="00806CF4">
        <w:rPr>
          <w:rFonts w:ascii="Arial" w:hAnsi="Arial" w:cs="Arial"/>
          <w:lang w:eastAsia="en-GB"/>
        </w:rPr>
        <w:t>-</w:t>
      </w:r>
      <w:r w:rsidR="00C40F56">
        <w:rPr>
          <w:rFonts w:ascii="Arial" w:hAnsi="Arial" w:cs="Arial"/>
          <w:lang w:eastAsia="en-GB"/>
        </w:rPr>
        <w:t>A</w:t>
      </w:r>
      <w:r w:rsidR="00802852" w:rsidRPr="00806CF4">
        <w:rPr>
          <w:rFonts w:ascii="Arial" w:hAnsi="Arial" w:cs="Arial"/>
          <w:lang w:eastAsia="en-GB"/>
        </w:rPr>
        <w:t>/</w:t>
      </w:r>
      <w:r w:rsidR="00C40F56">
        <w:rPr>
          <w:rFonts w:ascii="Arial" w:hAnsi="Arial" w:cs="Arial"/>
          <w:lang w:eastAsia="en-GB"/>
        </w:rPr>
        <w:t>A</w:t>
      </w:r>
      <w:r w:rsidR="00802852" w:rsidRPr="00806CF4">
        <w:rPr>
          <w:rFonts w:ascii="Arial" w:hAnsi="Arial" w:cs="Arial"/>
          <w:lang w:eastAsia="en-GB"/>
        </w:rPr>
        <w:t>-</w:t>
      </w:r>
      <w:r w:rsidR="00C40F56">
        <w:rPr>
          <w:rFonts w:ascii="Arial" w:hAnsi="Arial" w:cs="Arial"/>
          <w:lang w:eastAsia="en-GB"/>
        </w:rPr>
        <w:t>B</w:t>
      </w:r>
      <w:r w:rsidR="00802852" w:rsidRPr="00806CF4">
        <w:rPr>
          <w:rFonts w:ascii="Arial" w:hAnsi="Arial" w:cs="Arial"/>
          <w:lang w:eastAsia="en-GB"/>
        </w:rPr>
        <w:t xml:space="preserve"> ratio for ICEC0942 indicates</w:t>
      </w:r>
      <w:r>
        <w:rPr>
          <w:rFonts w:ascii="Arial" w:hAnsi="Arial" w:cs="Arial"/>
          <w:lang w:eastAsia="en-GB"/>
        </w:rPr>
        <w:t xml:space="preserve"> a potential efflux liability. </w:t>
      </w:r>
      <w:r w:rsidR="00802852" w:rsidRPr="00806CF4">
        <w:rPr>
          <w:rFonts w:ascii="Arial" w:hAnsi="Arial" w:cs="Arial"/>
          <w:i/>
          <w:vertAlign w:val="superscript"/>
        </w:rPr>
        <w:t>d</w:t>
      </w:r>
      <w:r w:rsidR="00802852" w:rsidRPr="00806CF4">
        <w:rPr>
          <w:rFonts w:ascii="Arial" w:hAnsi="Arial" w:cs="Arial"/>
        </w:rPr>
        <w:t xml:space="preserve">Permeation of ICEC0942 across an artificial hexadecane </w:t>
      </w:r>
      <w:r w:rsidR="00802852" w:rsidRPr="00650ECF">
        <w:rPr>
          <w:rFonts w:ascii="Arial" w:hAnsi="Arial" w:cs="Arial"/>
        </w:rPr>
        <w:t xml:space="preserve">membrane, quantified by LC-MS/MS after a five-hour incubation at room temperature. </w:t>
      </w:r>
      <w:r w:rsidR="00852720" w:rsidRPr="00650ECF">
        <w:rPr>
          <w:rFonts w:ascii="Arial" w:hAnsi="Arial" w:cs="Arial"/>
          <w:i/>
        </w:rPr>
        <w:t>B</w:t>
      </w:r>
      <w:r w:rsidR="00D60497" w:rsidRPr="00650ECF">
        <w:rPr>
          <w:rFonts w:ascii="Arial" w:hAnsi="Arial" w:cs="Arial"/>
          <w:i/>
        </w:rPr>
        <w:t>,</w:t>
      </w:r>
      <w:r w:rsidRPr="00650ECF">
        <w:rPr>
          <w:rFonts w:ascii="Arial" w:hAnsi="Arial" w:cs="Arial"/>
        </w:rPr>
        <w:t xml:space="preserve"> </w:t>
      </w:r>
      <w:r w:rsidR="00E635E4" w:rsidRPr="00650ECF">
        <w:rPr>
          <w:rFonts w:ascii="Arial" w:hAnsi="Arial" w:cs="Arial"/>
          <w:i/>
        </w:rPr>
        <w:t>In vitro</w:t>
      </w:r>
      <w:r w:rsidR="00E635E4" w:rsidRPr="00650ECF">
        <w:rPr>
          <w:rFonts w:ascii="Arial" w:hAnsi="Arial" w:cs="Arial"/>
        </w:rPr>
        <w:t xml:space="preserve"> stability assay was performed by incubation of 3 µM ICEC0942 with purified pooled human (male and female) liver microsomes, or pooled male CD1 mouse microsomes for 0, 5, 15, 30 and 45 min. followed by LC-MS/MS determination of ICEC0942 remaining.</w:t>
      </w:r>
      <w:r w:rsidR="00852720" w:rsidRPr="00650ECF">
        <w:rPr>
          <w:rFonts w:ascii="Arial" w:hAnsi="Arial" w:cs="Arial"/>
        </w:rPr>
        <w:t xml:space="preserve"> </w:t>
      </w:r>
      <w:r w:rsidR="00650ECF" w:rsidRPr="00650ECF">
        <w:rPr>
          <w:rFonts w:ascii="Arial" w:hAnsi="Arial" w:cs="Arial"/>
          <w:lang w:val="en-GB" w:eastAsia="en-GB"/>
        </w:rPr>
        <w:t>For determining hepatocyte stability,</w:t>
      </w:r>
      <w:r w:rsidR="00650ECF" w:rsidRPr="0034054C">
        <w:rPr>
          <w:rFonts w:ascii="Arial" w:hAnsi="Arial" w:cs="Arial"/>
          <w:lang w:val="en-GB" w:eastAsia="en-GB"/>
        </w:rPr>
        <w:t xml:space="preserve"> </w:t>
      </w:r>
      <w:r w:rsidR="00650ECF">
        <w:rPr>
          <w:rFonts w:ascii="Arial" w:hAnsi="Arial" w:cs="Arial"/>
          <w:lang w:val="en-GB" w:eastAsia="en-GB"/>
        </w:rPr>
        <w:t>ICEC0942</w:t>
      </w:r>
      <w:r w:rsidR="00650ECF" w:rsidRPr="0034054C">
        <w:rPr>
          <w:rFonts w:ascii="Arial" w:hAnsi="Arial" w:cs="Arial"/>
          <w:lang w:val="en-GB" w:eastAsia="en-GB"/>
        </w:rPr>
        <w:t xml:space="preserve"> (3μM) was incubated with </w:t>
      </w:r>
      <w:r w:rsidR="00650ECF">
        <w:rPr>
          <w:rFonts w:ascii="Arial" w:hAnsi="Arial" w:cs="Arial"/>
          <w:lang w:val="en-GB" w:eastAsia="en-GB"/>
        </w:rPr>
        <w:t>human</w:t>
      </w:r>
      <w:r w:rsidR="00650ECF" w:rsidRPr="0034054C">
        <w:rPr>
          <w:rFonts w:ascii="Arial" w:hAnsi="Arial" w:cs="Arial"/>
          <w:lang w:val="en-GB" w:eastAsia="en-GB"/>
        </w:rPr>
        <w:t xml:space="preserve"> hepatocytes. Samples </w:t>
      </w:r>
      <w:r w:rsidR="00650ECF">
        <w:rPr>
          <w:rFonts w:ascii="Arial" w:hAnsi="Arial" w:cs="Arial"/>
          <w:lang w:val="en-GB" w:eastAsia="en-GB"/>
        </w:rPr>
        <w:t xml:space="preserve">at </w:t>
      </w:r>
      <w:r w:rsidR="00650ECF" w:rsidRPr="0034054C">
        <w:rPr>
          <w:rFonts w:ascii="Arial" w:hAnsi="Arial" w:cs="Arial"/>
          <w:lang w:val="en-GB" w:eastAsia="en-GB"/>
        </w:rPr>
        <w:t xml:space="preserve">0, 5, 10, 20, 40 and 60 min, </w:t>
      </w:r>
      <w:r w:rsidR="00650ECF">
        <w:rPr>
          <w:rFonts w:ascii="Arial" w:hAnsi="Arial" w:cs="Arial"/>
          <w:lang w:val="en-GB" w:eastAsia="en-GB"/>
        </w:rPr>
        <w:t xml:space="preserve">were used </w:t>
      </w:r>
      <w:r w:rsidR="00650ECF" w:rsidRPr="0034054C">
        <w:rPr>
          <w:rFonts w:ascii="Arial" w:hAnsi="Arial" w:cs="Arial"/>
          <w:lang w:val="en-GB" w:eastAsia="en-GB"/>
        </w:rPr>
        <w:t xml:space="preserve">for LC-MS/MS determination of remaining ICEC0942. </w:t>
      </w:r>
      <w:r w:rsidR="00852720" w:rsidRPr="00852720">
        <w:rPr>
          <w:rFonts w:ascii="Arial" w:hAnsi="Arial" w:cs="Arial"/>
          <w:i/>
        </w:rPr>
        <w:t>C</w:t>
      </w:r>
      <w:r w:rsidR="00D60497">
        <w:rPr>
          <w:rFonts w:ascii="Arial" w:hAnsi="Arial" w:cs="Arial"/>
          <w:i/>
        </w:rPr>
        <w:t>,</w:t>
      </w:r>
      <w:r>
        <w:rPr>
          <w:rFonts w:ascii="Arial" w:hAnsi="Arial" w:cs="Arial"/>
        </w:rPr>
        <w:t xml:space="preserve"> Shown are IC</w:t>
      </w:r>
      <w:r w:rsidRPr="00806CF4">
        <w:rPr>
          <w:rFonts w:ascii="Arial" w:hAnsi="Arial" w:cs="Arial"/>
          <w:vertAlign w:val="subscript"/>
        </w:rPr>
        <w:t>50</w:t>
      </w:r>
      <w:r>
        <w:rPr>
          <w:rFonts w:ascii="Arial" w:hAnsi="Arial" w:cs="Arial"/>
        </w:rPr>
        <w:t xml:space="preserve"> (µM) for inhibition of cytochrome P450 </w:t>
      </w:r>
      <w:r w:rsidRPr="00650ECF">
        <w:rPr>
          <w:rFonts w:ascii="Arial" w:hAnsi="Arial" w:cs="Arial"/>
        </w:rPr>
        <w:t>enzymes.</w:t>
      </w:r>
      <w:r w:rsidR="002D36DD">
        <w:rPr>
          <w:rFonts w:ascii="Arial" w:hAnsi="Arial" w:cs="Arial"/>
        </w:rPr>
        <w:t xml:space="preserve"> </w:t>
      </w:r>
      <w:r w:rsidR="002D36DD">
        <w:rPr>
          <w:rFonts w:ascii="Arial" w:hAnsi="Arial" w:cs="Arial"/>
          <w:i/>
        </w:rPr>
        <w:t>D</w:t>
      </w:r>
      <w:r w:rsidR="00D60497">
        <w:rPr>
          <w:rFonts w:ascii="Arial" w:hAnsi="Arial" w:cs="Arial"/>
          <w:i/>
        </w:rPr>
        <w:t>,</w:t>
      </w:r>
      <w:r w:rsidR="00852720">
        <w:rPr>
          <w:rFonts w:ascii="Arial" w:hAnsi="Arial" w:cs="Arial"/>
        </w:rPr>
        <w:t xml:space="preserve"> S</w:t>
      </w:r>
      <w:r w:rsidR="0088025B" w:rsidRPr="00806CF4">
        <w:rPr>
          <w:rFonts w:ascii="Arial" w:hAnsi="Arial" w:cs="Arial"/>
        </w:rPr>
        <w:t>ingle dose intravenous (IV), subcutaneous (SC) or oral gavage (PO) administration of ICEC0942 at 10 mg/kg in CD1 male mice (n=3). ICEC0942</w:t>
      </w:r>
      <w:r w:rsidR="00852720">
        <w:rPr>
          <w:rFonts w:ascii="Arial" w:hAnsi="Arial" w:cs="Arial"/>
        </w:rPr>
        <w:t xml:space="preserve"> was prepared in 5%DMSO/PBS. </w:t>
      </w:r>
      <w:r w:rsidR="002D36DD">
        <w:rPr>
          <w:rFonts w:ascii="Arial" w:hAnsi="Arial" w:cs="Arial"/>
          <w:i/>
        </w:rPr>
        <w:t>E</w:t>
      </w:r>
      <w:r w:rsidR="00D60497">
        <w:rPr>
          <w:rFonts w:ascii="Arial" w:hAnsi="Arial" w:cs="Arial"/>
          <w:i/>
        </w:rPr>
        <w:t>,</w:t>
      </w:r>
      <w:r w:rsidR="0088025B" w:rsidRPr="00806CF4">
        <w:rPr>
          <w:rFonts w:ascii="Arial" w:hAnsi="Arial" w:cs="Arial"/>
        </w:rPr>
        <w:t xml:space="preserve"> ICE</w:t>
      </w:r>
      <w:r w:rsidR="00852720">
        <w:rPr>
          <w:rFonts w:ascii="Arial" w:hAnsi="Arial" w:cs="Arial"/>
        </w:rPr>
        <w:t xml:space="preserve">C0942 concentration over time. </w:t>
      </w:r>
      <w:r w:rsidR="002D36DD">
        <w:rPr>
          <w:rFonts w:ascii="Arial" w:hAnsi="Arial" w:cs="Arial"/>
          <w:i/>
        </w:rPr>
        <w:t>F</w:t>
      </w:r>
      <w:r w:rsidR="00D60497">
        <w:rPr>
          <w:rFonts w:ascii="Arial" w:hAnsi="Arial" w:cs="Arial"/>
          <w:i/>
        </w:rPr>
        <w:t>,</w:t>
      </w:r>
      <w:r w:rsidR="0088025B" w:rsidRPr="00806CF4">
        <w:rPr>
          <w:rFonts w:ascii="Arial" w:hAnsi="Arial" w:cs="Arial"/>
        </w:rPr>
        <w:t xml:space="preserve"> Oral bioavailability of ICEC0942 was calculated at 30%.</w:t>
      </w:r>
      <w:r w:rsidR="00D60497">
        <w:rPr>
          <w:rFonts w:ascii="Arial" w:hAnsi="Arial" w:cs="Arial"/>
        </w:rPr>
        <w:t xml:space="preserve"> </w:t>
      </w:r>
      <w:r w:rsidR="002D36DD">
        <w:rPr>
          <w:rFonts w:ascii="Arial" w:hAnsi="Arial" w:cs="Arial"/>
          <w:i/>
        </w:rPr>
        <w:t>G</w:t>
      </w:r>
      <w:r w:rsidR="00D60497" w:rsidRPr="00D60497">
        <w:rPr>
          <w:rFonts w:ascii="Arial" w:hAnsi="Arial" w:cs="Arial"/>
          <w:i/>
        </w:rPr>
        <w:t>,</w:t>
      </w:r>
      <w:r w:rsidR="00445FE1">
        <w:rPr>
          <w:rFonts w:ascii="Arial" w:hAnsi="Arial" w:cs="Arial"/>
        </w:rPr>
        <w:t xml:space="preserve"> </w:t>
      </w:r>
      <w:r w:rsidR="005D3608" w:rsidRPr="0017246E">
        <w:rPr>
          <w:rFonts w:ascii="Arial" w:hAnsi="Arial" w:cs="Arial"/>
        </w:rPr>
        <w:t xml:space="preserve">Metabolite analysis by liquid chromatography-mass spectrometry of plasma recovered 2 and 4 hours following </w:t>
      </w:r>
      <w:r w:rsidR="005D3608" w:rsidRPr="0017246E">
        <w:rPr>
          <w:rFonts w:ascii="Arial" w:eastAsia="Arial" w:hAnsi="Arial" w:cs="Arial"/>
        </w:rPr>
        <w:t xml:space="preserve">a single PO administration </w:t>
      </w:r>
      <w:r w:rsidR="005D3608">
        <w:rPr>
          <w:rFonts w:ascii="Arial" w:eastAsia="Arial" w:hAnsi="Arial" w:cs="Arial"/>
        </w:rPr>
        <w:t xml:space="preserve">of ICEC0942 </w:t>
      </w:r>
      <w:r w:rsidR="005D3608" w:rsidRPr="0017246E">
        <w:rPr>
          <w:rFonts w:ascii="Arial" w:eastAsia="Arial" w:hAnsi="Arial" w:cs="Arial"/>
        </w:rPr>
        <w:t>(100 mg/kg)</w:t>
      </w:r>
      <w:r w:rsidR="005D3608">
        <w:rPr>
          <w:rFonts w:ascii="Arial" w:eastAsia="Arial" w:hAnsi="Arial" w:cs="Arial"/>
        </w:rPr>
        <w:t>.</w:t>
      </w:r>
      <w:r w:rsidR="0088025B" w:rsidRPr="00806CF4">
        <w:rPr>
          <w:rFonts w:ascii="Arial" w:hAnsi="Arial" w:cs="Arial"/>
        </w:rPr>
        <w:t xml:space="preserve"> </w:t>
      </w:r>
      <w:r w:rsidR="00CA48D7">
        <w:rPr>
          <w:rFonts w:ascii="Arial" w:hAnsi="Arial" w:cs="Arial"/>
          <w:i/>
        </w:rPr>
        <w:t>H-K</w:t>
      </w:r>
      <w:r w:rsidR="00D60497" w:rsidRPr="00D60497">
        <w:rPr>
          <w:rFonts w:ascii="Arial" w:hAnsi="Arial" w:cs="Arial"/>
          <w:i/>
        </w:rPr>
        <w:t>,</w:t>
      </w:r>
      <w:r w:rsidR="00445FE1">
        <w:rPr>
          <w:rFonts w:ascii="Arial" w:hAnsi="Arial" w:cs="Arial"/>
        </w:rPr>
        <w:t xml:space="preserve"> </w:t>
      </w:r>
      <w:r w:rsidR="0088025B" w:rsidRPr="00806CF4">
        <w:rPr>
          <w:rFonts w:ascii="Arial" w:hAnsi="Arial" w:cs="Arial"/>
        </w:rPr>
        <w:t>ICEC0942 plasma concentration over time, following single PO administration at a concentration of 3, 10, 30 or 100 mg/kg in male CD1 mice. ICEC0942 was prepared in 5%DMSO/PBS and</w:t>
      </w:r>
      <w:r w:rsidR="0088025B">
        <w:rPr>
          <w:rFonts w:ascii="Arial" w:hAnsi="Arial" w:cs="Arial"/>
        </w:rPr>
        <w:t xml:space="preserve"> administered by oral gavage. </w:t>
      </w:r>
      <w:r w:rsidR="0088025B" w:rsidRPr="00806CF4">
        <w:rPr>
          <w:rFonts w:ascii="Arial" w:hAnsi="Arial" w:cs="Arial"/>
        </w:rPr>
        <w:t>Results for 3 indepe</w:t>
      </w:r>
      <w:r w:rsidR="0088025B">
        <w:rPr>
          <w:rFonts w:ascii="Arial" w:hAnsi="Arial" w:cs="Arial"/>
        </w:rPr>
        <w:t xml:space="preserve">ndent animal groups is shown. </w:t>
      </w:r>
      <w:r w:rsidR="00CA48D7">
        <w:rPr>
          <w:rFonts w:ascii="Arial" w:hAnsi="Arial" w:cs="Arial"/>
          <w:i/>
        </w:rPr>
        <w:t>I</w:t>
      </w:r>
      <w:r w:rsidR="00D60497" w:rsidRPr="00D60497">
        <w:rPr>
          <w:rFonts w:ascii="Arial" w:hAnsi="Arial" w:cs="Arial"/>
          <w:i/>
        </w:rPr>
        <w:t>,</w:t>
      </w:r>
      <w:r w:rsidR="0088025B" w:rsidRPr="00806CF4">
        <w:rPr>
          <w:rFonts w:ascii="Arial" w:hAnsi="Arial" w:cs="Arial"/>
        </w:rPr>
        <w:t xml:space="preserve"> Cmax vs dose administered</w:t>
      </w:r>
      <w:r w:rsidR="00F42EF3">
        <w:rPr>
          <w:rFonts w:ascii="Arial" w:hAnsi="Arial" w:cs="Arial"/>
        </w:rPr>
        <w:t xml:space="preserve">. </w:t>
      </w:r>
      <w:r w:rsidR="00CA48D7">
        <w:rPr>
          <w:rFonts w:ascii="Arial" w:hAnsi="Arial" w:cs="Arial"/>
          <w:i/>
        </w:rPr>
        <w:t>J</w:t>
      </w:r>
      <w:r w:rsidR="00D60497" w:rsidRPr="00D60497">
        <w:rPr>
          <w:rFonts w:ascii="Arial" w:hAnsi="Arial" w:cs="Arial"/>
          <w:i/>
        </w:rPr>
        <w:t>,</w:t>
      </w:r>
      <w:r w:rsidR="0088025B" w:rsidRPr="00806CF4">
        <w:rPr>
          <w:rFonts w:ascii="Arial" w:hAnsi="Arial" w:cs="Arial"/>
        </w:rPr>
        <w:t xml:space="preserve"> ICEC0942 AUC</w:t>
      </w:r>
      <w:r w:rsidR="0088025B" w:rsidRPr="00806CF4">
        <w:rPr>
          <w:rFonts w:ascii="Arial" w:hAnsi="Arial" w:cs="Arial"/>
          <w:vertAlign w:val="subscript"/>
        </w:rPr>
        <w:t xml:space="preserve">t0-12h </w:t>
      </w:r>
      <w:r w:rsidR="00642B83">
        <w:rPr>
          <w:rFonts w:ascii="Arial" w:hAnsi="Arial" w:cs="Arial"/>
        </w:rPr>
        <w:t xml:space="preserve">vs administration dose. </w:t>
      </w:r>
      <w:r w:rsidR="00CA48D7">
        <w:rPr>
          <w:rFonts w:ascii="Arial" w:hAnsi="Arial" w:cs="Arial"/>
          <w:i/>
        </w:rPr>
        <w:t>K</w:t>
      </w:r>
      <w:r w:rsidR="00642B83" w:rsidRPr="00642B83">
        <w:rPr>
          <w:rFonts w:ascii="Arial" w:hAnsi="Arial" w:cs="Arial"/>
          <w:i/>
        </w:rPr>
        <w:t>,</w:t>
      </w:r>
      <w:r w:rsidR="0088025B" w:rsidRPr="00806CF4">
        <w:rPr>
          <w:rFonts w:ascii="Arial" w:hAnsi="Arial" w:cs="Arial"/>
        </w:rPr>
        <w:t xml:space="preserve"> Mean values (n=3) for the study are shown. In </w:t>
      </w:r>
      <w:r w:rsidR="0088025B" w:rsidRPr="00806CF4">
        <w:rPr>
          <w:rFonts w:ascii="Arial" w:hAnsi="Arial" w:cs="Arial"/>
        </w:rPr>
        <w:lastRenderedPageBreak/>
        <w:t xml:space="preserve">the mouse (CD1/male) following oral administration of ICEC0942 (5%DMSO in PBS) median tmax was unaffected over the range of doses and typically </w:t>
      </w:r>
      <w:r w:rsidR="002D4974" w:rsidRPr="00806CF4">
        <w:rPr>
          <w:rFonts w:ascii="Arial" w:hAnsi="Arial" w:cs="Arial"/>
        </w:rPr>
        <w:t>occurred</w:t>
      </w:r>
      <w:r w:rsidR="0088025B" w:rsidRPr="00806CF4">
        <w:rPr>
          <w:rFonts w:ascii="Arial" w:hAnsi="Arial" w:cs="Arial"/>
        </w:rPr>
        <w:t xml:space="preserve"> at 2 h. </w:t>
      </w:r>
      <w:r w:rsidR="002D36DD" w:rsidRPr="002D36DD">
        <w:rPr>
          <w:rFonts w:ascii="Arial" w:hAnsi="Arial" w:cs="Arial"/>
          <w:i/>
        </w:rPr>
        <w:t>J, K,</w:t>
      </w:r>
      <w:r w:rsidR="002D36DD">
        <w:rPr>
          <w:rFonts w:ascii="Arial" w:hAnsi="Arial" w:cs="Arial"/>
        </w:rPr>
        <w:t xml:space="preserve"> </w:t>
      </w:r>
      <w:r w:rsidR="00445FE1" w:rsidRPr="00806CF4">
        <w:rPr>
          <w:rFonts w:ascii="Arial" w:hAnsi="Arial" w:cs="Arial"/>
        </w:rPr>
        <w:t>Exposure increases in a linear manner between 10-10</w:t>
      </w:r>
      <w:r w:rsidR="00445FE1">
        <w:rPr>
          <w:rFonts w:ascii="Arial" w:hAnsi="Arial" w:cs="Arial"/>
        </w:rPr>
        <w:t>0 m</w:t>
      </w:r>
      <w:r w:rsidR="002D4974">
        <w:rPr>
          <w:rFonts w:ascii="Arial" w:hAnsi="Arial" w:cs="Arial"/>
        </w:rPr>
        <w:t>g/kg,</w:t>
      </w:r>
      <w:r w:rsidR="00445FE1" w:rsidRPr="00806CF4">
        <w:rPr>
          <w:rFonts w:ascii="Arial" w:hAnsi="Arial" w:cs="Arial"/>
        </w:rPr>
        <w:t xml:space="preserve"> as demonstrated by the good correlation between dose and exposure (</w:t>
      </w:r>
      <w:r w:rsidR="00445FE1" w:rsidRPr="00806CF4">
        <w:rPr>
          <w:rFonts w:ascii="Arial" w:hAnsi="Arial" w:cs="Arial"/>
          <w:i/>
        </w:rPr>
        <w:t>r</w:t>
      </w:r>
      <w:r w:rsidR="00445FE1" w:rsidRPr="00806CF4">
        <w:rPr>
          <w:rFonts w:ascii="Arial" w:hAnsi="Arial" w:cs="Arial"/>
          <w:i/>
          <w:vertAlign w:val="superscript"/>
        </w:rPr>
        <w:t>2</w:t>
      </w:r>
      <w:r w:rsidR="00445FE1" w:rsidRPr="00806CF4">
        <w:rPr>
          <w:rFonts w:ascii="Arial" w:hAnsi="Arial" w:cs="Arial"/>
        </w:rPr>
        <w:t xml:space="preserve"> = 0.997).</w:t>
      </w:r>
    </w:p>
    <w:p w14:paraId="172ADECC" w14:textId="77777777" w:rsidR="00F56C36" w:rsidRPr="00806CF4" w:rsidRDefault="00F56C36" w:rsidP="001F298B">
      <w:pPr>
        <w:spacing w:line="360" w:lineRule="auto"/>
        <w:jc w:val="both"/>
        <w:rPr>
          <w:rFonts w:ascii="Arial" w:hAnsi="Arial" w:cs="Arial"/>
        </w:rPr>
      </w:pPr>
    </w:p>
    <w:p w14:paraId="6846FFDB" w14:textId="0EBCA430" w:rsidR="004F48DC" w:rsidRDefault="000D34C7" w:rsidP="001F298B">
      <w:pPr>
        <w:spacing w:line="360" w:lineRule="auto"/>
        <w:jc w:val="both"/>
        <w:rPr>
          <w:rFonts w:ascii="Arial" w:hAnsi="Arial" w:cs="Arial"/>
          <w:lang w:val="en-GB" w:eastAsia="en-GB"/>
        </w:rPr>
      </w:pPr>
      <w:r>
        <w:rPr>
          <w:rFonts w:ascii="Arial" w:hAnsi="Arial" w:cs="Arial"/>
        </w:rPr>
        <w:t>Supplementary Figure S</w:t>
      </w:r>
      <w:r w:rsidR="00030361">
        <w:rPr>
          <w:rFonts w:ascii="Arial" w:hAnsi="Arial" w:cs="Arial"/>
        </w:rPr>
        <w:t>5</w:t>
      </w:r>
      <w:r>
        <w:rPr>
          <w:rFonts w:ascii="Arial" w:hAnsi="Arial" w:cs="Arial"/>
        </w:rPr>
        <w:t xml:space="preserve">. </w:t>
      </w:r>
      <w:r w:rsidR="004F48DC" w:rsidRPr="004F48DC">
        <w:rPr>
          <w:rFonts w:ascii="Arial" w:hAnsi="Arial" w:cs="Arial"/>
          <w:lang w:val="en-GB" w:eastAsia="en-GB"/>
        </w:rPr>
        <w:t xml:space="preserve">Oral administration of </w:t>
      </w:r>
      <w:r w:rsidR="00270508">
        <w:rPr>
          <w:rFonts w:ascii="Arial" w:hAnsi="Arial" w:cs="Arial"/>
          <w:lang w:val="en-GB" w:eastAsia="en-GB"/>
        </w:rPr>
        <w:t>ICEC0942</w:t>
      </w:r>
      <w:r w:rsidR="004F48DC" w:rsidRPr="004F48DC">
        <w:rPr>
          <w:rFonts w:ascii="Arial" w:hAnsi="Arial" w:cs="Arial"/>
          <w:lang w:val="en-GB" w:eastAsia="en-GB"/>
        </w:rPr>
        <w:t xml:space="preserve"> inhibits cyclin-dependent kinase substrate phosphorylation in mouse peripheral blood mononuclear cells</w:t>
      </w:r>
      <w:r w:rsidR="004F48DC">
        <w:rPr>
          <w:rFonts w:ascii="Arial" w:hAnsi="Arial" w:cs="Arial"/>
          <w:lang w:val="en-GB" w:eastAsia="en-GB"/>
        </w:rPr>
        <w:t xml:space="preserve"> (PBMC)</w:t>
      </w:r>
      <w:r w:rsidR="004F48DC" w:rsidRPr="004F48DC">
        <w:rPr>
          <w:rFonts w:ascii="Arial" w:hAnsi="Arial" w:cs="Arial"/>
          <w:lang w:val="en-GB" w:eastAsia="en-GB"/>
        </w:rPr>
        <w:t>.</w:t>
      </w:r>
      <w:r w:rsidR="004F48DC">
        <w:rPr>
          <w:rFonts w:ascii="Arial" w:hAnsi="Arial" w:cs="Arial"/>
        </w:rPr>
        <w:t xml:space="preserve"> </w:t>
      </w:r>
      <w:r w:rsidR="004F48DC" w:rsidRPr="004F48DC">
        <w:rPr>
          <w:rFonts w:ascii="Arial" w:hAnsi="Arial" w:cs="Arial"/>
          <w:lang w:val="en-GB" w:eastAsia="en-GB"/>
        </w:rPr>
        <w:t>Mouse PBMCs were collected 6 h following dosing of female nude mice by oral gavage at the dose levels shown. PBMCs were incubated with</w:t>
      </w:r>
      <w:r w:rsidR="004F48DC">
        <w:rPr>
          <w:rFonts w:ascii="Arial" w:hAnsi="Arial" w:cs="Arial"/>
        </w:rPr>
        <w:t xml:space="preserve"> </w:t>
      </w:r>
      <w:r w:rsidR="004F48DC" w:rsidRPr="004F48DC">
        <w:rPr>
          <w:rFonts w:ascii="Arial" w:hAnsi="Arial" w:cs="Arial"/>
          <w:lang w:val="en-GB" w:eastAsia="en-GB"/>
        </w:rPr>
        <w:t>the appropriate primary antibodies, followed by fluorescently labe</w:t>
      </w:r>
      <w:r w:rsidR="004F48DC">
        <w:rPr>
          <w:rFonts w:ascii="Arial" w:hAnsi="Arial" w:cs="Arial"/>
          <w:lang w:val="en-GB" w:eastAsia="en-GB"/>
        </w:rPr>
        <w:t>l</w:t>
      </w:r>
      <w:r w:rsidR="004F48DC" w:rsidRPr="004F48DC">
        <w:rPr>
          <w:rFonts w:ascii="Arial" w:hAnsi="Arial" w:cs="Arial"/>
          <w:lang w:val="en-GB" w:eastAsia="en-GB"/>
        </w:rPr>
        <w:t>led secondary antibodies a</w:t>
      </w:r>
      <w:r w:rsidR="004F48DC">
        <w:rPr>
          <w:rFonts w:ascii="Arial" w:hAnsi="Arial" w:cs="Arial"/>
          <w:lang w:val="en-GB" w:eastAsia="en-GB"/>
        </w:rPr>
        <w:t xml:space="preserve">nd flow cytometric analysis (n=3) </w:t>
      </w:r>
      <w:r w:rsidR="004F48DC" w:rsidRPr="004F48DC">
        <w:rPr>
          <w:rFonts w:ascii="Arial" w:hAnsi="Arial" w:cs="Arial"/>
          <w:lang w:val="en-GB" w:eastAsia="en-GB"/>
        </w:rPr>
        <w:t xml:space="preserve">to determine the status of </w:t>
      </w:r>
      <w:r w:rsidR="004F48DC">
        <w:rPr>
          <w:rFonts w:ascii="Arial" w:hAnsi="Arial" w:cs="Arial"/>
          <w:lang w:val="en-GB" w:eastAsia="en-GB"/>
        </w:rPr>
        <w:t>PolII</w:t>
      </w:r>
      <w:r w:rsidR="004F48DC">
        <w:rPr>
          <w:rFonts w:ascii="Arial" w:hAnsi="Arial" w:cs="Arial"/>
        </w:rPr>
        <w:t xml:space="preserve"> </w:t>
      </w:r>
      <w:r w:rsidR="004F48DC">
        <w:rPr>
          <w:rFonts w:ascii="Arial" w:hAnsi="Arial" w:cs="Arial"/>
          <w:lang w:val="en-GB" w:eastAsia="en-GB"/>
        </w:rPr>
        <w:t>Ser</w:t>
      </w:r>
      <w:r w:rsidR="004F48DC" w:rsidRPr="004F48DC">
        <w:rPr>
          <w:rFonts w:ascii="Arial" w:hAnsi="Arial" w:cs="Arial"/>
          <w:lang w:val="en-GB" w:eastAsia="en-GB"/>
        </w:rPr>
        <w:t xml:space="preserve">2 </w:t>
      </w:r>
      <w:r w:rsidR="004F48DC">
        <w:rPr>
          <w:rFonts w:ascii="Arial" w:hAnsi="Arial" w:cs="Arial"/>
          <w:lang w:val="en-GB" w:eastAsia="en-GB"/>
        </w:rPr>
        <w:t>and Ser5 phosphorylation. Error bars represent the standar</w:t>
      </w:r>
      <w:r w:rsidR="0024117B">
        <w:rPr>
          <w:rFonts w:ascii="Arial" w:hAnsi="Arial" w:cs="Arial"/>
          <w:lang w:val="en-GB" w:eastAsia="en-GB"/>
        </w:rPr>
        <w:t>d errors of the mean (* = p&lt;0.01</w:t>
      </w:r>
      <w:r w:rsidR="00D14290">
        <w:rPr>
          <w:rFonts w:ascii="Arial" w:hAnsi="Arial" w:cs="Arial"/>
          <w:lang w:val="en-GB" w:eastAsia="en-GB"/>
        </w:rPr>
        <w:t xml:space="preserve"> relative to the DMSO treated (0) controls</w:t>
      </w:r>
      <w:r w:rsidR="00D572DE">
        <w:rPr>
          <w:rFonts w:ascii="Arial" w:hAnsi="Arial" w:cs="Arial"/>
          <w:lang w:val="en-GB" w:eastAsia="en-GB"/>
        </w:rPr>
        <w:t>, determined using t-test analysis</w:t>
      </w:r>
      <w:r w:rsidR="004F48DC">
        <w:rPr>
          <w:rFonts w:ascii="Arial" w:hAnsi="Arial" w:cs="Arial"/>
          <w:lang w:val="en-GB" w:eastAsia="en-GB"/>
        </w:rPr>
        <w:t xml:space="preserve">). </w:t>
      </w:r>
    </w:p>
    <w:p w14:paraId="42E8553F" w14:textId="77777777" w:rsidR="00270508" w:rsidRDefault="00270508" w:rsidP="001F298B">
      <w:pPr>
        <w:spacing w:line="360" w:lineRule="auto"/>
        <w:jc w:val="both"/>
        <w:rPr>
          <w:rFonts w:ascii="Arial" w:hAnsi="Arial" w:cs="Arial"/>
          <w:lang w:val="en-GB" w:eastAsia="en-GB"/>
        </w:rPr>
      </w:pPr>
    </w:p>
    <w:p w14:paraId="4D9F2DEC" w14:textId="16CBEDB2" w:rsidR="001F298B" w:rsidRPr="00550C6F" w:rsidRDefault="001F62CD" w:rsidP="001F298B">
      <w:pPr>
        <w:spacing w:line="360" w:lineRule="auto"/>
        <w:jc w:val="both"/>
        <w:rPr>
          <w:rFonts w:ascii="Arial" w:hAnsi="Arial" w:cs="Arial"/>
          <w:lang w:val="en-GB" w:eastAsia="en-GB"/>
        </w:rPr>
      </w:pPr>
      <w:r w:rsidRPr="001F62CD">
        <w:rPr>
          <w:rFonts w:ascii="Arial" w:hAnsi="Arial" w:cs="Arial"/>
          <w:lang w:val="en-GB" w:eastAsia="en-GB"/>
        </w:rPr>
        <w:t>Supplementary Figure S</w:t>
      </w:r>
      <w:r w:rsidR="00030361">
        <w:rPr>
          <w:rFonts w:ascii="Arial" w:hAnsi="Arial" w:cs="Arial"/>
          <w:lang w:val="en-GB" w:eastAsia="en-GB"/>
        </w:rPr>
        <w:t>6</w:t>
      </w:r>
      <w:r w:rsidRPr="001F62CD">
        <w:rPr>
          <w:rFonts w:ascii="Arial" w:hAnsi="Arial" w:cs="Arial"/>
          <w:lang w:val="en-GB" w:eastAsia="en-GB"/>
        </w:rPr>
        <w:t xml:space="preserve">. </w:t>
      </w:r>
      <w:r w:rsidRPr="001F62CD">
        <w:rPr>
          <w:rFonts w:ascii="Arial" w:hAnsi="Arial" w:cs="Arial"/>
        </w:rPr>
        <w:t>Pharmacokinetic determination of ICEC0942 plasma and tumor concentrations at different doses and over time.</w:t>
      </w:r>
      <w:r>
        <w:rPr>
          <w:rFonts w:ascii="Arial" w:hAnsi="Arial" w:cs="Arial"/>
        </w:rPr>
        <w:t xml:space="preserve"> </w:t>
      </w:r>
      <w:r w:rsidR="00550C6F" w:rsidRPr="00550C6F">
        <w:rPr>
          <w:rFonts w:ascii="Arial" w:hAnsi="Arial" w:cs="Arial"/>
          <w:i/>
        </w:rPr>
        <w:t>A,</w:t>
      </w:r>
      <w:r w:rsidR="00550C6F">
        <w:rPr>
          <w:rFonts w:ascii="Arial" w:hAnsi="Arial" w:cs="Arial"/>
        </w:rPr>
        <w:t xml:space="preserve"> Plasma, tumor and liver concentrations of ICEC0942 was determined for 3 mice treated with 100 mg/kg ICEC0942 </w:t>
      </w:r>
      <w:r>
        <w:rPr>
          <w:rFonts w:ascii="Arial" w:hAnsi="Arial" w:cs="Arial"/>
        </w:rPr>
        <w:t>for 13 days</w:t>
      </w:r>
      <w:r w:rsidR="00550C6F">
        <w:rPr>
          <w:rFonts w:ascii="Arial" w:hAnsi="Arial" w:cs="Arial"/>
        </w:rPr>
        <w:t>, from the study in Fig. 4</w:t>
      </w:r>
      <w:r>
        <w:rPr>
          <w:rFonts w:ascii="Arial" w:hAnsi="Arial" w:cs="Arial"/>
        </w:rPr>
        <w:t>.</w:t>
      </w:r>
      <w:r w:rsidR="00550C6F">
        <w:rPr>
          <w:rFonts w:ascii="Arial" w:hAnsi="Arial" w:cs="Arial"/>
        </w:rPr>
        <w:t xml:space="preserve"> Additionally, plasma, liver and tumor levels of mice (n=3) with established HCT116 tumors (100-200 mm</w:t>
      </w:r>
      <w:r w:rsidR="00550C6F" w:rsidRPr="00550C6F">
        <w:rPr>
          <w:rFonts w:ascii="Arial" w:hAnsi="Arial" w:cs="Arial"/>
          <w:vertAlign w:val="superscript"/>
        </w:rPr>
        <w:t>3</w:t>
      </w:r>
      <w:r w:rsidR="00550C6F">
        <w:rPr>
          <w:rFonts w:ascii="Arial" w:hAnsi="Arial" w:cs="Arial"/>
        </w:rPr>
        <w:t xml:space="preserve">) taken 6 hours following first administration of 50 mg/kg or 100 mg/kg ICEC0942 is shown. </w:t>
      </w:r>
      <w:r w:rsidR="001F298B">
        <w:rPr>
          <w:rFonts w:ascii="Arial" w:hAnsi="Arial"/>
        </w:rPr>
        <w:t xml:space="preserve">ICEC0942 plasma concentration is reported as </w:t>
      </w:r>
      <w:r w:rsidR="001F298B">
        <w:rPr>
          <w:rFonts w:ascii="Calibri" w:hAnsi="Calibri" w:cs="Calibri"/>
        </w:rPr>
        <w:t>µ</w:t>
      </w:r>
      <w:r w:rsidR="001F298B">
        <w:rPr>
          <w:rFonts w:ascii="Arial" w:hAnsi="Arial"/>
        </w:rPr>
        <w:t xml:space="preserve">g/mL plasma. ICEC0942 concentrations in the tumor and liver are given as </w:t>
      </w:r>
      <w:r w:rsidR="001F298B">
        <w:rPr>
          <w:rFonts w:ascii="Calibri" w:hAnsi="Calibri" w:cs="Calibri"/>
        </w:rPr>
        <w:t>µ</w:t>
      </w:r>
      <w:r w:rsidR="001F298B">
        <w:rPr>
          <w:rFonts w:ascii="Arial" w:hAnsi="Arial"/>
        </w:rPr>
        <w:t>g (ICEC0942)/g tissue. Standard deviations are shown in brackets.</w:t>
      </w:r>
      <w:r w:rsidR="00550C6F">
        <w:rPr>
          <w:rFonts w:ascii="Arial" w:hAnsi="Arial"/>
        </w:rPr>
        <w:t xml:space="preserve"> </w:t>
      </w:r>
      <w:r w:rsidR="00550C6F" w:rsidRPr="00242254">
        <w:rPr>
          <w:rFonts w:ascii="Arial" w:hAnsi="Arial"/>
          <w:i/>
        </w:rPr>
        <w:t>B,</w:t>
      </w:r>
      <w:r w:rsidR="00550C6F">
        <w:rPr>
          <w:rFonts w:ascii="Arial" w:hAnsi="Arial"/>
        </w:rPr>
        <w:t xml:space="preserve"> Nude mice with established HCT116 tumors (100-200 mm</w:t>
      </w:r>
      <w:r w:rsidR="00550C6F" w:rsidRPr="00550C6F">
        <w:rPr>
          <w:rFonts w:ascii="Arial" w:hAnsi="Arial"/>
          <w:vertAlign w:val="superscript"/>
        </w:rPr>
        <w:t>3</w:t>
      </w:r>
      <w:r w:rsidR="00550C6F">
        <w:rPr>
          <w:rFonts w:ascii="Arial" w:hAnsi="Arial"/>
        </w:rPr>
        <w:t>)</w:t>
      </w:r>
      <w:r w:rsidR="00550C6F">
        <w:rPr>
          <w:rFonts w:ascii="Arial" w:hAnsi="Arial" w:cs="Arial"/>
          <w:lang w:val="en-GB" w:eastAsia="en-GB"/>
        </w:rPr>
        <w:t xml:space="preserve"> </w:t>
      </w:r>
      <w:r w:rsidR="001F298B" w:rsidRPr="00B96A9B">
        <w:rPr>
          <w:rFonts w:ascii="Arial" w:hAnsi="Arial" w:cs="Arial"/>
        </w:rPr>
        <w:t xml:space="preserve">were treated with a single PO administration of </w:t>
      </w:r>
      <w:r w:rsidR="00550C6F">
        <w:rPr>
          <w:rFonts w:ascii="Arial" w:hAnsi="Arial" w:cs="Arial"/>
        </w:rPr>
        <w:t xml:space="preserve">100 mg/kg </w:t>
      </w:r>
      <w:r w:rsidR="001F298B" w:rsidRPr="00B96A9B">
        <w:rPr>
          <w:rFonts w:ascii="Arial" w:hAnsi="Arial" w:cs="Arial"/>
        </w:rPr>
        <w:t xml:space="preserve">ICEC0942. Animals were sacrificed at 1, 6, 12, 18, 24, 36 and 48 h </w:t>
      </w:r>
      <w:r w:rsidR="00550C6F">
        <w:rPr>
          <w:rFonts w:ascii="Arial" w:hAnsi="Arial" w:cs="Arial"/>
        </w:rPr>
        <w:t>after dosing</w:t>
      </w:r>
      <w:r w:rsidR="001F298B" w:rsidRPr="00B96A9B">
        <w:rPr>
          <w:rFonts w:ascii="Arial" w:hAnsi="Arial" w:cs="Arial"/>
        </w:rPr>
        <w:t>. At</w:t>
      </w:r>
      <w:r w:rsidR="00550C6F">
        <w:rPr>
          <w:rFonts w:ascii="Arial" w:hAnsi="Arial" w:cs="Arial"/>
        </w:rPr>
        <w:t xml:space="preserve"> each time point blood and tumo</w:t>
      </w:r>
      <w:r w:rsidR="001F298B" w:rsidRPr="00B96A9B">
        <w:rPr>
          <w:rFonts w:ascii="Arial" w:hAnsi="Arial" w:cs="Arial"/>
        </w:rPr>
        <w:t>r</w:t>
      </w:r>
      <w:r w:rsidR="00550C6F">
        <w:rPr>
          <w:rFonts w:ascii="Arial" w:hAnsi="Arial" w:cs="Arial"/>
        </w:rPr>
        <w:t>s</w:t>
      </w:r>
      <w:r w:rsidR="001F298B" w:rsidRPr="00B96A9B">
        <w:rPr>
          <w:rFonts w:ascii="Arial" w:hAnsi="Arial" w:cs="Arial"/>
        </w:rPr>
        <w:t xml:space="preserve"> </w:t>
      </w:r>
      <w:r w:rsidR="00550C6F">
        <w:rPr>
          <w:rFonts w:ascii="Arial" w:hAnsi="Arial" w:cs="Arial"/>
        </w:rPr>
        <w:t>were</w:t>
      </w:r>
      <w:r w:rsidR="001F298B" w:rsidRPr="00B96A9B">
        <w:rPr>
          <w:rFonts w:ascii="Arial" w:hAnsi="Arial" w:cs="Arial"/>
        </w:rPr>
        <w:t xml:space="preserve"> sampled</w:t>
      </w:r>
      <w:r w:rsidR="00550C6F">
        <w:rPr>
          <w:rFonts w:ascii="Arial" w:hAnsi="Arial" w:cs="Arial"/>
        </w:rPr>
        <w:t xml:space="preserve"> for ICEC0942 remaining by LC-MS/MS. The results of three mice at each time point, are shown.</w:t>
      </w:r>
      <w:r w:rsidR="001F298B" w:rsidRPr="00B96A9B">
        <w:rPr>
          <w:rFonts w:ascii="Arial" w:hAnsi="Arial" w:cs="Arial"/>
        </w:rPr>
        <w:t xml:space="preserve"> </w:t>
      </w:r>
      <w:r w:rsidR="00242254">
        <w:rPr>
          <w:rFonts w:ascii="Arial" w:hAnsi="Arial" w:cs="Arial"/>
        </w:rPr>
        <w:t>A single 100 mg/kg dose of ICEC0942 was administered PO to</w:t>
      </w:r>
      <w:r w:rsidR="00551B02">
        <w:rPr>
          <w:rFonts w:ascii="Arial" w:hAnsi="Arial" w:cs="Arial"/>
        </w:rPr>
        <w:t xml:space="preserve"> male CD1 mice and plasma levels</w:t>
      </w:r>
      <w:r w:rsidR="00242254">
        <w:rPr>
          <w:rFonts w:ascii="Arial" w:hAnsi="Arial" w:cs="Arial"/>
        </w:rPr>
        <w:t xml:space="preserve"> of ICEC0942 were determined (n=3 for each time point). </w:t>
      </w:r>
    </w:p>
    <w:p w14:paraId="624789EF" w14:textId="77777777" w:rsidR="00513639" w:rsidRDefault="00513639" w:rsidP="001F298B">
      <w:pPr>
        <w:spacing w:line="360" w:lineRule="auto"/>
        <w:jc w:val="both"/>
        <w:rPr>
          <w:rFonts w:ascii="Arial" w:hAnsi="Arial" w:cs="Arial"/>
          <w:color w:val="000000" w:themeColor="text1"/>
        </w:rPr>
      </w:pPr>
    </w:p>
    <w:p w14:paraId="6D837761" w14:textId="16743A3D" w:rsidR="00513639" w:rsidRPr="007D3529" w:rsidRDefault="00513639" w:rsidP="00513639">
      <w:pPr>
        <w:spacing w:line="360" w:lineRule="auto"/>
        <w:jc w:val="both"/>
        <w:rPr>
          <w:rFonts w:ascii="Arial" w:hAnsi="Arial" w:cs="Arial"/>
          <w:i/>
        </w:rPr>
      </w:pPr>
      <w:r>
        <w:rPr>
          <w:rFonts w:ascii="Arial" w:hAnsi="Arial" w:cs="Arial"/>
        </w:rPr>
        <w:lastRenderedPageBreak/>
        <w:t>Supplementary Figure S</w:t>
      </w:r>
      <w:r w:rsidR="00030361">
        <w:rPr>
          <w:rFonts w:ascii="Arial" w:hAnsi="Arial" w:cs="Arial"/>
        </w:rPr>
        <w:t>7</w:t>
      </w:r>
      <w:bookmarkStart w:id="0" w:name="_GoBack"/>
      <w:bookmarkEnd w:id="0"/>
      <w:r>
        <w:rPr>
          <w:rFonts w:ascii="Arial" w:hAnsi="Arial" w:cs="Arial"/>
        </w:rPr>
        <w:t xml:space="preserve">. Combinatorial inhibition of breast cancer cells with a combination of ICEC0942 + anti-estrogens. </w:t>
      </w:r>
      <w:r w:rsidRPr="00A81F2F">
        <w:rPr>
          <w:rFonts w:ascii="Arial" w:hAnsi="Arial" w:cs="Arial"/>
          <w:i/>
        </w:rPr>
        <w:t>A-B,</w:t>
      </w:r>
      <w:r>
        <w:rPr>
          <w:rFonts w:ascii="Arial" w:hAnsi="Arial" w:cs="Arial"/>
        </w:rPr>
        <w:t xml:space="preserve"> MCF7 cells were cultured in the presence of ICEC0942 (100 nM), with or without 1 nM tamoxifen or faslodex over a 9-day growth experiment. Cell number was assessed using the SRB assay and is shown relative to growth for day 0 ±SEM (n=5). </w:t>
      </w:r>
      <w:r>
        <w:rPr>
          <w:rFonts w:ascii="Arial" w:hAnsi="Arial" w:cs="Arial"/>
          <w:color w:val="000000" w:themeColor="text1"/>
        </w:rPr>
        <w:t xml:space="preserve">ANOVA analysis for multiple comparison was performed and p-values for the key treatment pairs is shown. </w:t>
      </w:r>
      <w:r>
        <w:rPr>
          <w:rFonts w:ascii="Arial" w:hAnsi="Arial" w:cs="Arial"/>
          <w:i/>
        </w:rPr>
        <w:t>C</w:t>
      </w:r>
      <w:r w:rsidRPr="009557DB">
        <w:rPr>
          <w:rFonts w:ascii="Arial" w:hAnsi="Arial" w:cs="Arial"/>
          <w:i/>
        </w:rPr>
        <w:t>,</w:t>
      </w:r>
      <w:r>
        <w:rPr>
          <w:rFonts w:ascii="Arial" w:hAnsi="Arial" w:cs="Arial"/>
        </w:rPr>
        <w:t xml:space="preserve"> Representative IHC images of tumors recovered at day 15 following oral administration of 50 mg/kg/day ICEC0942 and 100 µg tamoxifen citrate daily over a 15-day period, plotted in Fig. 5C. </w:t>
      </w:r>
      <w:r>
        <w:rPr>
          <w:rFonts w:ascii="Arial" w:hAnsi="Arial" w:cs="Arial"/>
          <w:i/>
        </w:rPr>
        <w:t>D</w:t>
      </w:r>
      <w:r w:rsidRPr="009557DB">
        <w:rPr>
          <w:rFonts w:ascii="Arial" w:hAnsi="Arial" w:cs="Arial"/>
          <w:i/>
        </w:rPr>
        <w:t>,</w:t>
      </w:r>
      <w:r>
        <w:rPr>
          <w:rFonts w:ascii="Arial" w:hAnsi="Arial" w:cs="Arial"/>
        </w:rPr>
        <w:t xml:space="preserve"> Animal growth was measured over the course of the treatments. </w:t>
      </w:r>
      <w:r>
        <w:rPr>
          <w:rFonts w:ascii="Arial" w:hAnsi="Arial" w:cs="Arial"/>
          <w:i/>
        </w:rPr>
        <w:t>E</w:t>
      </w:r>
      <w:r>
        <w:rPr>
          <w:rFonts w:ascii="Arial" w:hAnsi="Arial" w:cs="Arial"/>
        </w:rPr>
        <w:t xml:space="preserve">, </w:t>
      </w:r>
      <w:r w:rsidRPr="00157FE5">
        <w:rPr>
          <w:rFonts w:ascii="Arial" w:hAnsi="Arial" w:cs="Arial"/>
          <w:lang w:val="en-GB" w:eastAsia="en-GB"/>
        </w:rPr>
        <w:t>Biochemi</w:t>
      </w:r>
      <w:r>
        <w:rPr>
          <w:rFonts w:ascii="Arial" w:hAnsi="Arial" w:cs="Arial"/>
          <w:lang w:val="en-GB" w:eastAsia="en-GB"/>
        </w:rPr>
        <w:t>cal markers of liver and kidney (n=4)</w:t>
      </w:r>
      <w:r w:rsidRPr="00157FE5">
        <w:rPr>
          <w:rFonts w:ascii="Arial" w:hAnsi="Arial" w:cs="Arial"/>
          <w:lang w:val="en-GB" w:eastAsia="en-GB"/>
        </w:rPr>
        <w:t>.</w:t>
      </w:r>
      <w:r>
        <w:rPr>
          <w:rFonts w:ascii="Arial" w:hAnsi="Arial" w:cs="Arial"/>
          <w:lang w:val="en-GB" w:eastAsia="en-GB"/>
        </w:rPr>
        <w:t xml:space="preserve"> Serum was collected 6 hours after the last dose at the end of the study (day 15). </w:t>
      </w:r>
      <w:r>
        <w:rPr>
          <w:rFonts w:ascii="Arial" w:hAnsi="Arial" w:cs="Arial"/>
          <w:i/>
        </w:rPr>
        <w:t>F</w:t>
      </w:r>
      <w:r>
        <w:rPr>
          <w:rFonts w:ascii="Arial" w:hAnsi="Arial" w:cs="Arial"/>
        </w:rPr>
        <w:t xml:space="preserve">, </w:t>
      </w:r>
      <w:r w:rsidRPr="00157FE5">
        <w:rPr>
          <w:rFonts w:ascii="Arial" w:hAnsi="Arial" w:cs="Arial"/>
          <w:lang w:val="en-GB" w:eastAsia="en-GB"/>
        </w:rPr>
        <w:t xml:space="preserve">Haematological profiles in animals bearing </w:t>
      </w:r>
      <w:r>
        <w:rPr>
          <w:rFonts w:ascii="Arial" w:hAnsi="Arial" w:cs="Arial"/>
          <w:lang w:val="en-GB" w:eastAsia="en-GB"/>
        </w:rPr>
        <w:t>MCF7</w:t>
      </w:r>
      <w:r w:rsidRPr="00157FE5">
        <w:rPr>
          <w:rFonts w:ascii="Arial" w:hAnsi="Arial" w:cs="Arial"/>
          <w:lang w:val="en-GB" w:eastAsia="en-GB"/>
        </w:rPr>
        <w:t xml:space="preserve"> tumour</w:t>
      </w:r>
      <w:r>
        <w:rPr>
          <w:rFonts w:ascii="Arial" w:hAnsi="Arial" w:cs="Arial"/>
          <w:lang w:val="en-GB" w:eastAsia="en-GB"/>
        </w:rPr>
        <w:t xml:space="preserve"> </w:t>
      </w:r>
      <w:r w:rsidRPr="00157FE5">
        <w:rPr>
          <w:rFonts w:ascii="Arial" w:hAnsi="Arial" w:cs="Arial"/>
          <w:lang w:val="en-GB" w:eastAsia="en-GB"/>
        </w:rPr>
        <w:t>xenografts treated with ICEC0942. Blood was collected 6h after the last dose at</w:t>
      </w:r>
      <w:r>
        <w:rPr>
          <w:rFonts w:ascii="Arial" w:hAnsi="Arial" w:cs="Arial"/>
          <w:lang w:val="en-GB" w:eastAsia="en-GB"/>
        </w:rPr>
        <w:t xml:space="preserve"> </w:t>
      </w:r>
      <w:r w:rsidRPr="00157FE5">
        <w:rPr>
          <w:rFonts w:ascii="Arial" w:hAnsi="Arial" w:cs="Arial"/>
          <w:lang w:val="en-GB" w:eastAsia="en-GB"/>
        </w:rPr>
        <w:t>the end of the study.</w:t>
      </w:r>
      <w:r>
        <w:rPr>
          <w:rFonts w:ascii="Arial" w:hAnsi="Arial" w:cs="Arial"/>
          <w:lang w:val="en-GB" w:eastAsia="en-GB"/>
        </w:rPr>
        <w:t xml:space="preserve"> </w:t>
      </w:r>
    </w:p>
    <w:p w14:paraId="76C493D3" w14:textId="0102C4E1" w:rsidR="00802852" w:rsidRDefault="00DA2BDA" w:rsidP="001F298B">
      <w:pPr>
        <w:spacing w:line="360" w:lineRule="auto"/>
        <w:jc w:val="both"/>
        <w:rPr>
          <w:rFonts w:ascii="Arial" w:hAnsi="Arial" w:cs="Arial"/>
        </w:rPr>
      </w:pPr>
      <w:r>
        <w:rPr>
          <w:rFonts w:ascii="Arial" w:hAnsi="Arial" w:cs="Arial"/>
          <w:color w:val="000000" w:themeColor="text1"/>
        </w:rPr>
        <w:t xml:space="preserve"> </w:t>
      </w:r>
    </w:p>
    <w:p w14:paraId="2A74437B" w14:textId="77777777" w:rsidR="000D34C7" w:rsidRDefault="000D34C7" w:rsidP="001F298B">
      <w:pPr>
        <w:spacing w:line="360" w:lineRule="auto"/>
        <w:jc w:val="both"/>
        <w:rPr>
          <w:rFonts w:ascii="Arial" w:hAnsi="Arial" w:cs="Arial"/>
        </w:rPr>
      </w:pPr>
    </w:p>
    <w:p w14:paraId="27FBAA1D" w14:textId="6787BC92" w:rsidR="00C85CB0" w:rsidRPr="00EC7493" w:rsidRDefault="00C85CB0" w:rsidP="001F298B">
      <w:pPr>
        <w:spacing w:line="360" w:lineRule="auto"/>
        <w:jc w:val="both"/>
        <w:rPr>
          <w:rFonts w:ascii="Arial" w:hAnsi="Arial" w:cs="Arial"/>
          <w:lang w:val="en-GB" w:eastAsia="en-GB"/>
        </w:rPr>
      </w:pPr>
    </w:p>
    <w:sectPr w:rsidR="00C85CB0" w:rsidRPr="00EC7493" w:rsidSect="004D2C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322F" w14:textId="77777777" w:rsidR="00450532" w:rsidRDefault="00450532" w:rsidP="000D7DEE">
      <w:r>
        <w:separator/>
      </w:r>
    </w:p>
  </w:endnote>
  <w:endnote w:type="continuationSeparator" w:id="0">
    <w:p w14:paraId="5AEDCDA7" w14:textId="77777777" w:rsidR="00450532" w:rsidRDefault="00450532" w:rsidP="000D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CAB6" w14:textId="77777777" w:rsidR="00450532" w:rsidRDefault="00450532" w:rsidP="000D7DEE">
      <w:r>
        <w:separator/>
      </w:r>
    </w:p>
  </w:footnote>
  <w:footnote w:type="continuationSeparator" w:id="0">
    <w:p w14:paraId="043535EB" w14:textId="77777777" w:rsidR="00450532" w:rsidRDefault="00450532" w:rsidP="000D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1B37"/>
    <w:multiLevelType w:val="hybridMultilevel"/>
    <w:tmpl w:val="6C7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DEE"/>
    <w:rsid w:val="00015A16"/>
    <w:rsid w:val="00020181"/>
    <w:rsid w:val="00030361"/>
    <w:rsid w:val="00031132"/>
    <w:rsid w:val="0005031F"/>
    <w:rsid w:val="00055E90"/>
    <w:rsid w:val="0006066B"/>
    <w:rsid w:val="000842AA"/>
    <w:rsid w:val="00084A03"/>
    <w:rsid w:val="00093209"/>
    <w:rsid w:val="00097603"/>
    <w:rsid w:val="000A3F9B"/>
    <w:rsid w:val="000C4F87"/>
    <w:rsid w:val="000D0748"/>
    <w:rsid w:val="000D34C7"/>
    <w:rsid w:val="000D63B7"/>
    <w:rsid w:val="000D7DEE"/>
    <w:rsid w:val="000F3D99"/>
    <w:rsid w:val="0010194B"/>
    <w:rsid w:val="00102918"/>
    <w:rsid w:val="00106836"/>
    <w:rsid w:val="00117435"/>
    <w:rsid w:val="00123DD2"/>
    <w:rsid w:val="00125837"/>
    <w:rsid w:val="00132298"/>
    <w:rsid w:val="001446BC"/>
    <w:rsid w:val="00155343"/>
    <w:rsid w:val="00157E28"/>
    <w:rsid w:val="00157FE5"/>
    <w:rsid w:val="00174AE9"/>
    <w:rsid w:val="001811EB"/>
    <w:rsid w:val="00186929"/>
    <w:rsid w:val="00191183"/>
    <w:rsid w:val="001D061A"/>
    <w:rsid w:val="001D4A94"/>
    <w:rsid w:val="001F298B"/>
    <w:rsid w:val="001F3E2C"/>
    <w:rsid w:val="001F62CD"/>
    <w:rsid w:val="00207BA4"/>
    <w:rsid w:val="00210BC5"/>
    <w:rsid w:val="0021275B"/>
    <w:rsid w:val="00216158"/>
    <w:rsid w:val="0022048A"/>
    <w:rsid w:val="00231CF8"/>
    <w:rsid w:val="0024117B"/>
    <w:rsid w:val="00242254"/>
    <w:rsid w:val="002427D5"/>
    <w:rsid w:val="002467BC"/>
    <w:rsid w:val="00265CED"/>
    <w:rsid w:val="00266AD7"/>
    <w:rsid w:val="00270508"/>
    <w:rsid w:val="00272C7A"/>
    <w:rsid w:val="0027565F"/>
    <w:rsid w:val="00294A58"/>
    <w:rsid w:val="00297DCD"/>
    <w:rsid w:val="002A2B3E"/>
    <w:rsid w:val="002A6FF7"/>
    <w:rsid w:val="002B1640"/>
    <w:rsid w:val="002B2E3F"/>
    <w:rsid w:val="002B3627"/>
    <w:rsid w:val="002C3F9B"/>
    <w:rsid w:val="002C5372"/>
    <w:rsid w:val="002D36DD"/>
    <w:rsid w:val="002D3A29"/>
    <w:rsid w:val="002D4974"/>
    <w:rsid w:val="002E50C1"/>
    <w:rsid w:val="002F019C"/>
    <w:rsid w:val="002F58D9"/>
    <w:rsid w:val="00303D60"/>
    <w:rsid w:val="00315E2B"/>
    <w:rsid w:val="00316954"/>
    <w:rsid w:val="003573BA"/>
    <w:rsid w:val="00363D9A"/>
    <w:rsid w:val="00383DCA"/>
    <w:rsid w:val="00386512"/>
    <w:rsid w:val="00396F0F"/>
    <w:rsid w:val="003B4B90"/>
    <w:rsid w:val="003B6BF2"/>
    <w:rsid w:val="003C3137"/>
    <w:rsid w:val="003D20C8"/>
    <w:rsid w:val="003D5C4B"/>
    <w:rsid w:val="003E2698"/>
    <w:rsid w:val="003E53E3"/>
    <w:rsid w:val="003F0C1A"/>
    <w:rsid w:val="003F5C9C"/>
    <w:rsid w:val="003F7BC8"/>
    <w:rsid w:val="00421169"/>
    <w:rsid w:val="00445D05"/>
    <w:rsid w:val="00445FE1"/>
    <w:rsid w:val="00450532"/>
    <w:rsid w:val="004726E7"/>
    <w:rsid w:val="00476397"/>
    <w:rsid w:val="00476FA6"/>
    <w:rsid w:val="004770A7"/>
    <w:rsid w:val="00477B69"/>
    <w:rsid w:val="004857BF"/>
    <w:rsid w:val="004913BE"/>
    <w:rsid w:val="004A3359"/>
    <w:rsid w:val="004A5482"/>
    <w:rsid w:val="004B2DDC"/>
    <w:rsid w:val="004B3357"/>
    <w:rsid w:val="004D0A2D"/>
    <w:rsid w:val="004D2C4C"/>
    <w:rsid w:val="004D3245"/>
    <w:rsid w:val="004D7D51"/>
    <w:rsid w:val="004E7C24"/>
    <w:rsid w:val="004F1556"/>
    <w:rsid w:val="004F48DC"/>
    <w:rsid w:val="004F580C"/>
    <w:rsid w:val="004F646A"/>
    <w:rsid w:val="00513639"/>
    <w:rsid w:val="005177D3"/>
    <w:rsid w:val="0052153A"/>
    <w:rsid w:val="00524EB9"/>
    <w:rsid w:val="0054165F"/>
    <w:rsid w:val="00542527"/>
    <w:rsid w:val="00550C6F"/>
    <w:rsid w:val="00550F12"/>
    <w:rsid w:val="00551B02"/>
    <w:rsid w:val="00582FB2"/>
    <w:rsid w:val="0058304A"/>
    <w:rsid w:val="00597647"/>
    <w:rsid w:val="005B4D9C"/>
    <w:rsid w:val="005B776F"/>
    <w:rsid w:val="005C2C6E"/>
    <w:rsid w:val="005C79B0"/>
    <w:rsid w:val="005D269C"/>
    <w:rsid w:val="005D3608"/>
    <w:rsid w:val="00642A05"/>
    <w:rsid w:val="00642B83"/>
    <w:rsid w:val="00643CE9"/>
    <w:rsid w:val="00650ECF"/>
    <w:rsid w:val="00652928"/>
    <w:rsid w:val="0066798D"/>
    <w:rsid w:val="006702E3"/>
    <w:rsid w:val="00681FD1"/>
    <w:rsid w:val="006A05DD"/>
    <w:rsid w:val="006A2468"/>
    <w:rsid w:val="006A7019"/>
    <w:rsid w:val="006B72E6"/>
    <w:rsid w:val="006C3610"/>
    <w:rsid w:val="006D47AF"/>
    <w:rsid w:val="006E0215"/>
    <w:rsid w:val="006E75E8"/>
    <w:rsid w:val="00715EA5"/>
    <w:rsid w:val="00716D18"/>
    <w:rsid w:val="00725E55"/>
    <w:rsid w:val="00730CFF"/>
    <w:rsid w:val="0073108F"/>
    <w:rsid w:val="00745FD7"/>
    <w:rsid w:val="007711EB"/>
    <w:rsid w:val="00774108"/>
    <w:rsid w:val="0078277A"/>
    <w:rsid w:val="00792ADF"/>
    <w:rsid w:val="007D3529"/>
    <w:rsid w:val="007E159C"/>
    <w:rsid w:val="007E1B3D"/>
    <w:rsid w:val="007E2555"/>
    <w:rsid w:val="007E4DC5"/>
    <w:rsid w:val="007F733C"/>
    <w:rsid w:val="00802852"/>
    <w:rsid w:val="00806CF4"/>
    <w:rsid w:val="00816A57"/>
    <w:rsid w:val="00824C45"/>
    <w:rsid w:val="008257F3"/>
    <w:rsid w:val="008268D1"/>
    <w:rsid w:val="0082699D"/>
    <w:rsid w:val="00831F6B"/>
    <w:rsid w:val="00852720"/>
    <w:rsid w:val="00874817"/>
    <w:rsid w:val="0088025B"/>
    <w:rsid w:val="008860F8"/>
    <w:rsid w:val="0089426A"/>
    <w:rsid w:val="00896A80"/>
    <w:rsid w:val="008A6F02"/>
    <w:rsid w:val="008B041B"/>
    <w:rsid w:val="008C192F"/>
    <w:rsid w:val="008E349D"/>
    <w:rsid w:val="008E41F4"/>
    <w:rsid w:val="008F2AA7"/>
    <w:rsid w:val="008F62B4"/>
    <w:rsid w:val="00902BBA"/>
    <w:rsid w:val="00903D4C"/>
    <w:rsid w:val="0092753D"/>
    <w:rsid w:val="00947A8B"/>
    <w:rsid w:val="009510DB"/>
    <w:rsid w:val="009557DB"/>
    <w:rsid w:val="00960FA9"/>
    <w:rsid w:val="00971788"/>
    <w:rsid w:val="0097633C"/>
    <w:rsid w:val="009A3F5C"/>
    <w:rsid w:val="009B08D0"/>
    <w:rsid w:val="009B47C1"/>
    <w:rsid w:val="009B6E28"/>
    <w:rsid w:val="009C6942"/>
    <w:rsid w:val="009D23D1"/>
    <w:rsid w:val="009D5F62"/>
    <w:rsid w:val="009F4300"/>
    <w:rsid w:val="009F67E3"/>
    <w:rsid w:val="00A04D90"/>
    <w:rsid w:val="00A172B8"/>
    <w:rsid w:val="00A274D4"/>
    <w:rsid w:val="00A30E96"/>
    <w:rsid w:val="00A369D0"/>
    <w:rsid w:val="00A42487"/>
    <w:rsid w:val="00A47FE6"/>
    <w:rsid w:val="00A515F5"/>
    <w:rsid w:val="00A56323"/>
    <w:rsid w:val="00A63976"/>
    <w:rsid w:val="00A679D6"/>
    <w:rsid w:val="00A70B8D"/>
    <w:rsid w:val="00A81F2F"/>
    <w:rsid w:val="00A90A0D"/>
    <w:rsid w:val="00A91EAB"/>
    <w:rsid w:val="00A928D8"/>
    <w:rsid w:val="00A92BD9"/>
    <w:rsid w:val="00AB70E8"/>
    <w:rsid w:val="00AD6572"/>
    <w:rsid w:val="00B03945"/>
    <w:rsid w:val="00B045BB"/>
    <w:rsid w:val="00B07297"/>
    <w:rsid w:val="00B11B4B"/>
    <w:rsid w:val="00B12864"/>
    <w:rsid w:val="00B3405C"/>
    <w:rsid w:val="00B564C8"/>
    <w:rsid w:val="00B63C58"/>
    <w:rsid w:val="00B709B6"/>
    <w:rsid w:val="00B923E3"/>
    <w:rsid w:val="00BB2A15"/>
    <w:rsid w:val="00BB46E3"/>
    <w:rsid w:val="00BC30EB"/>
    <w:rsid w:val="00BC3F82"/>
    <w:rsid w:val="00BD202E"/>
    <w:rsid w:val="00BD3D77"/>
    <w:rsid w:val="00BE2CA3"/>
    <w:rsid w:val="00BE7FF0"/>
    <w:rsid w:val="00BF06DE"/>
    <w:rsid w:val="00BF51B5"/>
    <w:rsid w:val="00C02090"/>
    <w:rsid w:val="00C027BC"/>
    <w:rsid w:val="00C06FEE"/>
    <w:rsid w:val="00C07F4D"/>
    <w:rsid w:val="00C1200C"/>
    <w:rsid w:val="00C1317A"/>
    <w:rsid w:val="00C13E9F"/>
    <w:rsid w:val="00C16BCF"/>
    <w:rsid w:val="00C334B0"/>
    <w:rsid w:val="00C363CA"/>
    <w:rsid w:val="00C40F56"/>
    <w:rsid w:val="00C53911"/>
    <w:rsid w:val="00C562A5"/>
    <w:rsid w:val="00C6496E"/>
    <w:rsid w:val="00C758E8"/>
    <w:rsid w:val="00C772AF"/>
    <w:rsid w:val="00C85CB0"/>
    <w:rsid w:val="00C9404C"/>
    <w:rsid w:val="00C97793"/>
    <w:rsid w:val="00CA48D7"/>
    <w:rsid w:val="00CB3DC4"/>
    <w:rsid w:val="00CC74B1"/>
    <w:rsid w:val="00CD2E65"/>
    <w:rsid w:val="00CD4445"/>
    <w:rsid w:val="00CE31EE"/>
    <w:rsid w:val="00CE3E6A"/>
    <w:rsid w:val="00CE5D1C"/>
    <w:rsid w:val="00CF1B45"/>
    <w:rsid w:val="00CF2F18"/>
    <w:rsid w:val="00CF43D8"/>
    <w:rsid w:val="00CF5B29"/>
    <w:rsid w:val="00D00712"/>
    <w:rsid w:val="00D00909"/>
    <w:rsid w:val="00D010AE"/>
    <w:rsid w:val="00D049E2"/>
    <w:rsid w:val="00D14290"/>
    <w:rsid w:val="00D23CE5"/>
    <w:rsid w:val="00D470DE"/>
    <w:rsid w:val="00D5075D"/>
    <w:rsid w:val="00D53054"/>
    <w:rsid w:val="00D572DE"/>
    <w:rsid w:val="00D6048E"/>
    <w:rsid w:val="00D60497"/>
    <w:rsid w:val="00D64461"/>
    <w:rsid w:val="00D74C2E"/>
    <w:rsid w:val="00D80D69"/>
    <w:rsid w:val="00D81A87"/>
    <w:rsid w:val="00D8526D"/>
    <w:rsid w:val="00D863FA"/>
    <w:rsid w:val="00D90880"/>
    <w:rsid w:val="00DA2BDA"/>
    <w:rsid w:val="00DA4AA8"/>
    <w:rsid w:val="00DB09C2"/>
    <w:rsid w:val="00DC2447"/>
    <w:rsid w:val="00DC3AD8"/>
    <w:rsid w:val="00DF0BAC"/>
    <w:rsid w:val="00E16365"/>
    <w:rsid w:val="00E23BCD"/>
    <w:rsid w:val="00E32C75"/>
    <w:rsid w:val="00E335E7"/>
    <w:rsid w:val="00E54E53"/>
    <w:rsid w:val="00E62B0B"/>
    <w:rsid w:val="00E635E4"/>
    <w:rsid w:val="00E67EC9"/>
    <w:rsid w:val="00E72311"/>
    <w:rsid w:val="00E82E57"/>
    <w:rsid w:val="00E83F23"/>
    <w:rsid w:val="00E96728"/>
    <w:rsid w:val="00EC7493"/>
    <w:rsid w:val="00EE1343"/>
    <w:rsid w:val="00EE2E98"/>
    <w:rsid w:val="00EE6496"/>
    <w:rsid w:val="00F03C84"/>
    <w:rsid w:val="00F046D7"/>
    <w:rsid w:val="00F07194"/>
    <w:rsid w:val="00F10AAD"/>
    <w:rsid w:val="00F15AB7"/>
    <w:rsid w:val="00F42EF3"/>
    <w:rsid w:val="00F56C36"/>
    <w:rsid w:val="00F61F75"/>
    <w:rsid w:val="00F678AA"/>
    <w:rsid w:val="00F747A5"/>
    <w:rsid w:val="00F84B89"/>
    <w:rsid w:val="00FA1049"/>
    <w:rsid w:val="00FB22D4"/>
    <w:rsid w:val="00FB3F26"/>
    <w:rsid w:val="00FB4940"/>
    <w:rsid w:val="00FC23FF"/>
    <w:rsid w:val="00FC33B2"/>
    <w:rsid w:val="00FC5397"/>
    <w:rsid w:val="00FE500B"/>
    <w:rsid w:val="00FE5E85"/>
    <w:rsid w:val="00FF1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E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D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7DEE"/>
  </w:style>
  <w:style w:type="character" w:customStyle="1" w:styleId="FootnoteTextChar">
    <w:name w:val="Footnote Text Char"/>
    <w:basedOn w:val="DefaultParagraphFont"/>
    <w:link w:val="FootnoteText"/>
    <w:uiPriority w:val="99"/>
    <w:rsid w:val="000D7DEE"/>
    <w:rPr>
      <w:lang w:val="en-US"/>
    </w:rPr>
  </w:style>
  <w:style w:type="character" w:styleId="FootnoteReference">
    <w:name w:val="footnote reference"/>
    <w:basedOn w:val="DefaultParagraphFont"/>
    <w:uiPriority w:val="99"/>
    <w:unhideWhenUsed/>
    <w:rsid w:val="000D7DEE"/>
    <w:rPr>
      <w:vertAlign w:val="superscript"/>
    </w:rPr>
  </w:style>
  <w:style w:type="character" w:styleId="Hyperlink">
    <w:name w:val="Hyperlink"/>
    <w:basedOn w:val="DefaultParagraphFont"/>
    <w:uiPriority w:val="99"/>
    <w:unhideWhenUsed/>
    <w:rsid w:val="00186929"/>
    <w:rPr>
      <w:color w:val="0000FF" w:themeColor="hyperlink"/>
      <w:u w:val="single"/>
    </w:rPr>
  </w:style>
  <w:style w:type="paragraph" w:styleId="BalloonText">
    <w:name w:val="Balloon Text"/>
    <w:basedOn w:val="Normal"/>
    <w:link w:val="BalloonTextChar"/>
    <w:uiPriority w:val="99"/>
    <w:semiHidden/>
    <w:unhideWhenUsed/>
    <w:rsid w:val="006A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5DD"/>
    <w:rPr>
      <w:rFonts w:ascii="Lucida Grande" w:hAnsi="Lucida Grande" w:cs="Lucida Grande"/>
      <w:sz w:val="18"/>
      <w:szCs w:val="18"/>
      <w:lang w:val="en-US"/>
    </w:rPr>
  </w:style>
  <w:style w:type="paragraph" w:styleId="NormalWeb">
    <w:name w:val="Normal (Web)"/>
    <w:basedOn w:val="Normal"/>
    <w:uiPriority w:val="99"/>
    <w:semiHidden/>
    <w:unhideWhenUsed/>
    <w:rsid w:val="003E2698"/>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CE3E6A"/>
    <w:pPr>
      <w:tabs>
        <w:tab w:val="center" w:pos="4320"/>
        <w:tab w:val="right" w:pos="8640"/>
      </w:tabs>
    </w:pPr>
  </w:style>
  <w:style w:type="character" w:customStyle="1" w:styleId="HeaderChar">
    <w:name w:val="Header Char"/>
    <w:basedOn w:val="DefaultParagraphFont"/>
    <w:link w:val="Header"/>
    <w:uiPriority w:val="99"/>
    <w:rsid w:val="00CE3E6A"/>
    <w:rPr>
      <w:lang w:val="en-US"/>
    </w:rPr>
  </w:style>
  <w:style w:type="paragraph" w:styleId="Footer">
    <w:name w:val="footer"/>
    <w:basedOn w:val="Normal"/>
    <w:link w:val="FooterChar"/>
    <w:uiPriority w:val="99"/>
    <w:unhideWhenUsed/>
    <w:rsid w:val="00CE3E6A"/>
    <w:pPr>
      <w:tabs>
        <w:tab w:val="center" w:pos="4320"/>
        <w:tab w:val="right" w:pos="8640"/>
      </w:tabs>
    </w:pPr>
  </w:style>
  <w:style w:type="character" w:customStyle="1" w:styleId="FooterChar">
    <w:name w:val="Footer Char"/>
    <w:basedOn w:val="DefaultParagraphFont"/>
    <w:link w:val="Footer"/>
    <w:uiPriority w:val="99"/>
    <w:rsid w:val="00CE3E6A"/>
    <w:rPr>
      <w:lang w:val="en-US"/>
    </w:rPr>
  </w:style>
  <w:style w:type="character" w:styleId="CommentReference">
    <w:name w:val="annotation reference"/>
    <w:basedOn w:val="DefaultParagraphFont"/>
    <w:uiPriority w:val="99"/>
    <w:semiHidden/>
    <w:unhideWhenUsed/>
    <w:rsid w:val="00F56C36"/>
    <w:rPr>
      <w:sz w:val="18"/>
      <w:szCs w:val="18"/>
    </w:rPr>
  </w:style>
  <w:style w:type="paragraph" w:styleId="CommentText">
    <w:name w:val="annotation text"/>
    <w:basedOn w:val="Normal"/>
    <w:link w:val="CommentTextChar"/>
    <w:uiPriority w:val="99"/>
    <w:semiHidden/>
    <w:unhideWhenUsed/>
    <w:rsid w:val="00F56C36"/>
  </w:style>
  <w:style w:type="character" w:customStyle="1" w:styleId="CommentTextChar">
    <w:name w:val="Comment Text Char"/>
    <w:basedOn w:val="DefaultParagraphFont"/>
    <w:link w:val="CommentText"/>
    <w:uiPriority w:val="99"/>
    <w:semiHidden/>
    <w:rsid w:val="00F56C36"/>
    <w:rPr>
      <w:lang w:val="en-US"/>
    </w:rPr>
  </w:style>
  <w:style w:type="paragraph" w:customStyle="1" w:styleId="p1">
    <w:name w:val="p1"/>
    <w:basedOn w:val="Normal"/>
    <w:rsid w:val="00B3405C"/>
    <w:rPr>
      <w:rFonts w:ascii="Helvetica" w:hAnsi="Helvetica" w:cs="Times New Roman"/>
      <w:sz w:val="12"/>
      <w:szCs w:val="12"/>
      <w:lang w:val="en-GB" w:eastAsia="en-GB"/>
    </w:rPr>
  </w:style>
  <w:style w:type="character" w:customStyle="1" w:styleId="s1">
    <w:name w:val="s1"/>
    <w:basedOn w:val="DefaultParagraphFont"/>
    <w:rsid w:val="00715EA5"/>
    <w:rPr>
      <w:rFonts w:ascii="Helvetica" w:hAnsi="Helvetica" w:hint="default"/>
      <w:sz w:val="10"/>
      <w:szCs w:val="10"/>
    </w:rPr>
  </w:style>
  <w:style w:type="paragraph" w:styleId="CommentSubject">
    <w:name w:val="annotation subject"/>
    <w:basedOn w:val="CommentText"/>
    <w:next w:val="CommentText"/>
    <w:link w:val="CommentSubjectChar"/>
    <w:uiPriority w:val="99"/>
    <w:semiHidden/>
    <w:unhideWhenUsed/>
    <w:rsid w:val="000A3F9B"/>
    <w:rPr>
      <w:b/>
      <w:bCs/>
      <w:sz w:val="20"/>
      <w:szCs w:val="20"/>
    </w:rPr>
  </w:style>
  <w:style w:type="character" w:customStyle="1" w:styleId="CommentSubjectChar">
    <w:name w:val="Comment Subject Char"/>
    <w:basedOn w:val="CommentTextChar"/>
    <w:link w:val="CommentSubject"/>
    <w:uiPriority w:val="99"/>
    <w:semiHidden/>
    <w:rsid w:val="000A3F9B"/>
    <w:rPr>
      <w:b/>
      <w:bCs/>
      <w:sz w:val="20"/>
      <w:szCs w:val="20"/>
      <w:lang w:val="en-US"/>
    </w:rPr>
  </w:style>
  <w:style w:type="character" w:customStyle="1" w:styleId="apple-converted-space">
    <w:name w:val="apple-converted-space"/>
    <w:basedOn w:val="DefaultParagraphFont"/>
    <w:rsid w:val="0065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9510">
      <w:bodyDiv w:val="1"/>
      <w:marLeft w:val="0"/>
      <w:marRight w:val="0"/>
      <w:marTop w:val="0"/>
      <w:marBottom w:val="0"/>
      <w:divBdr>
        <w:top w:val="none" w:sz="0" w:space="0" w:color="auto"/>
        <w:left w:val="none" w:sz="0" w:space="0" w:color="auto"/>
        <w:bottom w:val="none" w:sz="0" w:space="0" w:color="auto"/>
        <w:right w:val="none" w:sz="0" w:space="0" w:color="auto"/>
      </w:divBdr>
    </w:div>
    <w:div w:id="299000760">
      <w:bodyDiv w:val="1"/>
      <w:marLeft w:val="0"/>
      <w:marRight w:val="0"/>
      <w:marTop w:val="0"/>
      <w:marBottom w:val="0"/>
      <w:divBdr>
        <w:top w:val="none" w:sz="0" w:space="0" w:color="auto"/>
        <w:left w:val="none" w:sz="0" w:space="0" w:color="auto"/>
        <w:bottom w:val="none" w:sz="0" w:space="0" w:color="auto"/>
        <w:right w:val="none" w:sz="0" w:space="0" w:color="auto"/>
      </w:divBdr>
    </w:div>
    <w:div w:id="407852151">
      <w:bodyDiv w:val="1"/>
      <w:marLeft w:val="0"/>
      <w:marRight w:val="0"/>
      <w:marTop w:val="0"/>
      <w:marBottom w:val="0"/>
      <w:divBdr>
        <w:top w:val="none" w:sz="0" w:space="0" w:color="auto"/>
        <w:left w:val="none" w:sz="0" w:space="0" w:color="auto"/>
        <w:bottom w:val="none" w:sz="0" w:space="0" w:color="auto"/>
        <w:right w:val="none" w:sz="0" w:space="0" w:color="auto"/>
      </w:divBdr>
    </w:div>
    <w:div w:id="492993196">
      <w:bodyDiv w:val="1"/>
      <w:marLeft w:val="0"/>
      <w:marRight w:val="0"/>
      <w:marTop w:val="0"/>
      <w:marBottom w:val="0"/>
      <w:divBdr>
        <w:top w:val="none" w:sz="0" w:space="0" w:color="auto"/>
        <w:left w:val="none" w:sz="0" w:space="0" w:color="auto"/>
        <w:bottom w:val="none" w:sz="0" w:space="0" w:color="auto"/>
        <w:right w:val="none" w:sz="0" w:space="0" w:color="auto"/>
      </w:divBdr>
    </w:div>
    <w:div w:id="557785251">
      <w:bodyDiv w:val="1"/>
      <w:marLeft w:val="0"/>
      <w:marRight w:val="0"/>
      <w:marTop w:val="0"/>
      <w:marBottom w:val="0"/>
      <w:divBdr>
        <w:top w:val="none" w:sz="0" w:space="0" w:color="auto"/>
        <w:left w:val="none" w:sz="0" w:space="0" w:color="auto"/>
        <w:bottom w:val="none" w:sz="0" w:space="0" w:color="auto"/>
        <w:right w:val="none" w:sz="0" w:space="0" w:color="auto"/>
      </w:divBdr>
    </w:div>
    <w:div w:id="579289025">
      <w:bodyDiv w:val="1"/>
      <w:marLeft w:val="0"/>
      <w:marRight w:val="0"/>
      <w:marTop w:val="0"/>
      <w:marBottom w:val="0"/>
      <w:divBdr>
        <w:top w:val="none" w:sz="0" w:space="0" w:color="auto"/>
        <w:left w:val="none" w:sz="0" w:space="0" w:color="auto"/>
        <w:bottom w:val="none" w:sz="0" w:space="0" w:color="auto"/>
        <w:right w:val="none" w:sz="0" w:space="0" w:color="auto"/>
      </w:divBdr>
      <w:divsChild>
        <w:div w:id="1383363666">
          <w:marLeft w:val="0"/>
          <w:marRight w:val="0"/>
          <w:marTop w:val="0"/>
          <w:marBottom w:val="0"/>
          <w:divBdr>
            <w:top w:val="none" w:sz="0" w:space="0" w:color="auto"/>
            <w:left w:val="none" w:sz="0" w:space="0" w:color="auto"/>
            <w:bottom w:val="none" w:sz="0" w:space="0" w:color="auto"/>
            <w:right w:val="none" w:sz="0" w:space="0" w:color="auto"/>
          </w:divBdr>
          <w:divsChild>
            <w:div w:id="817843891">
              <w:marLeft w:val="0"/>
              <w:marRight w:val="0"/>
              <w:marTop w:val="0"/>
              <w:marBottom w:val="0"/>
              <w:divBdr>
                <w:top w:val="none" w:sz="0" w:space="0" w:color="auto"/>
                <w:left w:val="none" w:sz="0" w:space="0" w:color="auto"/>
                <w:bottom w:val="none" w:sz="0" w:space="0" w:color="auto"/>
                <w:right w:val="none" w:sz="0" w:space="0" w:color="auto"/>
              </w:divBdr>
              <w:divsChild>
                <w:div w:id="1705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5562">
      <w:bodyDiv w:val="1"/>
      <w:marLeft w:val="0"/>
      <w:marRight w:val="0"/>
      <w:marTop w:val="0"/>
      <w:marBottom w:val="0"/>
      <w:divBdr>
        <w:top w:val="none" w:sz="0" w:space="0" w:color="auto"/>
        <w:left w:val="none" w:sz="0" w:space="0" w:color="auto"/>
        <w:bottom w:val="none" w:sz="0" w:space="0" w:color="auto"/>
        <w:right w:val="none" w:sz="0" w:space="0" w:color="auto"/>
      </w:divBdr>
    </w:div>
    <w:div w:id="649527318">
      <w:bodyDiv w:val="1"/>
      <w:marLeft w:val="0"/>
      <w:marRight w:val="0"/>
      <w:marTop w:val="0"/>
      <w:marBottom w:val="0"/>
      <w:divBdr>
        <w:top w:val="none" w:sz="0" w:space="0" w:color="auto"/>
        <w:left w:val="none" w:sz="0" w:space="0" w:color="auto"/>
        <w:bottom w:val="none" w:sz="0" w:space="0" w:color="auto"/>
        <w:right w:val="none" w:sz="0" w:space="0" w:color="auto"/>
      </w:divBdr>
      <w:divsChild>
        <w:div w:id="1126432869">
          <w:marLeft w:val="0"/>
          <w:marRight w:val="0"/>
          <w:marTop w:val="0"/>
          <w:marBottom w:val="0"/>
          <w:divBdr>
            <w:top w:val="none" w:sz="0" w:space="0" w:color="auto"/>
            <w:left w:val="none" w:sz="0" w:space="0" w:color="auto"/>
            <w:bottom w:val="none" w:sz="0" w:space="0" w:color="auto"/>
            <w:right w:val="none" w:sz="0" w:space="0" w:color="auto"/>
          </w:divBdr>
          <w:divsChild>
            <w:div w:id="362947358">
              <w:marLeft w:val="0"/>
              <w:marRight w:val="0"/>
              <w:marTop w:val="0"/>
              <w:marBottom w:val="0"/>
              <w:divBdr>
                <w:top w:val="none" w:sz="0" w:space="0" w:color="auto"/>
                <w:left w:val="none" w:sz="0" w:space="0" w:color="auto"/>
                <w:bottom w:val="none" w:sz="0" w:space="0" w:color="auto"/>
                <w:right w:val="none" w:sz="0" w:space="0" w:color="auto"/>
              </w:divBdr>
              <w:divsChild>
                <w:div w:id="3285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2198">
      <w:bodyDiv w:val="1"/>
      <w:marLeft w:val="0"/>
      <w:marRight w:val="0"/>
      <w:marTop w:val="0"/>
      <w:marBottom w:val="0"/>
      <w:divBdr>
        <w:top w:val="none" w:sz="0" w:space="0" w:color="auto"/>
        <w:left w:val="none" w:sz="0" w:space="0" w:color="auto"/>
        <w:bottom w:val="none" w:sz="0" w:space="0" w:color="auto"/>
        <w:right w:val="none" w:sz="0" w:space="0" w:color="auto"/>
      </w:divBdr>
    </w:div>
    <w:div w:id="1004016222">
      <w:bodyDiv w:val="1"/>
      <w:marLeft w:val="0"/>
      <w:marRight w:val="0"/>
      <w:marTop w:val="0"/>
      <w:marBottom w:val="0"/>
      <w:divBdr>
        <w:top w:val="none" w:sz="0" w:space="0" w:color="auto"/>
        <w:left w:val="none" w:sz="0" w:space="0" w:color="auto"/>
        <w:bottom w:val="none" w:sz="0" w:space="0" w:color="auto"/>
        <w:right w:val="none" w:sz="0" w:space="0" w:color="auto"/>
      </w:divBdr>
    </w:div>
    <w:div w:id="1100030286">
      <w:bodyDiv w:val="1"/>
      <w:marLeft w:val="0"/>
      <w:marRight w:val="0"/>
      <w:marTop w:val="0"/>
      <w:marBottom w:val="0"/>
      <w:divBdr>
        <w:top w:val="none" w:sz="0" w:space="0" w:color="auto"/>
        <w:left w:val="none" w:sz="0" w:space="0" w:color="auto"/>
        <w:bottom w:val="none" w:sz="0" w:space="0" w:color="auto"/>
        <w:right w:val="none" w:sz="0" w:space="0" w:color="auto"/>
      </w:divBdr>
    </w:div>
    <w:div w:id="1256784925">
      <w:bodyDiv w:val="1"/>
      <w:marLeft w:val="0"/>
      <w:marRight w:val="0"/>
      <w:marTop w:val="0"/>
      <w:marBottom w:val="0"/>
      <w:divBdr>
        <w:top w:val="none" w:sz="0" w:space="0" w:color="auto"/>
        <w:left w:val="none" w:sz="0" w:space="0" w:color="auto"/>
        <w:bottom w:val="none" w:sz="0" w:space="0" w:color="auto"/>
        <w:right w:val="none" w:sz="0" w:space="0" w:color="auto"/>
      </w:divBdr>
    </w:div>
    <w:div w:id="1285237858">
      <w:bodyDiv w:val="1"/>
      <w:marLeft w:val="0"/>
      <w:marRight w:val="0"/>
      <w:marTop w:val="0"/>
      <w:marBottom w:val="0"/>
      <w:divBdr>
        <w:top w:val="none" w:sz="0" w:space="0" w:color="auto"/>
        <w:left w:val="none" w:sz="0" w:space="0" w:color="auto"/>
        <w:bottom w:val="none" w:sz="0" w:space="0" w:color="auto"/>
        <w:right w:val="none" w:sz="0" w:space="0" w:color="auto"/>
      </w:divBdr>
    </w:div>
    <w:div w:id="1704475041">
      <w:bodyDiv w:val="1"/>
      <w:marLeft w:val="0"/>
      <w:marRight w:val="0"/>
      <w:marTop w:val="0"/>
      <w:marBottom w:val="0"/>
      <w:divBdr>
        <w:top w:val="none" w:sz="0" w:space="0" w:color="auto"/>
        <w:left w:val="none" w:sz="0" w:space="0" w:color="auto"/>
        <w:bottom w:val="none" w:sz="0" w:space="0" w:color="auto"/>
        <w:right w:val="none" w:sz="0" w:space="0" w:color="auto"/>
      </w:divBdr>
    </w:div>
    <w:div w:id="1770273313">
      <w:bodyDiv w:val="1"/>
      <w:marLeft w:val="0"/>
      <w:marRight w:val="0"/>
      <w:marTop w:val="0"/>
      <w:marBottom w:val="0"/>
      <w:divBdr>
        <w:top w:val="none" w:sz="0" w:space="0" w:color="auto"/>
        <w:left w:val="none" w:sz="0" w:space="0" w:color="auto"/>
        <w:bottom w:val="none" w:sz="0" w:space="0" w:color="auto"/>
        <w:right w:val="none" w:sz="0" w:space="0" w:color="auto"/>
      </w:divBdr>
    </w:div>
    <w:div w:id="1959414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ase-screen.m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Coombes</dc:creator>
  <cp:keywords/>
  <dc:description/>
  <cp:lastModifiedBy>Microsoft Office User</cp:lastModifiedBy>
  <cp:revision>29</cp:revision>
  <cp:lastPrinted>2016-06-10T14:41:00Z</cp:lastPrinted>
  <dcterms:created xsi:type="dcterms:W3CDTF">2016-12-05T20:59:00Z</dcterms:created>
  <dcterms:modified xsi:type="dcterms:W3CDTF">2018-02-26T22:52:00Z</dcterms:modified>
</cp:coreProperties>
</file>