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842FE" w14:textId="503951B2" w:rsidR="0035649A" w:rsidRPr="00403FF9" w:rsidRDefault="0035649A" w:rsidP="0057464C">
      <w:pPr>
        <w:autoSpaceDE w:val="0"/>
        <w:autoSpaceDN w:val="0"/>
        <w:adjustRightInd w:val="0"/>
        <w:spacing w:before="240" w:after="0" w:line="240" w:lineRule="auto"/>
        <w:rPr>
          <w:rFonts w:cs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984"/>
        <w:gridCol w:w="1142"/>
        <w:gridCol w:w="1213"/>
        <w:gridCol w:w="1036"/>
        <w:gridCol w:w="1213"/>
        <w:gridCol w:w="1412"/>
        <w:gridCol w:w="789"/>
      </w:tblGrid>
      <w:tr w:rsidR="008F3DC8" w:rsidRPr="00DD35A1" w14:paraId="7154031E" w14:textId="77777777" w:rsidTr="00365A18">
        <w:trPr>
          <w:trHeight w:val="720"/>
        </w:trPr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ED68E" w14:textId="77777777" w:rsidR="008F3DC8" w:rsidRPr="00DD35A1" w:rsidRDefault="008F3DC8" w:rsidP="00761F06">
            <w:pPr>
              <w:rPr>
                <w:rFonts w:cs="Times New Roman"/>
                <w:b/>
                <w:color w:val="000000" w:themeColor="text1"/>
              </w:rPr>
            </w:pPr>
            <w:bookmarkStart w:id="0" w:name="_Hlk500744393"/>
            <w:r w:rsidRPr="00DD35A1">
              <w:rPr>
                <w:rFonts w:cs="Times New Roman"/>
                <w:b/>
                <w:color w:val="000000" w:themeColor="text1"/>
              </w:rPr>
              <w:t>Compound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9B59D" w14:textId="77777777" w:rsidR="008F3DC8" w:rsidRPr="00DD35A1" w:rsidRDefault="008F3DC8" w:rsidP="00761F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D35A1">
              <w:rPr>
                <w:rFonts w:cs="Times New Roman"/>
                <w:b/>
                <w:color w:val="000000" w:themeColor="text1"/>
              </w:rPr>
              <w:t>Dose (mg/kg)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9326F" w14:textId="77777777" w:rsidR="008F3DC8" w:rsidRPr="00DD35A1" w:rsidRDefault="008F3DC8" w:rsidP="00761F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D35A1">
              <w:rPr>
                <w:rFonts w:cs="Times New Roman"/>
                <w:b/>
                <w:color w:val="000000" w:themeColor="text1"/>
              </w:rPr>
              <w:t>C</w:t>
            </w:r>
            <w:r w:rsidRPr="00DD35A1">
              <w:rPr>
                <w:rFonts w:cs="Times New Roman"/>
                <w:b/>
                <w:color w:val="000000" w:themeColor="text1"/>
                <w:vertAlign w:val="subscript"/>
              </w:rPr>
              <w:t>max</w:t>
            </w:r>
            <w:r w:rsidRPr="00DD35A1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br/>
            </w:r>
            <w:r w:rsidRPr="00DD35A1">
              <w:rPr>
                <w:rFonts w:cs="Times New Roman"/>
                <w:b/>
                <w:color w:val="000000" w:themeColor="text1"/>
              </w:rPr>
              <w:t>(ng/mL)/(µM)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A378" w14:textId="77777777" w:rsidR="008F3DC8" w:rsidRPr="00DD35A1" w:rsidRDefault="008F3DC8" w:rsidP="00761F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D35A1">
              <w:rPr>
                <w:rFonts w:cs="Times New Roman"/>
                <w:b/>
                <w:color w:val="000000" w:themeColor="text1"/>
              </w:rPr>
              <w:t>C</w:t>
            </w:r>
            <w:r w:rsidRPr="00DD35A1">
              <w:rPr>
                <w:rFonts w:cs="Times New Roman"/>
                <w:b/>
                <w:color w:val="000000" w:themeColor="text1"/>
                <w:vertAlign w:val="subscript"/>
              </w:rPr>
              <w:t>max</w:t>
            </w:r>
            <w:r w:rsidRPr="00DD35A1">
              <w:rPr>
                <w:rFonts w:cs="Times New Roman"/>
                <w:b/>
                <w:color w:val="000000" w:themeColor="text1"/>
              </w:rPr>
              <w:t xml:space="preserve"> ratio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BEF96" w14:textId="77777777" w:rsidR="008F3DC8" w:rsidRPr="00DD35A1" w:rsidRDefault="008F3DC8" w:rsidP="00761F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D35A1">
              <w:rPr>
                <w:rFonts w:cs="Times New Roman"/>
                <w:b/>
                <w:color w:val="000000" w:themeColor="text1"/>
              </w:rPr>
              <w:t>AUC</w:t>
            </w:r>
            <w:r w:rsidRPr="00DD35A1">
              <w:rPr>
                <w:rFonts w:cs="Times New Roman"/>
                <w:b/>
                <w:color w:val="000000" w:themeColor="text1"/>
                <w:vertAlign w:val="subscript"/>
              </w:rPr>
              <w:t>last</w:t>
            </w:r>
            <w:r w:rsidRPr="00DD35A1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br/>
            </w:r>
            <w:r w:rsidRPr="00DD35A1">
              <w:rPr>
                <w:rFonts w:cs="Times New Roman"/>
                <w:b/>
                <w:color w:val="000000" w:themeColor="text1"/>
              </w:rPr>
              <w:t>(hr·ng/mL)</w:t>
            </w:r>
            <w:r>
              <w:rPr>
                <w:rFonts w:cs="Times New Roman"/>
                <w:b/>
                <w:color w:val="000000" w:themeColor="text1"/>
              </w:rPr>
              <w:t>/</w:t>
            </w:r>
            <w:r w:rsidRPr="007D673E">
              <w:rPr>
                <w:rFonts w:cs="Times New Roman"/>
                <w:b/>
                <w:color w:val="000000" w:themeColor="text1"/>
              </w:rPr>
              <w:t>(hr·µM)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321CA" w14:textId="77777777" w:rsidR="008F3DC8" w:rsidRPr="00DD35A1" w:rsidRDefault="008F3DC8" w:rsidP="00761F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D35A1">
              <w:rPr>
                <w:rFonts w:cs="Times New Roman"/>
                <w:b/>
                <w:color w:val="000000" w:themeColor="text1"/>
              </w:rPr>
              <w:t>AUC ratio</w:t>
            </w:r>
          </w:p>
        </w:tc>
      </w:tr>
      <w:tr w:rsidR="008F3DC8" w:rsidRPr="00DD35A1" w14:paraId="7C188605" w14:textId="77777777" w:rsidTr="00365A18">
        <w:trPr>
          <w:trHeight w:val="413"/>
        </w:trPr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93B4" w14:textId="77777777" w:rsidR="008F3DC8" w:rsidRPr="00DD35A1" w:rsidRDefault="008F3DC8" w:rsidP="00DD35A1">
            <w:pPr>
              <w:spacing w:line="48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173955" w14:textId="77777777" w:rsidR="008F3DC8" w:rsidRPr="001747FB" w:rsidRDefault="008F3DC8" w:rsidP="006C390D">
            <w:pPr>
              <w:jc w:val="center"/>
              <w:rPr>
                <w:rFonts w:cs="Times New Roman"/>
                <w:color w:val="000000" w:themeColor="text1"/>
                <w:u w:val="single"/>
              </w:rPr>
            </w:pPr>
            <w:r w:rsidRPr="001747FB">
              <w:rPr>
                <w:rFonts w:cs="Times New Roman"/>
                <w:color w:val="000000" w:themeColor="text1"/>
                <w:u w:val="single"/>
              </w:rPr>
              <w:t>Plasma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F3CA8" w14:textId="77777777" w:rsidR="008F3DC8" w:rsidRPr="001747FB" w:rsidRDefault="008F3DC8" w:rsidP="006C390D">
            <w:pPr>
              <w:jc w:val="center"/>
              <w:rPr>
                <w:rFonts w:cs="Times New Roman"/>
                <w:color w:val="000000" w:themeColor="text1"/>
                <w:u w:val="single"/>
              </w:rPr>
            </w:pPr>
            <w:r w:rsidRPr="001747FB">
              <w:rPr>
                <w:rFonts w:cs="Times New Roman"/>
                <w:color w:val="000000" w:themeColor="text1"/>
                <w:u w:val="single"/>
              </w:rPr>
              <w:t>Tumor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6DD83" w14:textId="77777777" w:rsidR="008F3DC8" w:rsidRPr="00DD35A1" w:rsidRDefault="008F3DC8" w:rsidP="006C390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CB451" w14:textId="77777777" w:rsidR="008F3DC8" w:rsidRPr="008F3DC8" w:rsidRDefault="008F3DC8" w:rsidP="006C390D">
            <w:pPr>
              <w:jc w:val="center"/>
              <w:rPr>
                <w:rFonts w:cs="Times New Roman"/>
                <w:color w:val="000000" w:themeColor="text1"/>
                <w:u w:val="single"/>
              </w:rPr>
            </w:pPr>
            <w:r w:rsidRPr="008F3DC8">
              <w:rPr>
                <w:rFonts w:cs="Times New Roman"/>
                <w:color w:val="000000" w:themeColor="text1"/>
                <w:u w:val="single"/>
              </w:rPr>
              <w:t>Plasma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0E7D71" w14:textId="77777777" w:rsidR="008F3DC8" w:rsidRPr="008F3DC8" w:rsidRDefault="008F3DC8" w:rsidP="006C390D">
            <w:pPr>
              <w:jc w:val="center"/>
              <w:rPr>
                <w:rFonts w:cs="Times New Roman"/>
                <w:color w:val="000000" w:themeColor="text1"/>
                <w:u w:val="single"/>
              </w:rPr>
            </w:pPr>
            <w:r w:rsidRPr="008F3DC8">
              <w:rPr>
                <w:rFonts w:cs="Times New Roman"/>
                <w:color w:val="000000" w:themeColor="text1"/>
                <w:u w:val="single"/>
              </w:rPr>
              <w:t>Tumor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F0ED2" w14:textId="77777777" w:rsidR="008F3DC8" w:rsidRPr="00DD35A1" w:rsidRDefault="008F3DC8" w:rsidP="006C390D">
            <w:pPr>
              <w:rPr>
                <w:rFonts w:cs="Times New Roman"/>
                <w:color w:val="000000" w:themeColor="text1"/>
              </w:rPr>
            </w:pPr>
          </w:p>
        </w:tc>
      </w:tr>
      <w:tr w:rsidR="00DE4054" w:rsidRPr="00DD35A1" w14:paraId="5DAB2366" w14:textId="77777777" w:rsidTr="00DE4054">
        <w:trPr>
          <w:trHeight w:val="1012"/>
        </w:trPr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A780F" w14:textId="2E2BEBF0" w:rsidR="00DE4054" w:rsidRPr="00DD35A1" w:rsidRDefault="00DE4054" w:rsidP="00DE4054">
            <w:pPr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ARQ 197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="00032DB8">
              <w:rPr>
                <w:rFonts w:cs="Times New Roman"/>
                <w:color w:val="000000" w:themeColor="text1"/>
              </w:rPr>
              <w:t>(MW=</w:t>
            </w:r>
            <w:r w:rsidRPr="00DD35A1">
              <w:rPr>
                <w:rFonts w:cs="Times New Roman"/>
                <w:color w:val="000000" w:themeColor="text1"/>
              </w:rPr>
              <w:t>369)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vAlign w:val="center"/>
          </w:tcPr>
          <w:p w14:paraId="7F3CB63B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vAlign w:val="center"/>
          </w:tcPr>
          <w:p w14:paraId="5727ED05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877/2.37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vAlign w:val="center"/>
          </w:tcPr>
          <w:p w14:paraId="31BCAEC3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3683/9.98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vAlign w:val="center"/>
          </w:tcPr>
          <w:p w14:paraId="2E892F6E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4.1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vAlign w:val="center"/>
          </w:tcPr>
          <w:p w14:paraId="5FED5877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4829</w:t>
            </w:r>
            <w:r>
              <w:rPr>
                <w:rFonts w:cs="Times New Roman"/>
                <w:color w:val="000000" w:themeColor="text1"/>
              </w:rPr>
              <w:t>/13.1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vAlign w:val="center"/>
          </w:tcPr>
          <w:p w14:paraId="2F67AE57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21997</w:t>
            </w:r>
            <w:r>
              <w:rPr>
                <w:rFonts w:cs="Times New Roman"/>
                <w:color w:val="000000" w:themeColor="text1"/>
              </w:rPr>
              <w:t>/59.6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vAlign w:val="center"/>
          </w:tcPr>
          <w:p w14:paraId="379802AB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4.5</w:t>
            </w:r>
          </w:p>
        </w:tc>
      </w:tr>
      <w:tr w:rsidR="00DE4054" w:rsidRPr="00DD35A1" w14:paraId="290526A0" w14:textId="77777777" w:rsidTr="00DE4054">
        <w:trPr>
          <w:trHeight w:val="1022"/>
        </w:trPr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6CC31" w14:textId="35E93B63" w:rsidR="00DE4054" w:rsidRPr="00B87100" w:rsidRDefault="00032DB8" w:rsidP="00DE405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EMD1214063 (MW=</w:t>
            </w:r>
            <w:r w:rsidR="00DE4054" w:rsidRPr="00B87100">
              <w:rPr>
                <w:rFonts w:cs="Times New Roman"/>
                <w:color w:val="000000" w:themeColor="text1"/>
              </w:rPr>
              <w:t>493)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C44518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9BACFE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573</w:t>
            </w:r>
            <w:r>
              <w:rPr>
                <w:rFonts w:cs="Times New Roman"/>
                <w:color w:val="000000" w:themeColor="text1"/>
              </w:rPr>
              <w:t>/1.16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486F1B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9406</w:t>
            </w:r>
            <w:r>
              <w:rPr>
                <w:rFonts w:cs="Times New Roman"/>
                <w:color w:val="000000" w:themeColor="text1"/>
              </w:rPr>
              <w:t>/19.1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DB28B0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16.4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B4C586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2692</w:t>
            </w:r>
            <w:r>
              <w:rPr>
                <w:rFonts w:cs="Times New Roman"/>
                <w:color w:val="000000" w:themeColor="text1"/>
              </w:rPr>
              <w:t>/5.46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0A7A7F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89684</w:t>
            </w:r>
            <w:r>
              <w:rPr>
                <w:rFonts w:cs="Times New Roman"/>
                <w:color w:val="000000" w:themeColor="text1"/>
              </w:rPr>
              <w:t>/182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0A4BA7" w14:textId="77777777" w:rsidR="00DE4054" w:rsidRPr="00DD35A1" w:rsidRDefault="00DE4054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34.5</w:t>
            </w:r>
          </w:p>
        </w:tc>
      </w:tr>
      <w:tr w:rsidR="006C390D" w:rsidRPr="00DD35A1" w14:paraId="58DB9294" w14:textId="77777777" w:rsidTr="009F3C1F">
        <w:trPr>
          <w:trHeight w:val="1022"/>
        </w:trPr>
        <w:tc>
          <w:tcPr>
            <w:tcW w:w="15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F69472" w14:textId="77777777" w:rsidR="006C390D" w:rsidRPr="00DD35A1" w:rsidRDefault="006C390D" w:rsidP="00DE4054">
            <w:pPr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XL184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B87100">
              <w:rPr>
                <w:rFonts w:cs="Times New Roman"/>
                <w:color w:val="000000" w:themeColor="text1"/>
              </w:rPr>
              <w:t>(MW=502)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A9A4CB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23CF3F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6550</w:t>
            </w:r>
            <w:r>
              <w:rPr>
                <w:rFonts w:cs="Times New Roman"/>
                <w:color w:val="000000" w:themeColor="text1"/>
              </w:rPr>
              <w:t>/13.0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D27303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6900</w:t>
            </w:r>
            <w:r>
              <w:rPr>
                <w:rFonts w:cs="Times New Roman"/>
                <w:color w:val="000000" w:themeColor="text1"/>
              </w:rPr>
              <w:t>/13.7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930CBC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1.1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5C6F8D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27996</w:t>
            </w:r>
            <w:r>
              <w:rPr>
                <w:rFonts w:cs="Times New Roman"/>
                <w:color w:val="000000" w:themeColor="text1"/>
              </w:rPr>
              <w:t>/55.8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30333C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66000</w:t>
            </w:r>
            <w:r>
              <w:rPr>
                <w:rFonts w:cs="Times New Roman"/>
                <w:color w:val="000000" w:themeColor="text1"/>
              </w:rPr>
              <w:t>/131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2A7BC8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2.35</w:t>
            </w:r>
          </w:p>
        </w:tc>
      </w:tr>
      <w:tr w:rsidR="006C390D" w:rsidRPr="00DD35A1" w14:paraId="67012CFF" w14:textId="77777777" w:rsidTr="009F3C1F">
        <w:trPr>
          <w:trHeight w:val="1022"/>
        </w:trPr>
        <w:tc>
          <w:tcPr>
            <w:tcW w:w="15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735D65" w14:textId="77777777" w:rsidR="006C390D" w:rsidRPr="00DD35A1" w:rsidRDefault="006C390D" w:rsidP="00DE4054">
            <w:pPr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XL880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1747FB">
              <w:rPr>
                <w:rFonts w:cs="Times New Roman"/>
                <w:color w:val="000000" w:themeColor="text1"/>
              </w:rPr>
              <w:t>(MW=633)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D2D185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83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BCAF62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3420</w:t>
            </w:r>
            <w:r>
              <w:rPr>
                <w:rFonts w:cs="Times New Roman"/>
                <w:color w:val="000000" w:themeColor="text1"/>
              </w:rPr>
              <w:t>/5.40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A13B2A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22000</w:t>
            </w:r>
            <w:r>
              <w:rPr>
                <w:rFonts w:cs="Times New Roman"/>
                <w:color w:val="000000" w:themeColor="text1"/>
              </w:rPr>
              <w:t>/34.7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6777B3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6.5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67E5C4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26173</w:t>
            </w:r>
            <w:r>
              <w:rPr>
                <w:rFonts w:cs="Times New Roman"/>
                <w:color w:val="000000" w:themeColor="text1"/>
              </w:rPr>
              <w:t>/41.3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E684F2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171300</w:t>
            </w:r>
            <w:r>
              <w:rPr>
                <w:rFonts w:cs="Times New Roman"/>
                <w:color w:val="000000" w:themeColor="text1"/>
              </w:rPr>
              <w:t>/271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86EB64" w14:textId="77777777" w:rsidR="006C390D" w:rsidRPr="00DD35A1" w:rsidRDefault="006C390D" w:rsidP="00DE4054">
            <w:pPr>
              <w:spacing w:line="480" w:lineRule="auto"/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6.54</w:t>
            </w:r>
          </w:p>
        </w:tc>
      </w:tr>
    </w:tbl>
    <w:p w14:paraId="75D623FB" w14:textId="4DA8FCD8" w:rsidR="007D673E" w:rsidRPr="0035649A" w:rsidRDefault="00963C8C" w:rsidP="00CC00FC">
      <w:pPr>
        <w:autoSpaceDE w:val="0"/>
        <w:autoSpaceDN w:val="0"/>
        <w:adjustRightInd w:val="0"/>
        <w:spacing w:before="240" w:after="0" w:line="240" w:lineRule="auto"/>
        <w:rPr>
          <w:rFonts w:cs="Times New Roman"/>
          <w:color w:val="000000" w:themeColor="text1"/>
        </w:rPr>
      </w:pPr>
      <w:bookmarkStart w:id="1" w:name="_Hlk500744710"/>
      <w:bookmarkEnd w:id="0"/>
      <w:r>
        <w:rPr>
          <w:rFonts w:cs="Times New Roman"/>
          <w:b/>
        </w:rPr>
        <w:t xml:space="preserve">Supplementary Table </w:t>
      </w:r>
      <w:r w:rsidR="00E702EF">
        <w:rPr>
          <w:rFonts w:cs="Times New Roman"/>
          <w:b/>
        </w:rPr>
        <w:t>S</w:t>
      </w:r>
      <w:r>
        <w:rPr>
          <w:rFonts w:cs="Times New Roman"/>
          <w:b/>
        </w:rPr>
        <w:t xml:space="preserve">1. </w:t>
      </w:r>
      <w:r w:rsidRPr="00BE633A">
        <w:rPr>
          <w:rFonts w:cs="Times New Roman"/>
          <w:color w:val="FF0000"/>
        </w:rPr>
        <w:t xml:space="preserve"> </w:t>
      </w:r>
      <w:r>
        <w:rPr>
          <w:rFonts w:cs="Times New Roman"/>
          <w:color w:val="FF0000"/>
        </w:rPr>
        <w:t xml:space="preserve"> </w:t>
      </w:r>
      <w:r w:rsidR="0035649A" w:rsidRPr="0035649A">
        <w:rPr>
          <w:rFonts w:cs="Times New Roman"/>
          <w:bCs/>
          <w:color w:val="000000" w:themeColor="text1"/>
        </w:rPr>
        <w:t xml:space="preserve">Levels of each </w:t>
      </w:r>
      <w:r w:rsidR="0035649A" w:rsidRPr="0035649A">
        <w:rPr>
          <w:rFonts w:cs="Times New Roman"/>
          <w:color w:val="000000" w:themeColor="text1"/>
        </w:rPr>
        <w:t xml:space="preserve">MET inhibitor measured in </w:t>
      </w:r>
      <w:r w:rsidR="0035649A">
        <w:rPr>
          <w:rFonts w:cs="Times New Roman"/>
          <w:color w:val="000000" w:themeColor="text1"/>
        </w:rPr>
        <w:t xml:space="preserve">selected </w:t>
      </w:r>
      <w:r w:rsidR="0035649A" w:rsidRPr="0035649A">
        <w:rPr>
          <w:rFonts w:cs="Times New Roman"/>
          <w:color w:val="000000" w:themeColor="text1"/>
        </w:rPr>
        <w:t xml:space="preserve">plasma and tumor samples collected </w:t>
      </w:r>
      <w:r w:rsidR="004C002A">
        <w:rPr>
          <w:rFonts w:cs="Times New Roman"/>
          <w:color w:val="000000" w:themeColor="text1"/>
        </w:rPr>
        <w:t>for the highest dose of each agent</w:t>
      </w:r>
      <w:r w:rsidR="00516AED">
        <w:rPr>
          <w:rFonts w:cs="Times New Roman"/>
          <w:color w:val="000000" w:themeColor="text1"/>
        </w:rPr>
        <w:t xml:space="preserve"> in</w:t>
      </w:r>
      <w:r w:rsidR="00516AED" w:rsidRPr="00516AED">
        <w:rPr>
          <w:rFonts w:cs="Times New Roman"/>
          <w:color w:val="000000" w:themeColor="text1"/>
        </w:rPr>
        <w:t xml:space="preserve"> the single-dose studies</w:t>
      </w:r>
      <w:r w:rsidR="003E56DA">
        <w:rPr>
          <w:rFonts w:cs="Times New Roman"/>
          <w:color w:val="000000" w:themeColor="text1"/>
        </w:rPr>
        <w:t xml:space="preserve">; units as shown </w:t>
      </w:r>
      <w:r w:rsidR="009845CF">
        <w:rPr>
          <w:rFonts w:cs="Times New Roman"/>
          <w:color w:val="000000" w:themeColor="text1"/>
        </w:rPr>
        <w:t>(</w:t>
      </w:r>
      <w:r w:rsidR="009845CF" w:rsidRPr="00FB347C">
        <w:rPr>
          <w:rFonts w:cs="Times New Roman"/>
          <w:i/>
          <w:color w:val="000000" w:themeColor="text1"/>
        </w:rPr>
        <w:t>n</w:t>
      </w:r>
      <w:r w:rsidR="005A25DD">
        <w:rPr>
          <w:rFonts w:cs="Times New Roman"/>
          <w:color w:val="000000" w:themeColor="text1"/>
        </w:rPr>
        <w:t> </w:t>
      </w:r>
      <w:r w:rsidR="009845CF">
        <w:rPr>
          <w:rFonts w:cs="Times New Roman"/>
          <w:color w:val="000000" w:themeColor="text1"/>
        </w:rPr>
        <w:t>=</w:t>
      </w:r>
      <w:r w:rsidR="005A25DD">
        <w:rPr>
          <w:rFonts w:cs="Times New Roman"/>
          <w:color w:val="000000" w:themeColor="text1"/>
        </w:rPr>
        <w:t> </w:t>
      </w:r>
      <w:r w:rsidR="009845CF">
        <w:rPr>
          <w:rFonts w:cs="Times New Roman"/>
          <w:color w:val="000000" w:themeColor="text1"/>
        </w:rPr>
        <w:t>3</w:t>
      </w:r>
      <w:r w:rsidR="00272E93">
        <w:rPr>
          <w:rFonts w:cs="Times New Roman"/>
          <w:color w:val="000000" w:themeColor="text1"/>
        </w:rPr>
        <w:t xml:space="preserve"> animals per </w:t>
      </w:r>
      <w:r w:rsidR="00D32F55">
        <w:rPr>
          <w:rFonts w:cs="Times New Roman"/>
          <w:color w:val="000000" w:themeColor="text1"/>
        </w:rPr>
        <w:t>group</w:t>
      </w:r>
      <w:r w:rsidR="009845CF">
        <w:rPr>
          <w:rFonts w:cs="Times New Roman"/>
          <w:color w:val="000000" w:themeColor="text1"/>
        </w:rPr>
        <w:t xml:space="preserve">). </w:t>
      </w:r>
    </w:p>
    <w:bookmarkEnd w:id="1"/>
    <w:p w14:paraId="5C2B88B8" w14:textId="29C64692" w:rsidR="002A073C" w:rsidRDefault="002A073C">
      <w:pPr>
        <w:rPr>
          <w:rFonts w:cs="Times New Roman"/>
          <w:b/>
          <w:color w:val="000000" w:themeColor="text1"/>
        </w:rPr>
      </w:pPr>
    </w:p>
    <w:p w14:paraId="368E1F83" w14:textId="77777777" w:rsidR="00103F2F" w:rsidRDefault="00103F2F">
      <w:pPr>
        <w:rPr>
          <w:rFonts w:cs="Times New Roman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669"/>
        <w:gridCol w:w="2070"/>
        <w:gridCol w:w="2070"/>
      </w:tblGrid>
      <w:tr w:rsidR="00BE267A" w:rsidRPr="00DD35A1" w14:paraId="30EC4776" w14:textId="71835230" w:rsidTr="00BE267A">
        <w:trPr>
          <w:trHeight w:val="333"/>
        </w:trPr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185A8" w14:textId="77777777" w:rsidR="00BE267A" w:rsidRPr="00DD35A1" w:rsidRDefault="00BE267A" w:rsidP="00BE267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D35A1">
              <w:rPr>
                <w:rFonts w:cs="Times New Roman"/>
                <w:b/>
                <w:color w:val="000000" w:themeColor="text1"/>
              </w:rPr>
              <w:t>Compound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15DDC" w14:textId="77777777" w:rsidR="00BE267A" w:rsidRPr="00DD35A1" w:rsidRDefault="00BE267A" w:rsidP="00BE267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D35A1">
              <w:rPr>
                <w:rFonts w:cs="Times New Roman"/>
                <w:b/>
                <w:color w:val="000000" w:themeColor="text1"/>
              </w:rPr>
              <w:t>Dose (mg/kg)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264D4" w14:textId="301214A6" w:rsidR="00BE267A" w:rsidRPr="00DD35A1" w:rsidRDefault="00F37D47" w:rsidP="00BE267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t</w:t>
            </w:r>
            <w:r w:rsidR="00BE267A" w:rsidRPr="005C3BAC">
              <w:rPr>
                <w:rFonts w:cs="Times New Roman"/>
                <w:b/>
                <w:color w:val="000000" w:themeColor="text1"/>
                <w:vertAlign w:val="subscript"/>
              </w:rPr>
              <w:t>max</w:t>
            </w:r>
            <w:r w:rsidR="00BE267A">
              <w:rPr>
                <w:rFonts w:cs="Times New Roman"/>
                <w:b/>
                <w:color w:val="000000" w:themeColor="text1"/>
              </w:rPr>
              <w:t>, tumor (hr)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5006F" w14:textId="7120CC51" w:rsidR="00BE267A" w:rsidRDefault="00F37D47" w:rsidP="00BE267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t</w:t>
            </w:r>
            <w:r w:rsidR="00BE267A" w:rsidRPr="005C3BAC">
              <w:rPr>
                <w:rFonts w:cs="Times New Roman"/>
                <w:b/>
                <w:color w:val="000000" w:themeColor="text1"/>
                <w:vertAlign w:val="subscript"/>
              </w:rPr>
              <w:t>max</w:t>
            </w:r>
            <w:r w:rsidR="00BE267A">
              <w:rPr>
                <w:rFonts w:cs="Times New Roman"/>
                <w:b/>
                <w:color w:val="000000" w:themeColor="text1"/>
              </w:rPr>
              <w:t>, plasma (hr)</w:t>
            </w:r>
          </w:p>
        </w:tc>
      </w:tr>
      <w:tr w:rsidR="00BE267A" w:rsidRPr="00DD35A1" w14:paraId="77397653" w14:textId="331E8C0D" w:rsidTr="004F11F4">
        <w:trPr>
          <w:trHeight w:val="572"/>
        </w:trPr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E7F2B" w14:textId="7E9ECB6C" w:rsidR="00BE267A" w:rsidRPr="00DD35A1" w:rsidRDefault="00BE267A" w:rsidP="002A073C">
            <w:pPr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ARQ 197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  <w:vAlign w:val="center"/>
          </w:tcPr>
          <w:p w14:paraId="18214913" w14:textId="77777777" w:rsidR="00BE267A" w:rsidRPr="00DD35A1" w:rsidRDefault="00BE267A" w:rsidP="002A073C">
            <w:pPr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240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center"/>
          </w:tcPr>
          <w:p w14:paraId="4FFD1712" w14:textId="20EDA369" w:rsidR="00BE267A" w:rsidRPr="00DD35A1" w:rsidRDefault="00E36A49" w:rsidP="00BE267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center"/>
          </w:tcPr>
          <w:p w14:paraId="35EF8D83" w14:textId="6951274E" w:rsidR="00BE267A" w:rsidRPr="00DD35A1" w:rsidRDefault="00E36A49" w:rsidP="00BE267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E267A" w:rsidRPr="00DD35A1" w14:paraId="69CA0213" w14:textId="4214BCAC" w:rsidTr="004F11F4">
        <w:trPr>
          <w:trHeight w:val="572"/>
        </w:trPr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7D4968" w14:textId="4471455D" w:rsidR="00BE267A" w:rsidRPr="00B87100" w:rsidRDefault="00BE267A" w:rsidP="002A073C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EMD1214063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761357" w14:textId="77777777" w:rsidR="00BE267A" w:rsidRPr="00DD35A1" w:rsidRDefault="00BE267A" w:rsidP="002A073C">
            <w:pPr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D0D47D" w14:textId="5A0943A3" w:rsidR="00BE267A" w:rsidRPr="00DD35A1" w:rsidRDefault="001E01F0" w:rsidP="00BE267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96E368" w14:textId="1146C3C8" w:rsidR="00BE267A" w:rsidRPr="00DD35A1" w:rsidRDefault="001E01F0" w:rsidP="00BE267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E267A" w:rsidRPr="00DD35A1" w14:paraId="5F4D06AE" w14:textId="279EED37" w:rsidTr="004F11F4">
        <w:trPr>
          <w:trHeight w:val="572"/>
        </w:trPr>
        <w:tc>
          <w:tcPr>
            <w:tcW w:w="15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BE7A75" w14:textId="72B064E4" w:rsidR="00BE267A" w:rsidRPr="00DD35A1" w:rsidRDefault="00BE267A" w:rsidP="002A073C">
            <w:pPr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XL184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6C8F07" w14:textId="77777777" w:rsidR="00BE267A" w:rsidRPr="00DD35A1" w:rsidRDefault="00BE267A" w:rsidP="002A073C">
            <w:pPr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33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B7E60C" w14:textId="40132656" w:rsidR="00BE267A" w:rsidRPr="00DD35A1" w:rsidRDefault="00E322C8" w:rsidP="00BE267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FF280E" w14:textId="17A1C160" w:rsidR="00BE267A" w:rsidRPr="00DD35A1" w:rsidRDefault="00E322C8" w:rsidP="00BE267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</w:p>
        </w:tc>
      </w:tr>
      <w:tr w:rsidR="00BE267A" w:rsidRPr="00DD35A1" w14:paraId="28E9C64B" w14:textId="55B06917" w:rsidTr="004F11F4">
        <w:trPr>
          <w:trHeight w:val="572"/>
        </w:trPr>
        <w:tc>
          <w:tcPr>
            <w:tcW w:w="15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06228B" w14:textId="4CBC7939" w:rsidR="00BE267A" w:rsidRPr="00DD35A1" w:rsidRDefault="00BE267A" w:rsidP="002A073C">
            <w:pPr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XL880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680676" w14:textId="77777777" w:rsidR="00BE267A" w:rsidRPr="00DD35A1" w:rsidRDefault="00BE267A" w:rsidP="002A073C">
            <w:pPr>
              <w:jc w:val="center"/>
              <w:rPr>
                <w:rFonts w:cs="Times New Roman"/>
                <w:color w:val="000000" w:themeColor="text1"/>
              </w:rPr>
            </w:pPr>
            <w:r w:rsidRPr="00DD35A1">
              <w:rPr>
                <w:rFonts w:cs="Times New Roman"/>
                <w:color w:val="000000" w:themeColor="text1"/>
              </w:rPr>
              <w:t>83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CCC026" w14:textId="21CD5013" w:rsidR="00BE267A" w:rsidRPr="00DD35A1" w:rsidRDefault="00BE267A" w:rsidP="00BE267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BC868C" w14:textId="6AF818BE" w:rsidR="00BE267A" w:rsidRPr="00DD35A1" w:rsidRDefault="00AC5FA3" w:rsidP="00BE267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0.5</w:t>
            </w:r>
          </w:p>
        </w:tc>
      </w:tr>
    </w:tbl>
    <w:p w14:paraId="6DECCF33" w14:textId="673B4788" w:rsidR="005C3BAC" w:rsidRPr="0035649A" w:rsidRDefault="005C3BAC" w:rsidP="005C3BAC">
      <w:pPr>
        <w:autoSpaceDE w:val="0"/>
        <w:autoSpaceDN w:val="0"/>
        <w:adjustRightInd w:val="0"/>
        <w:spacing w:before="240"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b/>
        </w:rPr>
        <w:t>Supplementary Table S</w:t>
      </w:r>
      <w:r>
        <w:rPr>
          <w:rFonts w:cs="Times New Roman"/>
          <w:b/>
        </w:rPr>
        <w:t>2</w:t>
      </w:r>
      <w:r>
        <w:rPr>
          <w:rFonts w:cs="Times New Roman"/>
          <w:b/>
        </w:rPr>
        <w:t xml:space="preserve">. </w:t>
      </w:r>
      <w:r>
        <w:rPr>
          <w:rFonts w:cs="Times New Roman"/>
          <w:bCs/>
          <w:color w:val="000000" w:themeColor="text1"/>
        </w:rPr>
        <w:t>Time to maximum concentration</w:t>
      </w:r>
      <w:r w:rsidR="00103F2F">
        <w:rPr>
          <w:rFonts w:cs="Times New Roman"/>
          <w:bCs/>
          <w:color w:val="000000" w:themeColor="text1"/>
        </w:rPr>
        <w:t xml:space="preserve"> (</w:t>
      </w:r>
      <w:r w:rsidR="00F37D47">
        <w:rPr>
          <w:rFonts w:cs="Times New Roman"/>
          <w:bCs/>
          <w:color w:val="000000" w:themeColor="text1"/>
        </w:rPr>
        <w:t>t</w:t>
      </w:r>
      <w:r w:rsidR="00103F2F" w:rsidRPr="00103F2F">
        <w:rPr>
          <w:rFonts w:cs="Times New Roman"/>
          <w:bCs/>
          <w:color w:val="000000" w:themeColor="text1"/>
          <w:vertAlign w:val="subscript"/>
        </w:rPr>
        <w:t>max</w:t>
      </w:r>
      <w:r w:rsidR="00103F2F">
        <w:rPr>
          <w:rFonts w:cs="Times New Roman"/>
          <w:bCs/>
          <w:color w:val="000000" w:themeColor="text1"/>
        </w:rPr>
        <w:t>)</w:t>
      </w:r>
      <w:r>
        <w:rPr>
          <w:rFonts w:cs="Times New Roman"/>
          <w:bCs/>
          <w:color w:val="000000" w:themeColor="text1"/>
        </w:rPr>
        <w:t xml:space="preserve"> for</w:t>
      </w:r>
      <w:r>
        <w:rPr>
          <w:rFonts w:cs="Times New Roman"/>
          <w:color w:val="000000" w:themeColor="text1"/>
        </w:rPr>
        <w:t xml:space="preserve"> the highest dose of each agent in</w:t>
      </w:r>
      <w:r w:rsidRPr="00516AED">
        <w:rPr>
          <w:rFonts w:cs="Times New Roman"/>
          <w:color w:val="000000" w:themeColor="text1"/>
        </w:rPr>
        <w:t xml:space="preserve"> the single-dose studies</w:t>
      </w:r>
      <w:r>
        <w:rPr>
          <w:rFonts w:cs="Times New Roman"/>
          <w:color w:val="000000" w:themeColor="text1"/>
        </w:rPr>
        <w:t xml:space="preserve"> (</w:t>
      </w:r>
      <w:r w:rsidRPr="00FB347C">
        <w:rPr>
          <w:rFonts w:cs="Times New Roman"/>
          <w:i/>
          <w:color w:val="000000" w:themeColor="text1"/>
        </w:rPr>
        <w:t>n</w:t>
      </w:r>
      <w:r>
        <w:rPr>
          <w:rFonts w:cs="Times New Roman"/>
          <w:color w:val="000000" w:themeColor="text1"/>
        </w:rPr>
        <w:t> = 3 animals per group</w:t>
      </w:r>
      <w:r w:rsidR="00EF03AC">
        <w:rPr>
          <w:rFonts w:cs="Times New Roman"/>
          <w:color w:val="000000" w:themeColor="text1"/>
        </w:rPr>
        <w:t>).</w:t>
      </w:r>
      <w:bookmarkStart w:id="2" w:name="_GoBack"/>
      <w:bookmarkEnd w:id="2"/>
    </w:p>
    <w:p w14:paraId="332F4986" w14:textId="2E505DCF" w:rsidR="00085DA3" w:rsidRDefault="00085DA3">
      <w:pPr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br w:type="page"/>
      </w:r>
    </w:p>
    <w:p w14:paraId="38245E8A" w14:textId="77777777" w:rsidR="00085DA3" w:rsidRDefault="00085DA3" w:rsidP="00085DA3">
      <w:pPr>
        <w:spacing w:line="480" w:lineRule="auto"/>
        <w:rPr>
          <w:rFonts w:cs="Times New Roman"/>
          <w:b/>
          <w:color w:val="000000" w:themeColor="text1"/>
        </w:rPr>
      </w:pPr>
    </w:p>
    <w:p w14:paraId="664BAB33" w14:textId="77777777" w:rsidR="00085DA3" w:rsidRDefault="006B2C56" w:rsidP="00085DA3">
      <w:pPr>
        <w:spacing w:line="48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noProof/>
          <w:color w:val="000000" w:themeColor="text1"/>
          <w:lang w:eastAsia="en-US"/>
        </w:rPr>
        <w:drawing>
          <wp:anchor distT="0" distB="0" distL="114300" distR="114300" simplePos="0" relativeHeight="251666432" behindDoc="0" locked="0" layoutInCell="1" allowOverlap="1" wp14:anchorId="736A3F53" wp14:editId="4E0C38FB">
            <wp:simplePos x="0" y="0"/>
            <wp:positionH relativeFrom="column">
              <wp:posOffset>-29747</wp:posOffset>
            </wp:positionH>
            <wp:positionV relativeFrom="paragraph">
              <wp:posOffset>130810</wp:posOffset>
            </wp:positionV>
            <wp:extent cx="5759640" cy="313006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40" cy="3130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39FE9" w14:textId="77777777" w:rsidR="006B2C56" w:rsidRDefault="006B2C56" w:rsidP="00085DA3">
      <w:pPr>
        <w:spacing w:line="480" w:lineRule="auto"/>
        <w:rPr>
          <w:rFonts w:cs="Times New Roman"/>
          <w:b/>
          <w:color w:val="000000" w:themeColor="text1"/>
        </w:rPr>
      </w:pPr>
    </w:p>
    <w:p w14:paraId="404AAC6C" w14:textId="77777777" w:rsidR="006B2C56" w:rsidRDefault="006B2C56" w:rsidP="00085DA3">
      <w:pPr>
        <w:spacing w:line="480" w:lineRule="auto"/>
        <w:rPr>
          <w:rFonts w:cs="Times New Roman"/>
          <w:b/>
          <w:color w:val="000000" w:themeColor="text1"/>
        </w:rPr>
      </w:pPr>
    </w:p>
    <w:p w14:paraId="0BC591F7" w14:textId="77777777" w:rsidR="006B2C56" w:rsidRDefault="006B2C56" w:rsidP="00085DA3">
      <w:pPr>
        <w:spacing w:line="480" w:lineRule="auto"/>
        <w:rPr>
          <w:rFonts w:cs="Times New Roman"/>
          <w:b/>
          <w:color w:val="000000" w:themeColor="text1"/>
        </w:rPr>
      </w:pPr>
    </w:p>
    <w:p w14:paraId="357D6555" w14:textId="77777777" w:rsidR="006B2C56" w:rsidRDefault="006B2C56" w:rsidP="00085DA3">
      <w:pPr>
        <w:spacing w:line="480" w:lineRule="auto"/>
        <w:rPr>
          <w:rFonts w:cs="Times New Roman"/>
          <w:b/>
          <w:color w:val="000000" w:themeColor="text1"/>
        </w:rPr>
      </w:pPr>
    </w:p>
    <w:p w14:paraId="26A534FD" w14:textId="77777777" w:rsidR="006B2C56" w:rsidRDefault="006B2C56" w:rsidP="00085DA3">
      <w:pPr>
        <w:spacing w:line="480" w:lineRule="auto"/>
        <w:rPr>
          <w:rFonts w:cs="Times New Roman"/>
          <w:b/>
          <w:color w:val="000000" w:themeColor="text1"/>
        </w:rPr>
      </w:pPr>
    </w:p>
    <w:p w14:paraId="2AEE8FD9" w14:textId="77777777" w:rsidR="006B2C56" w:rsidRDefault="006B2C56" w:rsidP="00085DA3">
      <w:pPr>
        <w:spacing w:line="480" w:lineRule="auto"/>
        <w:rPr>
          <w:rFonts w:cs="Times New Roman"/>
          <w:b/>
          <w:color w:val="000000" w:themeColor="text1"/>
        </w:rPr>
      </w:pPr>
    </w:p>
    <w:p w14:paraId="1D114BAE" w14:textId="77777777" w:rsidR="006B2C56" w:rsidRDefault="006B2C56" w:rsidP="00085DA3">
      <w:pPr>
        <w:spacing w:line="480" w:lineRule="auto"/>
        <w:rPr>
          <w:rFonts w:cs="Times New Roman"/>
          <w:b/>
          <w:color w:val="000000" w:themeColor="text1"/>
        </w:rPr>
      </w:pPr>
    </w:p>
    <w:p w14:paraId="3B910F81" w14:textId="651E6452" w:rsidR="007D673E" w:rsidRPr="007A75C6" w:rsidRDefault="00085DA3" w:rsidP="007A75C6">
      <w:pPr>
        <w:pStyle w:val="Heading1"/>
        <w:rPr>
          <w:b w:val="0"/>
        </w:rPr>
      </w:pPr>
      <w:r w:rsidRPr="007A75C6">
        <w:t>Supplementary Figure S1</w:t>
      </w:r>
      <w:r w:rsidRPr="00085DA3">
        <w:t xml:space="preserve">:  </w:t>
      </w:r>
      <w:r w:rsidRPr="007A75C6">
        <w:rPr>
          <w:b w:val="0"/>
        </w:rPr>
        <w:t>Chemical structures of MET kinase inhibitors used in this study</w:t>
      </w:r>
      <w:r w:rsidR="00AE3F63" w:rsidRPr="007A75C6">
        <w:rPr>
          <w:b w:val="0"/>
        </w:rPr>
        <w:t>.</w:t>
      </w:r>
    </w:p>
    <w:p w14:paraId="470C91AB" w14:textId="77777777" w:rsidR="00375AA5" w:rsidRDefault="00375AA5" w:rsidP="00A24546">
      <w:pPr>
        <w:spacing w:line="480" w:lineRule="auto"/>
        <w:rPr>
          <w:rFonts w:cs="Times New Roman"/>
          <w:b/>
          <w:color w:val="000000" w:themeColor="text1"/>
        </w:rPr>
      </w:pPr>
    </w:p>
    <w:p w14:paraId="483D23BD" w14:textId="77777777" w:rsidR="00375AA5" w:rsidRDefault="00375AA5" w:rsidP="00A24546">
      <w:pPr>
        <w:spacing w:line="480" w:lineRule="auto"/>
        <w:rPr>
          <w:rFonts w:cs="Times New Roman"/>
          <w:b/>
          <w:color w:val="000000" w:themeColor="text1"/>
        </w:rPr>
      </w:pPr>
    </w:p>
    <w:p w14:paraId="6C90E299" w14:textId="77777777" w:rsidR="009708B5" w:rsidRDefault="009708B5">
      <w:pPr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br w:type="page"/>
      </w:r>
    </w:p>
    <w:p w14:paraId="0D51F8BA" w14:textId="44A00F5B" w:rsidR="00375AA5" w:rsidRDefault="00E91B61" w:rsidP="009A3E31">
      <w:pPr>
        <w:tabs>
          <w:tab w:val="left" w:pos="2954"/>
        </w:tabs>
        <w:spacing w:line="480" w:lineRule="auto"/>
        <w:rPr>
          <w:rFonts w:cs="Times New Roman"/>
          <w:b/>
          <w:color w:val="000000" w:themeColor="text1"/>
        </w:rPr>
      </w:pPr>
      <w:r w:rsidRPr="00E91B61">
        <w:rPr>
          <w:noProof/>
          <w:lang w:eastAsia="en-US"/>
        </w:rPr>
        <w:lastRenderedPageBreak/>
        <w:drawing>
          <wp:anchor distT="0" distB="0" distL="114300" distR="114300" simplePos="0" relativeHeight="251659263" behindDoc="1" locked="0" layoutInCell="1" allowOverlap="1" wp14:anchorId="39F9A275" wp14:editId="56803A33">
            <wp:simplePos x="0" y="0"/>
            <wp:positionH relativeFrom="column">
              <wp:posOffset>477520</wp:posOffset>
            </wp:positionH>
            <wp:positionV relativeFrom="paragraph">
              <wp:posOffset>304742</wp:posOffset>
            </wp:positionV>
            <wp:extent cx="5306060" cy="3017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0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ADF" w:rsidRPr="00C81ADF">
        <w:rPr>
          <w:rFonts w:cs="Times New Roman"/>
          <w:b/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7117B8" wp14:editId="4B79E316">
                <wp:simplePos x="0" y="0"/>
                <wp:positionH relativeFrom="column">
                  <wp:posOffset>269875</wp:posOffset>
                </wp:positionH>
                <wp:positionV relativeFrom="paragraph">
                  <wp:posOffset>369570</wp:posOffset>
                </wp:positionV>
                <wp:extent cx="457200" cy="140462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128E" w14:textId="77777777" w:rsidR="009F3C1F" w:rsidRPr="00C81ADF" w:rsidRDefault="009F3C1F" w:rsidP="00C81AD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81A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711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25pt;margin-top:29.1pt;width:3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" stroked="f">
                <v:textbox style="mso-fit-shape-to-text:t">
                  <w:txbxContent>
                    <w:p w14:paraId="066F128E" w14:textId="77777777" w:rsidR="009F3C1F" w:rsidRPr="00C81ADF" w:rsidRDefault="009F3C1F" w:rsidP="00C81AD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81ADF">
                        <w:rPr>
                          <w:rFonts w:ascii="Arial" w:hAnsi="Arial" w:cs="Arial"/>
                          <w:sz w:val="32"/>
                          <w:szCs w:val="32"/>
                        </w:rPr>
                        <w:t>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ADF" w:rsidRPr="00C81ADF">
        <w:rPr>
          <w:rFonts w:cs="Times New Roman"/>
          <w:b/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66F93B" wp14:editId="3916022F">
                <wp:simplePos x="0" y="0"/>
                <wp:positionH relativeFrom="column">
                  <wp:posOffset>269760</wp:posOffset>
                </wp:positionH>
                <wp:positionV relativeFrom="paragraph">
                  <wp:posOffset>369282</wp:posOffset>
                </wp:positionV>
                <wp:extent cx="45720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1B6F" w14:textId="3BBD959B" w:rsidR="009F3C1F" w:rsidRPr="00C81ADF" w:rsidRDefault="009F3C1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81A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6F93B" id="_x0000_s1027" type="#_x0000_t202" style="position:absolute;margin-left:21.25pt;margin-top:29.1pt;width:3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" stroked="f">
                <v:textbox style="mso-fit-shape-to-text:t">
                  <w:txbxContent>
                    <w:p w14:paraId="60061B6F" w14:textId="3BBD959B" w:rsidR="009F3C1F" w:rsidRPr="00C81ADF" w:rsidRDefault="009F3C1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81ADF">
                        <w:rPr>
                          <w:rFonts w:ascii="Arial" w:hAnsi="Arial" w:cs="Arial"/>
                          <w:sz w:val="32"/>
                          <w:szCs w:val="32"/>
                        </w:rPr>
                        <w:t>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E31">
        <w:rPr>
          <w:rFonts w:cs="Times New Roman"/>
          <w:b/>
          <w:color w:val="000000" w:themeColor="text1"/>
        </w:rPr>
        <w:tab/>
      </w:r>
    </w:p>
    <w:p w14:paraId="31CAC518" w14:textId="47155062" w:rsidR="00E033D8" w:rsidRDefault="00126F88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  <w:r w:rsidRPr="00126F88">
        <w:t xml:space="preserve"> </w:t>
      </w:r>
    </w:p>
    <w:p w14:paraId="18625C86" w14:textId="46797BDA" w:rsidR="00015813" w:rsidRDefault="00015813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2F7E9176" w14:textId="72D21DBB" w:rsidR="00015813" w:rsidRDefault="00015813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15A04424" w14:textId="445F6CE3" w:rsidR="00015813" w:rsidRDefault="00015813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335D9160" w14:textId="28978500" w:rsidR="00015813" w:rsidRDefault="00015813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21618B04" w14:textId="4AB435C7" w:rsidR="00015813" w:rsidRDefault="00015813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2B33CFC0" w14:textId="693836E9" w:rsidR="00015813" w:rsidRDefault="00015813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14CEB16E" w14:textId="125D4F14" w:rsidR="00015813" w:rsidRDefault="00015813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48D2B314" w14:textId="1A1D299A" w:rsidR="00015813" w:rsidRDefault="00015813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6A37B468" w14:textId="362460E3" w:rsidR="00C81ADF" w:rsidRDefault="00E91B61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  <w:r w:rsidRPr="00E91B61">
        <w:rPr>
          <w:noProof/>
          <w:lang w:eastAsia="en-US"/>
        </w:rPr>
        <w:drawing>
          <wp:anchor distT="0" distB="0" distL="114300" distR="114300" simplePos="0" relativeHeight="251658238" behindDoc="1" locked="0" layoutInCell="1" allowOverlap="1" wp14:anchorId="6ABC765E" wp14:editId="69CC93F3">
            <wp:simplePos x="0" y="0"/>
            <wp:positionH relativeFrom="column">
              <wp:posOffset>533400</wp:posOffset>
            </wp:positionH>
            <wp:positionV relativeFrom="paragraph">
              <wp:posOffset>133465</wp:posOffset>
            </wp:positionV>
            <wp:extent cx="256286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ADF" w:rsidRPr="00C81ADF">
        <w:rPr>
          <w:rFonts w:cs="Times New Roman"/>
          <w:b/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68F146" wp14:editId="7C34DCD8">
                <wp:simplePos x="0" y="0"/>
                <wp:positionH relativeFrom="column">
                  <wp:posOffset>269875</wp:posOffset>
                </wp:positionH>
                <wp:positionV relativeFrom="paragraph">
                  <wp:posOffset>135255</wp:posOffset>
                </wp:positionV>
                <wp:extent cx="457200" cy="140462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E7C6" w14:textId="0FFBF14F" w:rsidR="009F3C1F" w:rsidRPr="00C81ADF" w:rsidRDefault="009F3C1F" w:rsidP="00C81AD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81A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8F146" id="_x0000_s1028" type="#_x0000_t202" style="position:absolute;left:0;text-align:left;margin-left:21.25pt;margin-top:10.65pt;width:3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" stroked="f">
                <v:textbox style="mso-fit-shape-to-text:t">
                  <w:txbxContent>
                    <w:p w14:paraId="5A8BE7C6" w14:textId="0FFBF14F" w:rsidR="009F3C1F" w:rsidRPr="00C81ADF" w:rsidRDefault="009F3C1F" w:rsidP="00C81AD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81ADF">
                        <w:rPr>
                          <w:rFonts w:ascii="Arial" w:hAnsi="Arial" w:cs="Arial"/>
                          <w:sz w:val="32"/>
                          <w:szCs w:val="32"/>
                        </w:rPr>
                        <w:t>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3D6E92" w14:textId="21BF7BA3" w:rsidR="00C81ADF" w:rsidRDefault="00E91B61" w:rsidP="00E91B61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6FB8996F" w14:textId="04BCF0F6" w:rsidR="00C81ADF" w:rsidRDefault="00C81ADF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404E1DBC" w14:textId="424E942A" w:rsidR="00C81ADF" w:rsidRDefault="00C81ADF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295CE000" w14:textId="06C0857B" w:rsidR="00C81ADF" w:rsidRDefault="00C81ADF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22CD70FD" w14:textId="753B406D" w:rsidR="00C81ADF" w:rsidRDefault="00C81ADF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7D2382C4" w14:textId="159D4DA2" w:rsidR="00C81ADF" w:rsidRDefault="00C81ADF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4EB805D6" w14:textId="171B2DFE" w:rsidR="00C81ADF" w:rsidRDefault="00C81ADF" w:rsidP="00AA23F7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b/>
        </w:rPr>
      </w:pPr>
    </w:p>
    <w:p w14:paraId="6A5711E8" w14:textId="339A626D" w:rsidR="00C81ADF" w:rsidRDefault="00C81ADF" w:rsidP="00C81ADF">
      <w:pPr>
        <w:autoSpaceDE w:val="0"/>
        <w:autoSpaceDN w:val="0"/>
        <w:adjustRightInd w:val="0"/>
        <w:spacing w:before="240" w:after="0" w:line="240" w:lineRule="auto"/>
        <w:rPr>
          <w:rFonts w:cs="Times New Roman"/>
          <w:b/>
        </w:rPr>
      </w:pPr>
    </w:p>
    <w:p w14:paraId="1CBFB5D7" w14:textId="6716F0E3" w:rsidR="00B253C5" w:rsidRDefault="00B253C5" w:rsidP="007A75C6">
      <w:pPr>
        <w:pStyle w:val="Heading1"/>
      </w:pPr>
      <w:r w:rsidRPr="007A75C6">
        <w:t xml:space="preserve">Supplementary Figure </w:t>
      </w:r>
      <w:r w:rsidR="00A71535" w:rsidRPr="007A75C6">
        <w:t>S2</w:t>
      </w:r>
      <w:r>
        <w:t xml:space="preserve">:  </w:t>
      </w:r>
      <w:r w:rsidR="00382DCA" w:rsidRPr="007A75C6">
        <w:rPr>
          <w:b w:val="0"/>
        </w:rPr>
        <w:t>Preclinical modeling of a Phase 0 study indicates that ARQ197 does not inhibit MET TK PD biomarker response despite appreciable plasma and tumor drug concentrations.  [A] pTyr</w:t>
      </w:r>
      <w:r w:rsidR="00382DCA" w:rsidRPr="007A75C6">
        <w:rPr>
          <w:b w:val="0"/>
          <w:vertAlign w:val="superscript"/>
        </w:rPr>
        <w:t>1234/1235</w:t>
      </w:r>
      <w:r w:rsidR="00382DCA" w:rsidRPr="007A75C6">
        <w:rPr>
          <w:b w:val="0"/>
        </w:rPr>
        <w:t>MET/MET PD biomarker data (from Figure 1) for the 4, 12, and 24 h time points following administration of a single dose of ARQ197 (at the indicated dose levels) were selected to represent clinically feasible time points for sampling in a Phase 0 study.  [B] tumor and plasma pharmacokinetic data for the 1, 4, and 24 h time points (for the highest ARQ197 dose, 240 mg/kg) are also shown.  Horizontal lines indicate the mean and standard deviation for each group (</w:t>
      </w:r>
      <w:r w:rsidR="00382DCA" w:rsidRPr="007A75C6">
        <w:rPr>
          <w:b w:val="0"/>
          <w:i/>
        </w:rPr>
        <w:t>n</w:t>
      </w:r>
      <w:r w:rsidR="009407F5" w:rsidRPr="007A75C6">
        <w:rPr>
          <w:b w:val="0"/>
        </w:rPr>
        <w:t xml:space="preserve"> = 3 mice per group).</w:t>
      </w:r>
      <w:r w:rsidR="009407F5">
        <w:t xml:space="preserve"> </w:t>
      </w:r>
    </w:p>
    <w:p w14:paraId="180D45C4" w14:textId="573046D1" w:rsidR="00CC00FC" w:rsidRDefault="00CC00FC">
      <w:pPr>
        <w:rPr>
          <w:bCs/>
        </w:rPr>
      </w:pPr>
      <w:r>
        <w:rPr>
          <w:bCs/>
        </w:rPr>
        <w:br w:type="page"/>
      </w:r>
    </w:p>
    <w:p w14:paraId="4400A4F0" w14:textId="5A094C7C" w:rsidR="00904642" w:rsidRDefault="00904642" w:rsidP="00CF2620">
      <w:pPr>
        <w:spacing w:after="0" w:line="240" w:lineRule="auto"/>
        <w:rPr>
          <w:b/>
          <w:bCs/>
        </w:rPr>
      </w:pPr>
    </w:p>
    <w:p w14:paraId="73BCE243" w14:textId="20951F2F" w:rsidR="00F747A6" w:rsidRDefault="00F754B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69252F" wp14:editId="468CBF56">
            <wp:extent cx="4932045" cy="6486525"/>
            <wp:effectExtent l="0" t="0" r="190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64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8203E" w14:textId="0BCEB9CB" w:rsidR="00904642" w:rsidRDefault="00904642">
      <w:pPr>
        <w:rPr>
          <w:bCs/>
        </w:rPr>
      </w:pPr>
      <w:bookmarkStart w:id="3" w:name="_Hlk499727208"/>
      <w:r w:rsidRPr="00904642">
        <w:rPr>
          <w:b/>
          <w:bCs/>
        </w:rPr>
        <w:t>Supplementary Figure S</w:t>
      </w:r>
      <w:r w:rsidR="00DE083B">
        <w:rPr>
          <w:b/>
          <w:bCs/>
        </w:rPr>
        <w:t>3</w:t>
      </w:r>
      <w:r w:rsidRPr="00904642">
        <w:rPr>
          <w:b/>
          <w:bCs/>
        </w:rPr>
        <w:t xml:space="preserve">:  </w:t>
      </w:r>
      <w:r w:rsidR="00B15760" w:rsidRPr="00CF2620">
        <w:rPr>
          <w:bCs/>
        </w:rPr>
        <w:t xml:space="preserve">PD biomarker−based dosage regimens for </w:t>
      </w:r>
      <w:r w:rsidR="00CF4857">
        <w:rPr>
          <w:bCs/>
        </w:rPr>
        <w:t xml:space="preserve">[A] </w:t>
      </w:r>
      <w:r w:rsidR="00B15760" w:rsidRPr="00CF2620">
        <w:rPr>
          <w:bCs/>
        </w:rPr>
        <w:t xml:space="preserve">XL880 (17 mg/kg once daily), </w:t>
      </w:r>
      <w:r w:rsidR="00CF4857">
        <w:rPr>
          <w:bCs/>
        </w:rPr>
        <w:t xml:space="preserve">[B] </w:t>
      </w:r>
      <w:r w:rsidR="00B15760" w:rsidRPr="00CF2620">
        <w:rPr>
          <w:bCs/>
        </w:rPr>
        <w:t>XL184 (44 mg/kg t</w:t>
      </w:r>
      <w:bookmarkEnd w:id="3"/>
      <w:r w:rsidR="00B15760" w:rsidRPr="00CF2620">
        <w:rPr>
          <w:bCs/>
        </w:rPr>
        <w:t xml:space="preserve">wice daily), or </w:t>
      </w:r>
      <w:r w:rsidR="00CF4857">
        <w:rPr>
          <w:bCs/>
        </w:rPr>
        <w:t xml:space="preserve">[C] </w:t>
      </w:r>
      <w:r w:rsidR="00B15760" w:rsidRPr="00CF2620">
        <w:rPr>
          <w:bCs/>
        </w:rPr>
        <w:t>EMD1214063 (1</w:t>
      </w:r>
      <w:r w:rsidR="00BB0AAD">
        <w:rPr>
          <w:bCs/>
        </w:rPr>
        <w:t>2.5</w:t>
      </w:r>
      <w:r w:rsidR="00B15760" w:rsidRPr="00CF2620">
        <w:rPr>
          <w:bCs/>
        </w:rPr>
        <w:t xml:space="preserve"> mg/kg twice daily) do not result in substantial body weight loss in the SNU-5 gastric carcinoma xenograft model.  Drug dosing persisted for 21 days, starting on study </w:t>
      </w:r>
      <w:r w:rsidR="008F5F12">
        <w:rPr>
          <w:bCs/>
        </w:rPr>
        <w:t>d</w:t>
      </w:r>
      <w:r w:rsidR="00B15760" w:rsidRPr="00CF2620">
        <w:rPr>
          <w:bCs/>
        </w:rPr>
        <w:t>ay 18 and continuing through day 38; mean</w:t>
      </w:r>
      <w:r w:rsidR="008F5F12">
        <w:rPr>
          <w:bCs/>
        </w:rPr>
        <w:t xml:space="preserve"> animal body weights</w:t>
      </w:r>
      <w:r w:rsidR="00B15760" w:rsidRPr="00CF2620">
        <w:rPr>
          <w:bCs/>
        </w:rPr>
        <w:t xml:space="preserve"> were calculated to day 62.  Error bars represent </w:t>
      </w:r>
      <w:r w:rsidR="00F754B9">
        <w:rPr>
          <w:bCs/>
        </w:rPr>
        <w:t>SD</w:t>
      </w:r>
      <w:r w:rsidR="00F754B9" w:rsidRPr="00CF2620">
        <w:rPr>
          <w:bCs/>
        </w:rPr>
        <w:t xml:space="preserve"> </w:t>
      </w:r>
      <w:r w:rsidR="00B15760" w:rsidRPr="00CF2620">
        <w:rPr>
          <w:bCs/>
        </w:rPr>
        <w:t>(</w:t>
      </w:r>
      <w:r w:rsidR="00B15760" w:rsidRPr="00CF2620">
        <w:rPr>
          <w:bCs/>
          <w:i/>
        </w:rPr>
        <w:t>n</w:t>
      </w:r>
      <w:r w:rsidR="00B15760" w:rsidRPr="00CF2620">
        <w:rPr>
          <w:bCs/>
        </w:rPr>
        <w:t xml:space="preserve"> = 5-16 animals per group).</w:t>
      </w:r>
    </w:p>
    <w:p w14:paraId="01A9C7BB" w14:textId="38BCEAB0" w:rsidR="00F15F33" w:rsidRDefault="00F15F33">
      <w:pPr>
        <w:rPr>
          <w:bCs/>
        </w:rPr>
      </w:pPr>
    </w:p>
    <w:p w14:paraId="7ACA3C6F" w14:textId="47285799" w:rsidR="0095499C" w:rsidRDefault="00443801" w:rsidP="00CF2620">
      <w:pPr>
        <w:rPr>
          <w:bCs/>
        </w:rPr>
      </w:pP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A4679" wp14:editId="04CD4CA8">
                <wp:simplePos x="0" y="0"/>
                <wp:positionH relativeFrom="column">
                  <wp:posOffset>2935605</wp:posOffset>
                </wp:positionH>
                <wp:positionV relativeFrom="paragraph">
                  <wp:posOffset>168910</wp:posOffset>
                </wp:positionV>
                <wp:extent cx="375285" cy="325120"/>
                <wp:effectExtent l="0" t="0" r="0" b="5080"/>
                <wp:wrapNone/>
                <wp:docPr id="1126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CB46A" w14:textId="77777777" w:rsidR="009F3C1F" w:rsidRDefault="009F3C1F" w:rsidP="00E3404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E340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4679" id="TextBox 7" o:spid="_x0000_s1029" type="#_x0000_t202" style="position:absolute;margin-left:231.15pt;margin-top:13.3pt;width:29.55pt;height:2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" filled="f" stroked="f">
                <v:textbox style="mso-fit-shape-to-text:t">
                  <w:txbxContent>
                    <w:p w14:paraId="2A7CB46A" w14:textId="77777777" w:rsidR="009F3C1F" w:rsidRDefault="009F3C1F" w:rsidP="00E3404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E3404D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2274E" wp14:editId="53027610">
                <wp:simplePos x="0" y="0"/>
                <wp:positionH relativeFrom="column">
                  <wp:posOffset>2935605</wp:posOffset>
                </wp:positionH>
                <wp:positionV relativeFrom="paragraph">
                  <wp:posOffset>2407920</wp:posOffset>
                </wp:positionV>
                <wp:extent cx="386715" cy="325120"/>
                <wp:effectExtent l="0" t="0" r="0" b="5080"/>
                <wp:wrapNone/>
                <wp:docPr id="11271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E1FE" w14:textId="77777777" w:rsidR="009F3C1F" w:rsidRDefault="009F3C1F" w:rsidP="00E3404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E340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274E" id="TextBox 9" o:spid="_x0000_s1030" type="#_x0000_t202" style="position:absolute;margin-left:231.15pt;margin-top:189.6pt;width:30.45pt;height:25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" filled="f" stroked="f">
                <v:textbox style="mso-fit-shape-to-text:t">
                  <w:txbxContent>
                    <w:p w14:paraId="4B91E1FE" w14:textId="77777777" w:rsidR="009F3C1F" w:rsidRDefault="009F3C1F" w:rsidP="00E3404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E3404D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6ACBE" wp14:editId="6112628C">
                <wp:simplePos x="0" y="0"/>
                <wp:positionH relativeFrom="column">
                  <wp:posOffset>-299085</wp:posOffset>
                </wp:positionH>
                <wp:positionV relativeFrom="paragraph">
                  <wp:posOffset>168910</wp:posOffset>
                </wp:positionV>
                <wp:extent cx="375285" cy="325120"/>
                <wp:effectExtent l="0" t="0" r="0" b="0"/>
                <wp:wrapNone/>
                <wp:docPr id="11268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5B347" w14:textId="77777777" w:rsidR="009F3C1F" w:rsidRDefault="009F3C1F" w:rsidP="00E3404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E340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ACBE" id="TextBox 6" o:spid="_x0000_s1031" type="#_x0000_t202" style="position:absolute;margin-left:-23.55pt;margin-top:13.3pt;width:29.55pt;height:25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" filled="f" stroked="f">
                <v:textbox style="mso-fit-shape-to-text:t">
                  <w:txbxContent>
                    <w:p w14:paraId="32D5B347" w14:textId="77777777" w:rsidR="009F3C1F" w:rsidRDefault="009F3C1F" w:rsidP="00E3404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E3404D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628AC" wp14:editId="195B852E">
                <wp:simplePos x="0" y="0"/>
                <wp:positionH relativeFrom="column">
                  <wp:posOffset>-299085</wp:posOffset>
                </wp:positionH>
                <wp:positionV relativeFrom="paragraph">
                  <wp:posOffset>2408555</wp:posOffset>
                </wp:positionV>
                <wp:extent cx="386715" cy="325120"/>
                <wp:effectExtent l="0" t="0" r="0" b="0"/>
                <wp:wrapNone/>
                <wp:docPr id="11270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60C18" w14:textId="77777777" w:rsidR="009F3C1F" w:rsidRDefault="009F3C1F" w:rsidP="00E3404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E340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628AC" id="TextBox 8" o:spid="_x0000_s1032" type="#_x0000_t202" style="position:absolute;margin-left:-23.55pt;margin-top:189.65pt;width:30.45pt;height:25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" filled="f" stroked="f">
                <v:textbox style="mso-fit-shape-to-text:t">
                  <w:txbxContent>
                    <w:p w14:paraId="70F60C18" w14:textId="77777777" w:rsidR="009F3C1F" w:rsidRDefault="009F3C1F" w:rsidP="00E3404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E3404D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 w:rsidRPr="00443801">
        <w:t xml:space="preserve"> </w:t>
      </w:r>
      <w:r w:rsidRPr="00443801">
        <w:rPr>
          <w:noProof/>
          <w:lang w:eastAsia="en-US"/>
        </w:rPr>
        <w:drawing>
          <wp:inline distT="0" distB="0" distL="0" distR="0" wp14:anchorId="21E3432E" wp14:editId="28690D68">
            <wp:extent cx="6362700" cy="45435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" r="3905"/>
                    <a:stretch/>
                  </pic:blipFill>
                  <pic:spPr bwMode="auto">
                    <a:xfrm>
                      <a:off x="0" y="0"/>
                      <a:ext cx="6378452" cy="455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11CB" w:rsidRPr="008811CB">
        <w:t xml:space="preserve"> </w:t>
      </w:r>
    </w:p>
    <w:p w14:paraId="3B7D6A08" w14:textId="5DD99E3F" w:rsidR="00DC65A7" w:rsidRDefault="00DC65A7" w:rsidP="00DC65A7">
      <w:pPr>
        <w:rPr>
          <w:rFonts w:cs="Times New Roman"/>
        </w:rPr>
      </w:pPr>
    </w:p>
    <w:p w14:paraId="55598A8C" w14:textId="27D3E7DA" w:rsidR="00DC65A7" w:rsidRPr="00DD36AF" w:rsidRDefault="00DC65A7" w:rsidP="00DD36AF">
      <w:pPr>
        <w:pStyle w:val="Heading1"/>
        <w:rPr>
          <w:b w:val="0"/>
        </w:rPr>
      </w:pPr>
      <w:r w:rsidRPr="00DD36AF">
        <w:t xml:space="preserve">Supplementary Figure </w:t>
      </w:r>
      <w:r w:rsidR="00E702EF" w:rsidRPr="00DD36AF">
        <w:t>S</w:t>
      </w:r>
      <w:r w:rsidR="00DE083B">
        <w:t>4</w:t>
      </w:r>
      <w:r w:rsidRPr="00CC65D1">
        <w:rPr>
          <w:bCs/>
        </w:rPr>
        <w:t xml:space="preserve">. </w:t>
      </w:r>
      <w:r>
        <w:rPr>
          <w:bCs/>
        </w:rPr>
        <w:t xml:space="preserve"> </w:t>
      </w:r>
      <w:r w:rsidR="00EA2075">
        <w:rPr>
          <w:b w:val="0"/>
          <w:bCs/>
        </w:rPr>
        <w:t>Total full-length</w:t>
      </w:r>
      <w:r w:rsidR="00EA2075" w:rsidRPr="00DD36AF">
        <w:rPr>
          <w:b w:val="0"/>
          <w:bCs/>
        </w:rPr>
        <w:t xml:space="preserve"> </w:t>
      </w:r>
      <w:r w:rsidRPr="00DD36AF">
        <w:rPr>
          <w:b w:val="0"/>
          <w:bCs/>
        </w:rPr>
        <w:t xml:space="preserve">MET levels in tumor biopsies after </w:t>
      </w:r>
      <w:r w:rsidR="00BA6DBA" w:rsidRPr="00DD36AF">
        <w:rPr>
          <w:b w:val="0"/>
          <w:bCs/>
        </w:rPr>
        <w:t>single doses of [A] ARQ197</w:t>
      </w:r>
      <w:r w:rsidRPr="00DD36AF">
        <w:rPr>
          <w:b w:val="0"/>
          <w:bCs/>
        </w:rPr>
        <w:t xml:space="preserve">, </w:t>
      </w:r>
      <w:r w:rsidR="00BA6DBA" w:rsidRPr="00DD36AF">
        <w:rPr>
          <w:b w:val="0"/>
          <w:bCs/>
        </w:rPr>
        <w:t>[B] EMD1214063</w:t>
      </w:r>
      <w:r w:rsidRPr="00DD36AF">
        <w:rPr>
          <w:b w:val="0"/>
          <w:bCs/>
        </w:rPr>
        <w:t xml:space="preserve">, </w:t>
      </w:r>
      <w:r w:rsidR="00BA6DBA" w:rsidRPr="00DD36AF">
        <w:rPr>
          <w:b w:val="0"/>
          <w:bCs/>
        </w:rPr>
        <w:t>[C] XL184</w:t>
      </w:r>
      <w:r w:rsidRPr="00DD36AF">
        <w:rPr>
          <w:b w:val="0"/>
          <w:bCs/>
        </w:rPr>
        <w:t xml:space="preserve">, or </w:t>
      </w:r>
      <w:r w:rsidR="00BA6DBA" w:rsidRPr="00DD36AF">
        <w:rPr>
          <w:b w:val="0"/>
          <w:bCs/>
        </w:rPr>
        <w:t>[D] XL880</w:t>
      </w:r>
      <w:r w:rsidRPr="00DD36AF">
        <w:rPr>
          <w:b w:val="0"/>
        </w:rPr>
        <w:t xml:space="preserve">.  Asterisks (*) indicate significant reductions in </w:t>
      </w:r>
      <w:r w:rsidR="00EA2075">
        <w:rPr>
          <w:b w:val="0"/>
        </w:rPr>
        <w:t>to</w:t>
      </w:r>
      <w:r w:rsidR="00EA2075" w:rsidRPr="00DD36AF">
        <w:rPr>
          <w:b w:val="0"/>
        </w:rPr>
        <w:t>t</w:t>
      </w:r>
      <w:r w:rsidR="00EA2075">
        <w:rPr>
          <w:b w:val="0"/>
        </w:rPr>
        <w:t>al full-length</w:t>
      </w:r>
      <w:r w:rsidR="00EA2075" w:rsidRPr="00DD36AF">
        <w:rPr>
          <w:b w:val="0"/>
        </w:rPr>
        <w:t xml:space="preserve"> </w:t>
      </w:r>
      <w:r w:rsidRPr="00DD36AF">
        <w:rPr>
          <w:b w:val="0"/>
        </w:rPr>
        <w:t>MET level (</w:t>
      </w:r>
      <w:r w:rsidR="00F63945">
        <w:rPr>
          <w:b w:val="0"/>
          <w:i/>
        </w:rPr>
        <w:t>P </w:t>
      </w:r>
      <w:r w:rsidRPr="00DD36AF">
        <w:rPr>
          <w:b w:val="0"/>
        </w:rPr>
        <w:t>&lt;</w:t>
      </w:r>
      <w:r w:rsidR="00F63945">
        <w:rPr>
          <w:b w:val="0"/>
        </w:rPr>
        <w:t> </w:t>
      </w:r>
      <w:r w:rsidRPr="00DD36AF">
        <w:rPr>
          <w:b w:val="0"/>
        </w:rPr>
        <w:t>0.05) at a given dose</w:t>
      </w:r>
      <w:r w:rsidR="00E3404D" w:rsidRPr="00DD36AF">
        <w:rPr>
          <w:b w:val="0"/>
        </w:rPr>
        <w:t xml:space="preserve"> </w:t>
      </w:r>
      <w:r w:rsidRPr="00DD36AF">
        <w:rPr>
          <w:b w:val="0"/>
        </w:rPr>
        <w:t>and collection time point</w:t>
      </w:r>
      <w:r w:rsidR="00E3404D" w:rsidRPr="00DD36AF">
        <w:rPr>
          <w:b w:val="0"/>
        </w:rPr>
        <w:t xml:space="preserve"> (</w:t>
      </w:r>
      <w:r w:rsidR="00E3404D" w:rsidRPr="00DD36AF">
        <w:rPr>
          <w:b w:val="0"/>
          <w:i/>
        </w:rPr>
        <w:t>n</w:t>
      </w:r>
      <w:r w:rsidR="00B40E1F" w:rsidRPr="00DD36AF">
        <w:rPr>
          <w:b w:val="0"/>
          <w:i/>
        </w:rPr>
        <w:t xml:space="preserve"> </w:t>
      </w:r>
      <w:r w:rsidR="00E3404D" w:rsidRPr="00DD36AF">
        <w:rPr>
          <w:b w:val="0"/>
        </w:rPr>
        <w:t>=</w:t>
      </w:r>
      <w:r w:rsidR="00B40E1F" w:rsidRPr="00DD36AF">
        <w:rPr>
          <w:b w:val="0"/>
        </w:rPr>
        <w:t xml:space="preserve"> </w:t>
      </w:r>
      <w:r w:rsidR="00E3404D" w:rsidRPr="00DD36AF">
        <w:rPr>
          <w:b w:val="0"/>
        </w:rPr>
        <w:t>3</w:t>
      </w:r>
      <w:r w:rsidR="00D53A10">
        <w:rPr>
          <w:b w:val="0"/>
        </w:rPr>
        <w:t xml:space="preserve"> animals per group</w:t>
      </w:r>
      <w:r w:rsidR="00E3404D" w:rsidRPr="00DD36AF">
        <w:rPr>
          <w:b w:val="0"/>
        </w:rPr>
        <w:t xml:space="preserve">) </w:t>
      </w:r>
      <w:r w:rsidRPr="00DD36AF">
        <w:rPr>
          <w:b w:val="0"/>
        </w:rPr>
        <w:t>compared to the all-vehicle mean</w:t>
      </w:r>
      <w:r w:rsidR="00E84633" w:rsidRPr="00DD36AF">
        <w:rPr>
          <w:b w:val="0"/>
        </w:rPr>
        <w:t xml:space="preserve"> (</w:t>
      </w:r>
      <w:r w:rsidR="00E84633" w:rsidRPr="00DD36AF">
        <w:rPr>
          <w:b w:val="0"/>
          <w:i/>
        </w:rPr>
        <w:t>n</w:t>
      </w:r>
      <w:r w:rsidR="00B40E1F" w:rsidRPr="00DD36AF">
        <w:rPr>
          <w:b w:val="0"/>
          <w:i/>
        </w:rPr>
        <w:t xml:space="preserve"> </w:t>
      </w:r>
      <w:r w:rsidR="00E84633" w:rsidRPr="00DD36AF">
        <w:rPr>
          <w:b w:val="0"/>
        </w:rPr>
        <w:t>=</w:t>
      </w:r>
      <w:r w:rsidR="00B40E1F" w:rsidRPr="00DD36AF">
        <w:rPr>
          <w:b w:val="0"/>
        </w:rPr>
        <w:t xml:space="preserve"> </w:t>
      </w:r>
      <w:r w:rsidR="00E3404D" w:rsidRPr="00DD36AF">
        <w:rPr>
          <w:b w:val="0"/>
        </w:rPr>
        <w:t>27</w:t>
      </w:r>
      <w:r w:rsidR="00D53A10">
        <w:rPr>
          <w:b w:val="0"/>
        </w:rPr>
        <w:t xml:space="preserve"> animals per group</w:t>
      </w:r>
      <w:r w:rsidR="00E3404D" w:rsidRPr="00DD36AF">
        <w:rPr>
          <w:b w:val="0"/>
        </w:rPr>
        <w:t>)</w:t>
      </w:r>
      <w:r w:rsidRPr="00DD36AF">
        <w:rPr>
          <w:b w:val="0"/>
        </w:rPr>
        <w:t xml:space="preserve">.  </w:t>
      </w:r>
      <w:r w:rsidR="0047584D">
        <w:rPr>
          <w:b w:val="0"/>
        </w:rPr>
        <w:t>Total full-length</w:t>
      </w:r>
      <w:r w:rsidR="0047584D" w:rsidRPr="00DD36AF">
        <w:rPr>
          <w:b w:val="0"/>
        </w:rPr>
        <w:t xml:space="preserve"> </w:t>
      </w:r>
      <w:r w:rsidRPr="00DD36AF">
        <w:rPr>
          <w:b w:val="0"/>
        </w:rPr>
        <w:t xml:space="preserve">MET levels were significantly reduced from 4 through 24 hr for the highest doses of EMD1214063 and from 24 through 48 hr for the highest doses of XL880.  ARQ197 and XL184 </w:t>
      </w:r>
      <w:r w:rsidR="00E113D2">
        <w:rPr>
          <w:b w:val="0"/>
        </w:rPr>
        <w:t>did not yield significant changes in total</w:t>
      </w:r>
      <w:r w:rsidR="0047584D">
        <w:rPr>
          <w:b w:val="0"/>
        </w:rPr>
        <w:t xml:space="preserve"> full-length </w:t>
      </w:r>
      <w:r w:rsidR="00E113D2">
        <w:rPr>
          <w:b w:val="0"/>
        </w:rPr>
        <w:t>MET levels at any concentration or time point</w:t>
      </w:r>
      <w:r w:rsidRPr="00DD36AF">
        <w:rPr>
          <w:b w:val="0"/>
        </w:rPr>
        <w:t xml:space="preserve">.  </w:t>
      </w:r>
      <w:r w:rsidR="00E02D20" w:rsidRPr="00DD36AF">
        <w:rPr>
          <w:b w:val="0"/>
        </w:rPr>
        <w:t xml:space="preserve">The </w:t>
      </w:r>
      <w:r w:rsidRPr="00DD36AF">
        <w:rPr>
          <w:b w:val="0"/>
          <w:i/>
        </w:rPr>
        <w:t>x</w:t>
      </w:r>
      <w:r w:rsidR="00B03FFD" w:rsidRPr="00DD36AF">
        <w:rPr>
          <w:b w:val="0"/>
        </w:rPr>
        <w:noBreakHyphen/>
      </w:r>
      <w:r w:rsidRPr="00DD36AF">
        <w:rPr>
          <w:b w:val="0"/>
        </w:rPr>
        <w:t xml:space="preserve">axis refers to time after the single dose at the </w:t>
      </w:r>
      <w:r w:rsidR="00B03FFD" w:rsidRPr="00DD36AF">
        <w:rPr>
          <w:b w:val="0"/>
        </w:rPr>
        <w:t>dose</w:t>
      </w:r>
      <w:r w:rsidR="001C1418" w:rsidRPr="00DD36AF">
        <w:rPr>
          <w:b w:val="0"/>
        </w:rPr>
        <w:t xml:space="preserve"> levels </w:t>
      </w:r>
      <w:r w:rsidR="00B03FFD" w:rsidRPr="00DD36AF">
        <w:rPr>
          <w:b w:val="0"/>
        </w:rPr>
        <w:t>indicated</w:t>
      </w:r>
      <w:r w:rsidR="001C1418" w:rsidRPr="00DD36AF">
        <w:rPr>
          <w:b w:val="0"/>
        </w:rPr>
        <w:t xml:space="preserve"> in the legend of each graph.</w:t>
      </w:r>
    </w:p>
    <w:p w14:paraId="67250E4C" w14:textId="77777777" w:rsidR="00E84633" w:rsidRDefault="00E84633" w:rsidP="00DC65A7">
      <w:pPr>
        <w:spacing w:line="480" w:lineRule="auto"/>
        <w:rPr>
          <w:rFonts w:cs="Times New Roman"/>
          <w:color w:val="000000"/>
        </w:rPr>
      </w:pPr>
    </w:p>
    <w:p w14:paraId="13A279F7" w14:textId="77777777" w:rsidR="00E84633" w:rsidRDefault="00E84633" w:rsidP="00DC65A7">
      <w:pPr>
        <w:spacing w:line="480" w:lineRule="auto"/>
        <w:rPr>
          <w:rFonts w:cs="Times New Roman"/>
          <w:color w:val="000000"/>
        </w:rPr>
      </w:pPr>
    </w:p>
    <w:p w14:paraId="5B2DB1F9" w14:textId="5DEB078A" w:rsidR="00E84633" w:rsidRDefault="00E84633" w:rsidP="00DC65A7">
      <w:pPr>
        <w:spacing w:line="480" w:lineRule="auto"/>
        <w:rPr>
          <w:rFonts w:cs="Times New Roman"/>
          <w:color w:val="000000"/>
        </w:rPr>
      </w:pPr>
    </w:p>
    <w:p w14:paraId="77556FF3" w14:textId="44A663AD" w:rsidR="00CC00FC" w:rsidRDefault="00CC00FC">
      <w:pPr>
        <w:rPr>
          <w:rFonts w:cs="Times New Roman"/>
          <w:color w:val="000000"/>
        </w:rPr>
      </w:pPr>
    </w:p>
    <w:p w14:paraId="52C4F0CE" w14:textId="7C223789" w:rsidR="001668F5" w:rsidRDefault="001668F5" w:rsidP="00DC65A7">
      <w:pPr>
        <w:spacing w:line="480" w:lineRule="auto"/>
        <w:rPr>
          <w:rFonts w:cs="Times New Roman"/>
          <w:color w:val="000000"/>
        </w:rPr>
      </w:pPr>
    </w:p>
    <w:p w14:paraId="48947F00" w14:textId="28579287" w:rsidR="001D65E4" w:rsidRDefault="00ED1F38" w:rsidP="00DC65A7">
      <w:pPr>
        <w:spacing w:line="480" w:lineRule="auto"/>
        <w:rPr>
          <w:rFonts w:ascii="Arial" w:eastAsia="Times New Roman" w:hAnsi="Arial" w:cs="Arial"/>
          <w:color w:val="000000" w:themeColor="text1"/>
          <w:kern w:val="24"/>
          <w:sz w:val="32"/>
          <w:szCs w:val="32"/>
          <w:lang w:eastAsia="en-US"/>
        </w:rPr>
      </w:pPr>
      <w:r w:rsidRPr="00DB3E2F">
        <w:rPr>
          <w:noProof/>
        </w:rPr>
        <w:drawing>
          <wp:anchor distT="0" distB="0" distL="114300" distR="114300" simplePos="0" relativeHeight="251681792" behindDoc="1" locked="0" layoutInCell="1" allowOverlap="1" wp14:anchorId="796E1F85" wp14:editId="3BD9ADF7">
            <wp:simplePos x="0" y="0"/>
            <wp:positionH relativeFrom="column">
              <wp:posOffset>0</wp:posOffset>
            </wp:positionH>
            <wp:positionV relativeFrom="paragraph">
              <wp:posOffset>594937</wp:posOffset>
            </wp:positionV>
            <wp:extent cx="5943600" cy="22186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71" w:rsidRPr="004E4671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5A7D4" wp14:editId="3816F03E">
                <wp:simplePos x="0" y="0"/>
                <wp:positionH relativeFrom="column">
                  <wp:posOffset>3891280</wp:posOffset>
                </wp:positionH>
                <wp:positionV relativeFrom="paragraph">
                  <wp:posOffset>457835</wp:posOffset>
                </wp:positionV>
                <wp:extent cx="386715" cy="325120"/>
                <wp:effectExtent l="0" t="0" r="0" b="8890"/>
                <wp:wrapNone/>
                <wp:docPr id="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01256" w14:textId="77777777" w:rsidR="009F3C1F" w:rsidRDefault="009F3C1F" w:rsidP="004E4671">
                            <w:pPr>
                              <w:spacing w:after="0"/>
                              <w:textAlignment w:val="baseline"/>
                            </w:pPr>
                            <w:r w:rsidRPr="00E340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5A7D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06.4pt;margin-top:36.05pt;width:30.45pt;height:25.6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" filled="f" stroked="f">
                <v:textbox style="mso-fit-shape-to-text:t">
                  <w:txbxContent>
                    <w:p w14:paraId="11501256" w14:textId="77777777" w:rsidR="009F3C1F" w:rsidRDefault="009F3C1F" w:rsidP="004E4671">
                      <w:pPr>
                        <w:spacing w:after="0"/>
                        <w:textAlignment w:val="baseline"/>
                      </w:pPr>
                      <w:r w:rsidRPr="00E3404D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 w:rsidR="004E4671" w:rsidRPr="004E4671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87277" wp14:editId="7F7FDE81">
                <wp:simplePos x="0" y="0"/>
                <wp:positionH relativeFrom="column">
                  <wp:posOffset>-52070</wp:posOffset>
                </wp:positionH>
                <wp:positionV relativeFrom="paragraph">
                  <wp:posOffset>454660</wp:posOffset>
                </wp:positionV>
                <wp:extent cx="375285" cy="325120"/>
                <wp:effectExtent l="0" t="0" r="0" b="8890"/>
                <wp:wrapNone/>
                <wp:docPr id="3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D9FD1" w14:textId="77777777" w:rsidR="009F3C1F" w:rsidRDefault="009F3C1F" w:rsidP="004E4671">
                            <w:pPr>
                              <w:spacing w:after="0"/>
                              <w:textAlignment w:val="baseline"/>
                            </w:pPr>
                            <w:r w:rsidRPr="00E340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7277" id="_x0000_s1034" type="#_x0000_t202" style="position:absolute;margin-left:-4.1pt;margin-top:35.8pt;width:29.55pt;height:25.6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" filled="f" stroked="f">
                <v:textbox style="mso-fit-shape-to-text:t">
                  <w:txbxContent>
                    <w:p w14:paraId="429D9FD1" w14:textId="77777777" w:rsidR="009F3C1F" w:rsidRDefault="009F3C1F" w:rsidP="004E4671">
                      <w:pPr>
                        <w:spacing w:after="0"/>
                        <w:textAlignment w:val="baseline"/>
                      </w:pPr>
                      <w:r w:rsidRPr="00E3404D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4E4671" w:rsidRPr="004E4671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018A2" wp14:editId="6042D8B1">
                <wp:simplePos x="0" y="0"/>
                <wp:positionH relativeFrom="column">
                  <wp:posOffset>1935480</wp:posOffset>
                </wp:positionH>
                <wp:positionV relativeFrom="paragraph">
                  <wp:posOffset>454660</wp:posOffset>
                </wp:positionV>
                <wp:extent cx="375285" cy="325120"/>
                <wp:effectExtent l="0" t="0" r="0" b="8890"/>
                <wp:wrapNone/>
                <wp:docPr id="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84777" w14:textId="77777777" w:rsidR="009F3C1F" w:rsidRDefault="009F3C1F" w:rsidP="004E4671">
                            <w:pPr>
                              <w:spacing w:after="0"/>
                              <w:textAlignment w:val="baseline"/>
                            </w:pPr>
                            <w:r w:rsidRPr="00E3404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18A2" id="_x0000_s1035" type="#_x0000_t202" style="position:absolute;margin-left:152.4pt;margin-top:35.8pt;width:29.55pt;height:25.6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" filled="f" stroked="f">
                <v:textbox style="mso-fit-shape-to-text:t">
                  <w:txbxContent>
                    <w:p w14:paraId="52E84777" w14:textId="77777777" w:rsidR="009F3C1F" w:rsidRDefault="009F3C1F" w:rsidP="004E4671">
                      <w:pPr>
                        <w:spacing w:after="0"/>
                        <w:textAlignment w:val="baseline"/>
                      </w:pPr>
                      <w:r w:rsidRPr="00E3404D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14:paraId="548CBD11" w14:textId="674DA248" w:rsidR="00E84633" w:rsidRDefault="00921174" w:rsidP="00DC65A7">
      <w:pPr>
        <w:spacing w:line="480" w:lineRule="auto"/>
        <w:rPr>
          <w:rFonts w:cs="Times New Roman"/>
          <w:color w:val="000000"/>
        </w:rPr>
      </w:pPr>
      <w:r w:rsidRPr="00921174">
        <w:t xml:space="preserve"> </w:t>
      </w:r>
    </w:p>
    <w:p w14:paraId="363E2040" w14:textId="36972300" w:rsidR="00E84633" w:rsidRDefault="00E84633" w:rsidP="00DC65A7">
      <w:pPr>
        <w:spacing w:line="480" w:lineRule="auto"/>
        <w:rPr>
          <w:rFonts w:cs="Times New Roman"/>
        </w:rPr>
      </w:pPr>
    </w:p>
    <w:p w14:paraId="08681763" w14:textId="18DD37BB" w:rsidR="00DC65A7" w:rsidRDefault="00DC65A7" w:rsidP="00AC0543">
      <w:pPr>
        <w:spacing w:line="480" w:lineRule="auto"/>
      </w:pPr>
    </w:p>
    <w:p w14:paraId="1C55E62B" w14:textId="7B076E56" w:rsidR="00E84633" w:rsidRDefault="00E84633" w:rsidP="00AC0543">
      <w:pPr>
        <w:spacing w:line="480" w:lineRule="auto"/>
      </w:pPr>
    </w:p>
    <w:p w14:paraId="03646AD6" w14:textId="0131F9A1" w:rsidR="00E84633" w:rsidRDefault="00E84633" w:rsidP="00AC0543">
      <w:pPr>
        <w:spacing w:line="480" w:lineRule="auto"/>
      </w:pPr>
    </w:p>
    <w:p w14:paraId="372102C4" w14:textId="77777777" w:rsidR="001668F5" w:rsidRDefault="001668F5" w:rsidP="00CC00FC">
      <w:pPr>
        <w:spacing w:line="240" w:lineRule="auto"/>
      </w:pPr>
    </w:p>
    <w:p w14:paraId="0B0C56CA" w14:textId="07725776" w:rsidR="00E84633" w:rsidRDefault="00E84633" w:rsidP="004E1FED">
      <w:pPr>
        <w:pStyle w:val="Heading1"/>
        <w:rPr>
          <w:b w:val="0"/>
        </w:rPr>
      </w:pPr>
      <w:r w:rsidRPr="004E1FED">
        <w:t>Supplementary Figure S</w:t>
      </w:r>
      <w:r w:rsidR="00DE083B">
        <w:t>5</w:t>
      </w:r>
      <w:r w:rsidRPr="00CC65D1">
        <w:t xml:space="preserve">. </w:t>
      </w:r>
      <w:r>
        <w:t xml:space="preserve"> </w:t>
      </w:r>
      <w:r w:rsidR="000A13E4">
        <w:rPr>
          <w:b w:val="0"/>
        </w:rPr>
        <w:t>Total full-length</w:t>
      </w:r>
      <w:r w:rsidR="000A13E4" w:rsidRPr="004E1FED">
        <w:rPr>
          <w:b w:val="0"/>
        </w:rPr>
        <w:t xml:space="preserve"> </w:t>
      </w:r>
      <w:r w:rsidRPr="004E1FED">
        <w:rPr>
          <w:b w:val="0"/>
        </w:rPr>
        <w:t>MET levels in tumor biops</w:t>
      </w:r>
      <w:r w:rsidR="000A13E4">
        <w:rPr>
          <w:b w:val="0"/>
        </w:rPr>
        <w:t>y specimen</w:t>
      </w:r>
      <w:r w:rsidRPr="004E1FED">
        <w:rPr>
          <w:b w:val="0"/>
        </w:rPr>
        <w:t xml:space="preserve">s after single or multiple doses of </w:t>
      </w:r>
      <w:r w:rsidR="001D65E4" w:rsidRPr="004E1FED">
        <w:rPr>
          <w:b w:val="0"/>
        </w:rPr>
        <w:t xml:space="preserve">[A] </w:t>
      </w:r>
      <w:r w:rsidRPr="004E1FED">
        <w:rPr>
          <w:b w:val="0"/>
        </w:rPr>
        <w:t xml:space="preserve">XL880 </w:t>
      </w:r>
      <w:r w:rsidR="007573B2">
        <w:rPr>
          <w:b w:val="0"/>
          <w:color w:val="0D0D0D" w:themeColor="text1" w:themeTint="F2"/>
        </w:rPr>
        <w:t>(17</w:t>
      </w:r>
      <w:r w:rsidRPr="004E1FED">
        <w:rPr>
          <w:b w:val="0"/>
          <w:color w:val="0D0D0D" w:themeColor="text1" w:themeTint="F2"/>
        </w:rPr>
        <w:t xml:space="preserve"> mg/kg once daily)</w:t>
      </w:r>
      <w:r w:rsidRPr="004E1FED">
        <w:rPr>
          <w:b w:val="0"/>
        </w:rPr>
        <w:t xml:space="preserve">, </w:t>
      </w:r>
      <w:r w:rsidR="001D65E4" w:rsidRPr="004E1FED">
        <w:rPr>
          <w:b w:val="0"/>
        </w:rPr>
        <w:t xml:space="preserve">[B] </w:t>
      </w:r>
      <w:r w:rsidRPr="004E1FED">
        <w:rPr>
          <w:b w:val="0"/>
        </w:rPr>
        <w:t xml:space="preserve">XL184 </w:t>
      </w:r>
      <w:r w:rsidRPr="004E1FED">
        <w:rPr>
          <w:b w:val="0"/>
          <w:color w:val="0D0D0D" w:themeColor="text1" w:themeTint="F2"/>
        </w:rPr>
        <w:t>(44 mg/kg twice daily)</w:t>
      </w:r>
      <w:r w:rsidRPr="004E1FED">
        <w:rPr>
          <w:b w:val="0"/>
        </w:rPr>
        <w:t>, and</w:t>
      </w:r>
      <w:r w:rsidR="001D65E4" w:rsidRPr="004E1FED">
        <w:rPr>
          <w:b w:val="0"/>
        </w:rPr>
        <w:t xml:space="preserve"> [C]</w:t>
      </w:r>
      <w:r w:rsidRPr="004E1FED">
        <w:rPr>
          <w:b w:val="0"/>
        </w:rPr>
        <w:t xml:space="preserve"> EMD1214063 </w:t>
      </w:r>
      <w:r w:rsidR="007573B2">
        <w:rPr>
          <w:b w:val="0"/>
          <w:color w:val="0D0D0D" w:themeColor="text1" w:themeTint="F2"/>
        </w:rPr>
        <w:t>(1</w:t>
      </w:r>
      <w:r w:rsidR="00AB1ED5">
        <w:rPr>
          <w:b w:val="0"/>
          <w:color w:val="0D0D0D" w:themeColor="text1" w:themeTint="F2"/>
        </w:rPr>
        <w:t>2.5</w:t>
      </w:r>
      <w:r w:rsidRPr="004E1FED">
        <w:rPr>
          <w:b w:val="0"/>
          <w:color w:val="0D0D0D" w:themeColor="text1" w:themeTint="F2"/>
        </w:rPr>
        <w:t xml:space="preserve"> mg/kg twice daily)</w:t>
      </w:r>
      <w:r w:rsidRPr="004E1FED">
        <w:rPr>
          <w:b w:val="0"/>
        </w:rPr>
        <w:t xml:space="preserve"> (</w:t>
      </w:r>
      <w:r w:rsidRPr="004E1FED">
        <w:rPr>
          <w:b w:val="0"/>
          <w:i/>
        </w:rPr>
        <w:t>n</w:t>
      </w:r>
      <w:r w:rsidR="006B5CB9" w:rsidRPr="004E1FED">
        <w:rPr>
          <w:b w:val="0"/>
        </w:rPr>
        <w:t xml:space="preserve"> </w:t>
      </w:r>
      <w:r w:rsidRPr="004E1FED">
        <w:rPr>
          <w:b w:val="0"/>
        </w:rPr>
        <w:t>=</w:t>
      </w:r>
      <w:r w:rsidR="006B5CB9" w:rsidRPr="004E1FED">
        <w:rPr>
          <w:b w:val="0"/>
        </w:rPr>
        <w:t xml:space="preserve"> </w:t>
      </w:r>
      <w:r w:rsidRPr="004E1FED">
        <w:rPr>
          <w:b w:val="0"/>
        </w:rPr>
        <w:t>6), or matched vehicle (</w:t>
      </w:r>
      <w:r w:rsidRPr="004E1FED">
        <w:rPr>
          <w:b w:val="0"/>
          <w:i/>
        </w:rPr>
        <w:t>n</w:t>
      </w:r>
      <w:r w:rsidR="006B5CB9" w:rsidRPr="004E1FED">
        <w:rPr>
          <w:b w:val="0"/>
          <w:i/>
        </w:rPr>
        <w:t> </w:t>
      </w:r>
      <w:r w:rsidRPr="004E1FED">
        <w:rPr>
          <w:b w:val="0"/>
        </w:rPr>
        <w:t>=</w:t>
      </w:r>
      <w:r w:rsidR="006B5CB9" w:rsidRPr="004E1FED">
        <w:rPr>
          <w:b w:val="0"/>
        </w:rPr>
        <w:t> </w:t>
      </w:r>
      <w:r w:rsidRPr="004E1FED">
        <w:rPr>
          <w:b w:val="0"/>
        </w:rPr>
        <w:t xml:space="preserve">16-18).  </w:t>
      </w:r>
      <w:r w:rsidR="00FD2000" w:rsidRPr="004E1FED">
        <w:rPr>
          <w:b w:val="0"/>
        </w:rPr>
        <w:t xml:space="preserve">Mean levels of </w:t>
      </w:r>
      <w:r w:rsidR="003B1F0C" w:rsidRPr="004E1FED">
        <w:rPr>
          <w:b w:val="0"/>
        </w:rPr>
        <w:t xml:space="preserve">total </w:t>
      </w:r>
      <w:r w:rsidR="00FD2000" w:rsidRPr="004E1FED">
        <w:rPr>
          <w:b w:val="0"/>
        </w:rPr>
        <w:t>full-length MET are shown at the indicated time points</w:t>
      </w:r>
      <w:r w:rsidRPr="004E1FED">
        <w:rPr>
          <w:b w:val="0"/>
        </w:rPr>
        <w:t xml:space="preserve"> after dose 1 </w:t>
      </w:r>
      <w:r w:rsidR="00FD2000" w:rsidRPr="004E1FED">
        <w:rPr>
          <w:b w:val="0"/>
        </w:rPr>
        <w:t>on treatment day 1</w:t>
      </w:r>
      <w:r w:rsidR="00A674AE" w:rsidRPr="004E1FED">
        <w:rPr>
          <w:b w:val="0"/>
        </w:rPr>
        <w:t xml:space="preserve"> (grey)</w:t>
      </w:r>
      <w:r w:rsidRPr="004E1FED">
        <w:rPr>
          <w:b w:val="0"/>
        </w:rPr>
        <w:t xml:space="preserve"> and </w:t>
      </w:r>
      <w:r w:rsidR="00FD2000" w:rsidRPr="004E1FED">
        <w:rPr>
          <w:b w:val="0"/>
        </w:rPr>
        <w:t>either</w:t>
      </w:r>
      <w:r w:rsidRPr="004E1FED">
        <w:rPr>
          <w:b w:val="0"/>
        </w:rPr>
        <w:t xml:space="preserve"> dose 8 for XL880 or dose 1</w:t>
      </w:r>
      <w:r w:rsidR="00C95B49" w:rsidRPr="004E1FED">
        <w:rPr>
          <w:b w:val="0"/>
        </w:rPr>
        <w:t>5</w:t>
      </w:r>
      <w:r w:rsidRPr="004E1FED">
        <w:rPr>
          <w:b w:val="0"/>
        </w:rPr>
        <w:t xml:space="preserve"> fo</w:t>
      </w:r>
      <w:r w:rsidR="00FD2000" w:rsidRPr="004E1FED">
        <w:rPr>
          <w:b w:val="0"/>
        </w:rPr>
        <w:t>r XL184 and EMD1214063 on treatment day 8</w:t>
      </w:r>
      <w:r w:rsidR="00A674AE" w:rsidRPr="004E1FED">
        <w:rPr>
          <w:b w:val="0"/>
        </w:rPr>
        <w:t xml:space="preserve"> (red)</w:t>
      </w:r>
      <w:r w:rsidRPr="004E1FED">
        <w:rPr>
          <w:b w:val="0"/>
        </w:rPr>
        <w:t>.</w:t>
      </w:r>
    </w:p>
    <w:p w14:paraId="725906CC" w14:textId="0BFDDBB9" w:rsidR="00F15F33" w:rsidRPr="00B704FF" w:rsidRDefault="00F15F33" w:rsidP="00F15F33">
      <w:pPr>
        <w:rPr>
          <w:rFonts w:eastAsiaTheme="majorEastAsia" w:cstheme="majorBidi"/>
          <w:szCs w:val="32"/>
        </w:rPr>
      </w:pPr>
      <w:r>
        <w:rPr>
          <w:b/>
        </w:rPr>
        <w:br w:type="page"/>
      </w:r>
    </w:p>
    <w:p w14:paraId="466D39DC" w14:textId="77777777" w:rsidR="00C573D8" w:rsidRPr="00B704FF" w:rsidRDefault="00C573D8" w:rsidP="00B704FF">
      <w:pPr>
        <w:spacing w:before="40" w:after="0"/>
        <w:jc w:val="center"/>
        <w:rPr>
          <w:b/>
          <w:bCs/>
          <w:sz w:val="12"/>
          <w:szCs w:val="12"/>
        </w:rPr>
      </w:pPr>
    </w:p>
    <w:p w14:paraId="5C66C46E" w14:textId="65CE6FBF" w:rsidR="00F15F33" w:rsidRDefault="00634D98" w:rsidP="00B704FF">
      <w:pPr>
        <w:spacing w:before="40"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AE4AF3" wp14:editId="7B24F4FC">
            <wp:extent cx="3985842" cy="218873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4" b="3813"/>
                    <a:stretch/>
                  </pic:blipFill>
                  <pic:spPr bwMode="auto">
                    <a:xfrm>
                      <a:off x="0" y="0"/>
                      <a:ext cx="3986784" cy="218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E0594" w14:textId="6C8C45AB" w:rsidR="00F15F33" w:rsidRDefault="00F15F33" w:rsidP="00B704FF">
      <w:pPr>
        <w:pStyle w:val="Heading1"/>
        <w:spacing w:before="80" w:after="80"/>
        <w:rPr>
          <w:b w:val="0"/>
        </w:rPr>
      </w:pPr>
      <w:r w:rsidRPr="00904642">
        <w:t>Supplementary Figure S</w:t>
      </w:r>
      <w:r w:rsidR="00E34FF5">
        <w:t>6.</w:t>
      </w:r>
      <w:r w:rsidRPr="00904642">
        <w:t xml:space="preserve"> </w:t>
      </w:r>
      <w:r w:rsidRPr="00B704FF">
        <w:rPr>
          <w:b w:val="0"/>
        </w:rPr>
        <w:t xml:space="preserve"> </w:t>
      </w:r>
      <w:r w:rsidR="00F256A7">
        <w:rPr>
          <w:b w:val="0"/>
        </w:rPr>
        <w:t xml:space="preserve">Total daily </w:t>
      </w:r>
      <w:r w:rsidRPr="00B704FF">
        <w:rPr>
          <w:b w:val="0"/>
        </w:rPr>
        <w:t xml:space="preserve">doses </w:t>
      </w:r>
      <w:r w:rsidR="00AE7FC0">
        <w:rPr>
          <w:b w:val="0"/>
        </w:rPr>
        <w:t>of</w:t>
      </w:r>
      <w:r w:rsidRPr="00B704FF">
        <w:rPr>
          <w:b w:val="0"/>
        </w:rPr>
        <w:t xml:space="preserve"> XL880, XL184, and EMD1214063</w:t>
      </w:r>
      <w:r w:rsidR="00AE7FC0">
        <w:rPr>
          <w:b w:val="0"/>
        </w:rPr>
        <w:t xml:space="preserve"> in</w:t>
      </w:r>
      <w:r w:rsidR="00814D42">
        <w:rPr>
          <w:b w:val="0"/>
        </w:rPr>
        <w:t xml:space="preserve"> </w:t>
      </w:r>
      <w:r w:rsidR="00814D42" w:rsidRPr="00814D42">
        <w:rPr>
          <w:b w:val="0"/>
        </w:rPr>
        <w:t>PD-guided biologically effective dosage regimens (PD-BEDR</w:t>
      </w:r>
      <w:r w:rsidR="00AE7FC0">
        <w:rPr>
          <w:b w:val="0"/>
        </w:rPr>
        <w:t>s</w:t>
      </w:r>
      <w:r w:rsidR="00814D42" w:rsidRPr="00814D42">
        <w:rPr>
          <w:b w:val="0"/>
        </w:rPr>
        <w:t>)</w:t>
      </w:r>
      <w:r w:rsidR="005303A1">
        <w:rPr>
          <w:b w:val="0"/>
        </w:rPr>
        <w:t xml:space="preserve"> compared</w:t>
      </w:r>
      <w:r w:rsidR="00821CC1">
        <w:rPr>
          <w:b w:val="0"/>
        </w:rPr>
        <w:t xml:space="preserve"> to </w:t>
      </w:r>
      <w:r w:rsidR="00004246">
        <w:rPr>
          <w:b w:val="0"/>
        </w:rPr>
        <w:t>predicted</w:t>
      </w:r>
      <w:r w:rsidR="005B4DFD">
        <w:rPr>
          <w:b w:val="0"/>
        </w:rPr>
        <w:t xml:space="preserve"> MTDs</w:t>
      </w:r>
      <w:r w:rsidR="00004246">
        <w:rPr>
          <w:b w:val="0"/>
        </w:rPr>
        <w:t xml:space="preserve"> and empirical</w:t>
      </w:r>
      <w:r w:rsidR="005B4DFD">
        <w:rPr>
          <w:b w:val="0"/>
        </w:rPr>
        <w:t>ly determined</w:t>
      </w:r>
      <w:r w:rsidR="00814D42">
        <w:rPr>
          <w:b w:val="0"/>
        </w:rPr>
        <w:t xml:space="preserve"> tolerable doses</w:t>
      </w:r>
      <w:r w:rsidR="004514A5">
        <w:rPr>
          <w:b w:val="0"/>
        </w:rPr>
        <w:t xml:space="preserve"> in mice</w:t>
      </w:r>
      <w:r w:rsidR="00004246">
        <w:rPr>
          <w:b w:val="0"/>
        </w:rPr>
        <w:t xml:space="preserve">.  </w:t>
      </w:r>
      <w:r w:rsidR="00704F99">
        <w:rPr>
          <w:b w:val="0"/>
        </w:rPr>
        <w:t>The total daily dose c</w:t>
      </w:r>
      <w:r w:rsidR="00413C0B">
        <w:rPr>
          <w:b w:val="0"/>
        </w:rPr>
        <w:t>orresponding to</w:t>
      </w:r>
      <w:r w:rsidR="00704F99">
        <w:rPr>
          <w:b w:val="0"/>
        </w:rPr>
        <w:t xml:space="preserve"> the PD-BEDR for each agent in the SNU-5 model is shown (blue), along with </w:t>
      </w:r>
      <w:r w:rsidR="00926A80">
        <w:rPr>
          <w:b w:val="0"/>
        </w:rPr>
        <w:t>the mouse equivalent of the human MTD</w:t>
      </w:r>
      <w:r w:rsidR="00371BF2">
        <w:rPr>
          <w:b w:val="0"/>
        </w:rPr>
        <w:t xml:space="preserve"> (gray)</w:t>
      </w:r>
      <w:r w:rsidR="0082377A">
        <w:rPr>
          <w:b w:val="0"/>
        </w:rPr>
        <w:t xml:space="preserve">, </w:t>
      </w:r>
      <w:r w:rsidR="00926A80">
        <w:rPr>
          <w:b w:val="0"/>
        </w:rPr>
        <w:t>calculated</w:t>
      </w:r>
      <w:r w:rsidR="0082377A" w:rsidRPr="00B704FF">
        <w:rPr>
          <w:b w:val="0"/>
          <w:vertAlign w:val="superscript"/>
        </w:rPr>
        <w:t>a</w:t>
      </w:r>
      <w:r w:rsidR="007E3D51">
        <w:rPr>
          <w:b w:val="0"/>
        </w:rPr>
        <w:t xml:space="preserve"> using the clinical MTDs</w:t>
      </w:r>
      <w:r w:rsidR="00AE7FC0">
        <w:rPr>
          <w:b w:val="0"/>
        </w:rPr>
        <w:t xml:space="preserve"> for each agent</w:t>
      </w:r>
      <w:r w:rsidR="00886615" w:rsidRPr="00886615">
        <w:rPr>
          <w:b w:val="0"/>
          <w:vertAlign w:val="superscript"/>
        </w:rPr>
        <w:t>b,c,d</w:t>
      </w:r>
      <w:r w:rsidR="00926A80">
        <w:rPr>
          <w:b w:val="0"/>
        </w:rPr>
        <w:t>.</w:t>
      </w:r>
      <w:r w:rsidR="003C2D9D">
        <w:rPr>
          <w:b w:val="0"/>
        </w:rPr>
        <w:t xml:space="preserve"> </w:t>
      </w:r>
      <w:r w:rsidR="0084240F">
        <w:rPr>
          <w:b w:val="0"/>
        </w:rPr>
        <w:t xml:space="preserve"> In the case of EMD1214063, an MTD was not determined </w:t>
      </w:r>
      <w:r w:rsidR="004E406F">
        <w:rPr>
          <w:b w:val="0"/>
        </w:rPr>
        <w:t xml:space="preserve">in the phase </w:t>
      </w:r>
      <w:r w:rsidR="0089497C">
        <w:rPr>
          <w:b w:val="0"/>
        </w:rPr>
        <w:t>I</w:t>
      </w:r>
      <w:r w:rsidR="004E406F">
        <w:rPr>
          <w:b w:val="0"/>
        </w:rPr>
        <w:t xml:space="preserve"> study</w:t>
      </w:r>
      <w:r w:rsidR="00C52974">
        <w:rPr>
          <w:b w:val="0"/>
        </w:rPr>
        <w:t>;</w:t>
      </w:r>
      <w:r w:rsidR="004E406F">
        <w:rPr>
          <w:b w:val="0"/>
        </w:rPr>
        <w:t xml:space="preserve"> instead, the recommended phase II dose</w:t>
      </w:r>
      <w:r w:rsidR="004E406F" w:rsidRPr="00B704FF">
        <w:rPr>
          <w:b w:val="0"/>
          <w:vertAlign w:val="superscript"/>
        </w:rPr>
        <w:t>d</w:t>
      </w:r>
      <w:r w:rsidR="004E406F">
        <w:rPr>
          <w:b w:val="0"/>
        </w:rPr>
        <w:t xml:space="preserve"> was used for calculating the mouse equivalent of the human MTD.</w:t>
      </w:r>
      <w:r w:rsidR="00BD0CBC">
        <w:rPr>
          <w:b w:val="0"/>
        </w:rPr>
        <w:t xml:space="preserve">  Shown in yellow are </w:t>
      </w:r>
      <w:r w:rsidR="00937395">
        <w:rPr>
          <w:b w:val="0"/>
        </w:rPr>
        <w:t xml:space="preserve">the highest doses of each agent </w:t>
      </w:r>
      <w:r w:rsidR="0089497C">
        <w:rPr>
          <w:b w:val="0"/>
        </w:rPr>
        <w:t xml:space="preserve">shown to be tolerable </w:t>
      </w:r>
      <w:r w:rsidR="00937395">
        <w:rPr>
          <w:b w:val="0"/>
        </w:rPr>
        <w:t>in mouse</w:t>
      </w:r>
      <w:r w:rsidR="0013349D">
        <w:rPr>
          <w:b w:val="0"/>
        </w:rPr>
        <w:t xml:space="preserve"> xenograft</w:t>
      </w:r>
      <w:r w:rsidR="00937395">
        <w:rPr>
          <w:b w:val="0"/>
        </w:rPr>
        <w:t xml:space="preserve"> </w:t>
      </w:r>
      <w:r w:rsidR="0012010C" w:rsidRPr="0012010C">
        <w:rPr>
          <w:b w:val="0"/>
        </w:rPr>
        <w:t xml:space="preserve">multi-dose </w:t>
      </w:r>
      <w:r w:rsidR="00937395">
        <w:rPr>
          <w:b w:val="0"/>
        </w:rPr>
        <w:t>efficacy studies</w:t>
      </w:r>
      <w:r w:rsidR="00413C0B" w:rsidRPr="00B704FF">
        <w:rPr>
          <w:b w:val="0"/>
          <w:vertAlign w:val="superscript"/>
        </w:rPr>
        <w:t>e,f,g</w:t>
      </w:r>
      <w:r w:rsidR="00F94921">
        <w:rPr>
          <w:b w:val="0"/>
        </w:rPr>
        <w:t xml:space="preserve"> (note:</w:t>
      </w:r>
      <w:r w:rsidR="00937395">
        <w:rPr>
          <w:b w:val="0"/>
        </w:rPr>
        <w:t xml:space="preserve"> actual mouse MTDs were not determined</w:t>
      </w:r>
      <w:r w:rsidR="0089497C">
        <w:rPr>
          <w:b w:val="0"/>
        </w:rPr>
        <w:t xml:space="preserve"> in these studies</w:t>
      </w:r>
      <w:r w:rsidR="00937395">
        <w:rPr>
          <w:b w:val="0"/>
        </w:rPr>
        <w:t>).</w:t>
      </w:r>
    </w:p>
    <w:p w14:paraId="76B7B263" w14:textId="1A5186F8" w:rsidR="0082377A" w:rsidRDefault="0082377A" w:rsidP="00B704FF">
      <w:pPr>
        <w:spacing w:after="40"/>
        <w:ind w:left="720" w:hanging="720"/>
      </w:pPr>
      <w:r w:rsidRPr="00B704FF">
        <w:rPr>
          <w:vertAlign w:val="superscript"/>
        </w:rPr>
        <w:t xml:space="preserve">a </w:t>
      </w:r>
      <w:r w:rsidRPr="00211D71">
        <w:t>Nair AB, Jacob S. A simple practice guide for dose conversion between animals and human. Journal of Basic and Clinical Pharmacy 2016;7:27-31.</w:t>
      </w:r>
    </w:p>
    <w:p w14:paraId="405DF2C3" w14:textId="6BDD47CB" w:rsidR="00CC018A" w:rsidRPr="00CC018A" w:rsidRDefault="00CC018A" w:rsidP="00B704FF">
      <w:pPr>
        <w:spacing w:after="40"/>
        <w:ind w:left="720" w:hanging="720"/>
      </w:pPr>
      <w:r>
        <w:rPr>
          <w:vertAlign w:val="superscript"/>
        </w:rPr>
        <w:t>b</w:t>
      </w:r>
      <w:r w:rsidR="00211D71" w:rsidRPr="00211D71">
        <w:rPr>
          <w:vertAlign w:val="superscript"/>
        </w:rPr>
        <w:t xml:space="preserve"> </w:t>
      </w:r>
      <w:r w:rsidRPr="00CC018A">
        <w:t>Shapiro GI, McCallum S, Adams LM, Sherman L, Weller S, Swann S</w:t>
      </w:r>
      <w:r w:rsidRPr="00CC018A">
        <w:rPr>
          <w:i/>
        </w:rPr>
        <w:t>, et al.</w:t>
      </w:r>
      <w:r w:rsidRPr="00CC018A">
        <w:t xml:space="preserve"> A Phase 1 dose-escalation study of the safety and pharmacokinetics of once-daily oral foretinib, a multi-kinase inhibitor, in patients with solid tumors. Invest New Drugs 2013;</w:t>
      </w:r>
      <w:r w:rsidRPr="00CC018A">
        <w:rPr>
          <w:b/>
        </w:rPr>
        <w:t>31</w:t>
      </w:r>
      <w:r w:rsidRPr="00CC018A">
        <w:t>:742-50.</w:t>
      </w:r>
    </w:p>
    <w:p w14:paraId="6F370166" w14:textId="56B525E7" w:rsidR="00CC018A" w:rsidRDefault="00CC018A" w:rsidP="00B704FF">
      <w:pPr>
        <w:spacing w:after="40"/>
        <w:ind w:left="720" w:hanging="720"/>
      </w:pPr>
      <w:r>
        <w:rPr>
          <w:vertAlign w:val="superscript"/>
        </w:rPr>
        <w:t>c</w:t>
      </w:r>
      <w:r w:rsidRPr="00CC018A">
        <w:rPr>
          <w:vertAlign w:val="superscript"/>
        </w:rPr>
        <w:t xml:space="preserve"> </w:t>
      </w:r>
      <w:r w:rsidRPr="00CC018A">
        <w:t>Kurzrock R, Sherman SI, Ball DW, Forastiere AA, Cohen RB, Mehra R</w:t>
      </w:r>
      <w:r w:rsidRPr="00CC018A">
        <w:rPr>
          <w:i/>
        </w:rPr>
        <w:t>, et al.</w:t>
      </w:r>
      <w:r w:rsidRPr="00CC018A">
        <w:t xml:space="preserve"> Activity of XL184 (Cabozantinib), an oral tyrosine kinase inhibitor, in patients with medullary thyroid cancer. J Clin Oncol 2011;</w:t>
      </w:r>
      <w:r w:rsidRPr="00CC018A">
        <w:rPr>
          <w:b/>
        </w:rPr>
        <w:t>29</w:t>
      </w:r>
      <w:r w:rsidRPr="00CC018A">
        <w:t>:2660-6.</w:t>
      </w:r>
    </w:p>
    <w:p w14:paraId="7E7BF6D7" w14:textId="264FD99D" w:rsidR="009020E2" w:rsidRDefault="009020E2" w:rsidP="00B704FF">
      <w:pPr>
        <w:spacing w:after="40"/>
        <w:ind w:left="720" w:hanging="720"/>
      </w:pPr>
      <w:bookmarkStart w:id="4" w:name="_Hlk499730709"/>
      <w:r>
        <w:rPr>
          <w:vertAlign w:val="superscript"/>
        </w:rPr>
        <w:t>d</w:t>
      </w:r>
      <w:r w:rsidRPr="009020E2">
        <w:rPr>
          <w:vertAlign w:val="superscript"/>
        </w:rPr>
        <w:t xml:space="preserve"> </w:t>
      </w:r>
      <w:r w:rsidR="00530C21" w:rsidRPr="00530C21">
        <w:t>Fal</w:t>
      </w:r>
      <w:bookmarkEnd w:id="4"/>
      <w:r w:rsidR="00530C21" w:rsidRPr="00530C21">
        <w:t>chook GS, Kurzrock R, Amin HM, Fu S, Piha-Paul SA, Janku F, et al. Efficacy, safety, biomarkers, and phase II dose modeling in a phase I trial of the oral selective c-Met inhibitor tepotinib (MSC2156119J). J Clin Oncol 2015;</w:t>
      </w:r>
      <w:r w:rsidR="00530C21" w:rsidRPr="00B704FF">
        <w:rPr>
          <w:b/>
        </w:rPr>
        <w:t>33</w:t>
      </w:r>
      <w:r w:rsidR="00530C21">
        <w:t>:2591</w:t>
      </w:r>
      <w:r w:rsidR="00530C21" w:rsidRPr="00530C21">
        <w:t>.</w:t>
      </w:r>
    </w:p>
    <w:p w14:paraId="605C1368" w14:textId="766940DD" w:rsidR="00190DA0" w:rsidRDefault="00190DA0" w:rsidP="00B704FF">
      <w:pPr>
        <w:spacing w:after="40"/>
        <w:ind w:left="720" w:hanging="720"/>
      </w:pPr>
      <w:r>
        <w:rPr>
          <w:vertAlign w:val="superscript"/>
        </w:rPr>
        <w:t>e</w:t>
      </w:r>
      <w:r w:rsidRPr="00190DA0">
        <w:rPr>
          <w:vertAlign w:val="superscript"/>
        </w:rPr>
        <w:t xml:space="preserve"> </w:t>
      </w:r>
      <w:r w:rsidR="007B4FA6" w:rsidRPr="007B4FA6">
        <w:t>Qian F, Engst S, Yamaguchi K, Yu P, Won KA, Mock L</w:t>
      </w:r>
      <w:r w:rsidR="007B4FA6" w:rsidRPr="007B4FA6">
        <w:rPr>
          <w:i/>
        </w:rPr>
        <w:t>, et al.</w:t>
      </w:r>
      <w:r w:rsidR="007B4FA6" w:rsidRPr="007B4FA6">
        <w:t xml:space="preserve"> Inhibition of tumor cell growth, invasion, and metastasis by EXEL-2880 (XL880, GSK1363089), a novel inhibitor of HGF and VEGF receptor tyrosine kinases. Cancer Res 2009;</w:t>
      </w:r>
      <w:r w:rsidR="007B4FA6" w:rsidRPr="007B4FA6">
        <w:rPr>
          <w:b/>
        </w:rPr>
        <w:t>69</w:t>
      </w:r>
      <w:r w:rsidR="007B4FA6" w:rsidRPr="007B4FA6">
        <w:t>:8009-16.</w:t>
      </w:r>
    </w:p>
    <w:p w14:paraId="4EABDF61" w14:textId="277D150B" w:rsidR="00190DA0" w:rsidRDefault="00190DA0" w:rsidP="00B704FF">
      <w:pPr>
        <w:spacing w:after="40"/>
        <w:ind w:left="720" w:hanging="720"/>
      </w:pPr>
      <w:r>
        <w:rPr>
          <w:vertAlign w:val="superscript"/>
        </w:rPr>
        <w:t>f</w:t>
      </w:r>
      <w:r w:rsidRPr="00190DA0">
        <w:rPr>
          <w:vertAlign w:val="superscript"/>
        </w:rPr>
        <w:t xml:space="preserve"> </w:t>
      </w:r>
      <w:r w:rsidR="007B4FA6" w:rsidRPr="007B4FA6">
        <w:t>Yakes FM, Chen J, Tan J, Yamaguchi K, Shi Y, Yu P</w:t>
      </w:r>
      <w:r w:rsidR="007B4FA6" w:rsidRPr="007B4FA6">
        <w:rPr>
          <w:i/>
        </w:rPr>
        <w:t>, et al.</w:t>
      </w:r>
      <w:r w:rsidR="007B4FA6" w:rsidRPr="007B4FA6">
        <w:t xml:space="preserve"> Cabozantinib (XL184), a Novel MET and VEGFR2 Inhibitor, Simultaneously Suppresses Metastasis, Angiogenesis, and Tumor Growth. Mol Cancer Ther 2011;</w:t>
      </w:r>
      <w:r w:rsidR="007B4FA6" w:rsidRPr="007B4FA6">
        <w:rPr>
          <w:b/>
        </w:rPr>
        <w:t>10</w:t>
      </w:r>
      <w:r w:rsidR="007B4FA6" w:rsidRPr="007B4FA6">
        <w:t>:2298-308.</w:t>
      </w:r>
    </w:p>
    <w:p w14:paraId="76B096F3" w14:textId="5CDCED3F" w:rsidR="0082377A" w:rsidRPr="004E1FED" w:rsidRDefault="00190DA0" w:rsidP="00B704FF">
      <w:pPr>
        <w:spacing w:after="40"/>
        <w:ind w:left="720" w:hanging="720"/>
      </w:pPr>
      <w:r>
        <w:rPr>
          <w:vertAlign w:val="superscript"/>
        </w:rPr>
        <w:t>g</w:t>
      </w:r>
      <w:r w:rsidRPr="00190DA0">
        <w:rPr>
          <w:vertAlign w:val="superscript"/>
        </w:rPr>
        <w:t xml:space="preserve"> </w:t>
      </w:r>
      <w:r w:rsidR="007B4FA6" w:rsidRPr="00C573D8">
        <w:t>Bladt F, Faden B, Friese-Hamim M, Knuehl C, Wilm C, Fittschen C</w:t>
      </w:r>
      <w:r w:rsidR="007B4FA6" w:rsidRPr="00C573D8">
        <w:rPr>
          <w:i/>
        </w:rPr>
        <w:t>, et al.</w:t>
      </w:r>
      <w:r w:rsidR="007B4FA6" w:rsidRPr="00C573D8">
        <w:t xml:space="preserve"> EMD 1214063 and EMD 1204831 Constitute a New Class of Potent and Highly Selective c-Met Inhibitors. Clin Cancer Res 2013;</w:t>
      </w:r>
      <w:r w:rsidR="007B4FA6" w:rsidRPr="00C573D8">
        <w:rPr>
          <w:b/>
        </w:rPr>
        <w:t>19</w:t>
      </w:r>
      <w:r w:rsidR="007B4FA6" w:rsidRPr="00C573D8">
        <w:t>:2941-51.</w:t>
      </w:r>
    </w:p>
    <w:sectPr w:rsidR="0082377A" w:rsidRPr="004E1FED" w:rsidSect="00AE236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E3879" w14:textId="77777777" w:rsidR="009F3C1F" w:rsidRDefault="009F3C1F" w:rsidP="00AE249D">
      <w:pPr>
        <w:spacing w:after="0" w:line="240" w:lineRule="auto"/>
      </w:pPr>
      <w:r>
        <w:separator/>
      </w:r>
    </w:p>
  </w:endnote>
  <w:endnote w:type="continuationSeparator" w:id="0">
    <w:p w14:paraId="6952A1A7" w14:textId="77777777" w:rsidR="009F3C1F" w:rsidRDefault="009F3C1F" w:rsidP="00AE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833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AD8BE" w14:textId="3B040920" w:rsidR="009F3C1F" w:rsidRDefault="009F3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39AA59" w14:textId="77777777" w:rsidR="009F3C1F" w:rsidRDefault="009F3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DA580" w14:textId="77777777" w:rsidR="009F3C1F" w:rsidRDefault="009F3C1F" w:rsidP="00AE249D">
      <w:pPr>
        <w:spacing w:after="0" w:line="240" w:lineRule="auto"/>
      </w:pPr>
      <w:r>
        <w:separator/>
      </w:r>
    </w:p>
  </w:footnote>
  <w:footnote w:type="continuationSeparator" w:id="0">
    <w:p w14:paraId="6319F950" w14:textId="77777777" w:rsidR="009F3C1F" w:rsidRDefault="009F3C1F" w:rsidP="00AE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5D89" w14:textId="77777777" w:rsidR="009F3C1F" w:rsidRDefault="009F3C1F" w:rsidP="001C57E8">
    <w:pPr>
      <w:pStyle w:val="Header"/>
      <w:tabs>
        <w:tab w:val="clear" w:pos="4680"/>
        <w:tab w:val="clear" w:pos="9360"/>
      </w:tabs>
      <w:spacing w:after="80"/>
      <w:rPr>
        <w:b/>
      </w:rPr>
    </w:pPr>
    <w:r w:rsidRPr="009D765F">
      <w:rPr>
        <w:b/>
      </w:rPr>
      <w:t>Molecular Pharmacodynamics-Guided Scheduling of Biologically Effective Doses: A Drug Development Paradigm Applied to MET Tyrosine Kinase Inhibitors</w:t>
    </w:r>
    <w:r>
      <w:rPr>
        <w:b/>
      </w:rPr>
      <w:t>.</w:t>
    </w:r>
  </w:p>
  <w:p w14:paraId="626933EF" w14:textId="756FC482" w:rsidR="009F3C1F" w:rsidRPr="005B152B" w:rsidRDefault="009F3C1F" w:rsidP="001C57E8">
    <w:pPr>
      <w:pStyle w:val="Header"/>
      <w:tabs>
        <w:tab w:val="clear" w:pos="4680"/>
        <w:tab w:val="clear" w:pos="9360"/>
      </w:tabs>
      <w:spacing w:after="80"/>
    </w:pPr>
    <w:r w:rsidRPr="005B152B">
      <w:t>A. K. Srivastava, M. G. Hollingshead, J. P. Govindharajulu, J. M. Covey, D. Liston, M. A. Simpson, J. O. Peggins, D. P. Bottaro, J. J. Wright, R. J. Kinders, J. H. Doroshow, R. E. Parchment</w:t>
    </w:r>
  </w:p>
  <w:p w14:paraId="5F342B5A" w14:textId="10A7306C" w:rsidR="009F3C1F" w:rsidRPr="005B152B" w:rsidRDefault="009F3C1F" w:rsidP="007E2F6C">
    <w:pPr>
      <w:pStyle w:val="Header"/>
      <w:tabs>
        <w:tab w:val="clear" w:pos="4680"/>
        <w:tab w:val="clear" w:pos="9360"/>
      </w:tabs>
      <w:rPr>
        <w:i/>
      </w:rPr>
    </w:pPr>
    <w:r>
      <w:rPr>
        <w:i/>
      </w:rPr>
      <w:t>Molecular Cancer</w:t>
    </w:r>
    <w:r w:rsidRPr="005B152B">
      <w:rPr>
        <w:i/>
      </w:rPr>
      <w:t xml:space="preserve"> Therapeutics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abstractNum w:abstractNumId="0" w15:restartNumberingAfterBreak="0">
    <w:nsid w:val="2A7C0DE8"/>
    <w:multiLevelType w:val="hybridMultilevel"/>
    <w:tmpl w:val="9EF477B2"/>
    <w:lvl w:ilvl="0" w:tplc="99A6F878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0E3E0E"/>
    <w:multiLevelType w:val="hybridMultilevel"/>
    <w:tmpl w:val="7E9247CA"/>
    <w:lvl w:ilvl="0" w:tplc="30301A5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FE61DD3"/>
    <w:multiLevelType w:val="multilevel"/>
    <w:tmpl w:val="D92C03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712ED"/>
    <w:multiLevelType w:val="hybridMultilevel"/>
    <w:tmpl w:val="8906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36C3"/>
    <w:multiLevelType w:val="multilevel"/>
    <w:tmpl w:val="137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143AD"/>
    <w:multiLevelType w:val="hybridMultilevel"/>
    <w:tmpl w:val="678CE54A"/>
    <w:lvl w:ilvl="0" w:tplc="575602F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Discover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wfes2wf820awue2006v22fy2at9atw2x02v&quot;&gt;MET_Srivastava&lt;record-ids&gt;&lt;item&gt;43&lt;/item&gt;&lt;item&gt;92&lt;/item&gt;&lt;item&gt;94&lt;/item&gt;&lt;/record-ids&gt;&lt;/item&gt;&lt;/Libraries&gt;"/>
  </w:docVars>
  <w:rsids>
    <w:rsidRoot w:val="00D8041F"/>
    <w:rsid w:val="00001E45"/>
    <w:rsid w:val="00001FF0"/>
    <w:rsid w:val="00002118"/>
    <w:rsid w:val="000026B3"/>
    <w:rsid w:val="00002B29"/>
    <w:rsid w:val="00002D90"/>
    <w:rsid w:val="00003AC7"/>
    <w:rsid w:val="00004246"/>
    <w:rsid w:val="00005EB3"/>
    <w:rsid w:val="00006EDB"/>
    <w:rsid w:val="00007D30"/>
    <w:rsid w:val="00007F6F"/>
    <w:rsid w:val="00007F82"/>
    <w:rsid w:val="00010B93"/>
    <w:rsid w:val="00011406"/>
    <w:rsid w:val="00011549"/>
    <w:rsid w:val="00012411"/>
    <w:rsid w:val="0001378D"/>
    <w:rsid w:val="00015813"/>
    <w:rsid w:val="000162E2"/>
    <w:rsid w:val="000168E8"/>
    <w:rsid w:val="0001702A"/>
    <w:rsid w:val="000208EE"/>
    <w:rsid w:val="000224EC"/>
    <w:rsid w:val="000225DA"/>
    <w:rsid w:val="00023339"/>
    <w:rsid w:val="00025AB4"/>
    <w:rsid w:val="00027D37"/>
    <w:rsid w:val="00030965"/>
    <w:rsid w:val="000309AE"/>
    <w:rsid w:val="00030C33"/>
    <w:rsid w:val="00030F7C"/>
    <w:rsid w:val="0003287B"/>
    <w:rsid w:val="00032DB8"/>
    <w:rsid w:val="00032F4C"/>
    <w:rsid w:val="0003408D"/>
    <w:rsid w:val="00034D6B"/>
    <w:rsid w:val="00034ECC"/>
    <w:rsid w:val="00034FD9"/>
    <w:rsid w:val="000365C9"/>
    <w:rsid w:val="0003667D"/>
    <w:rsid w:val="00036974"/>
    <w:rsid w:val="0004504B"/>
    <w:rsid w:val="0004641F"/>
    <w:rsid w:val="00047A60"/>
    <w:rsid w:val="00047FAF"/>
    <w:rsid w:val="00050058"/>
    <w:rsid w:val="00051885"/>
    <w:rsid w:val="00051D88"/>
    <w:rsid w:val="0005443D"/>
    <w:rsid w:val="0005492C"/>
    <w:rsid w:val="00054A78"/>
    <w:rsid w:val="00054D8C"/>
    <w:rsid w:val="00057F12"/>
    <w:rsid w:val="00060270"/>
    <w:rsid w:val="00060419"/>
    <w:rsid w:val="00062924"/>
    <w:rsid w:val="00062CD9"/>
    <w:rsid w:val="00063027"/>
    <w:rsid w:val="000637EC"/>
    <w:rsid w:val="00063FDB"/>
    <w:rsid w:val="00064EFB"/>
    <w:rsid w:val="00065E87"/>
    <w:rsid w:val="00067698"/>
    <w:rsid w:val="00070508"/>
    <w:rsid w:val="00070CCD"/>
    <w:rsid w:val="00071180"/>
    <w:rsid w:val="000731CB"/>
    <w:rsid w:val="00073EE7"/>
    <w:rsid w:val="0007466D"/>
    <w:rsid w:val="00074EAB"/>
    <w:rsid w:val="00075BDF"/>
    <w:rsid w:val="00075DEB"/>
    <w:rsid w:val="00076417"/>
    <w:rsid w:val="0007657A"/>
    <w:rsid w:val="000816A3"/>
    <w:rsid w:val="000818E6"/>
    <w:rsid w:val="00082C67"/>
    <w:rsid w:val="00084D5D"/>
    <w:rsid w:val="00085DA3"/>
    <w:rsid w:val="00086EF5"/>
    <w:rsid w:val="000919B5"/>
    <w:rsid w:val="000924A7"/>
    <w:rsid w:val="00092B2F"/>
    <w:rsid w:val="00092B6C"/>
    <w:rsid w:val="00093157"/>
    <w:rsid w:val="00094425"/>
    <w:rsid w:val="00094583"/>
    <w:rsid w:val="000958E0"/>
    <w:rsid w:val="000964AA"/>
    <w:rsid w:val="0009671F"/>
    <w:rsid w:val="000A0CD3"/>
    <w:rsid w:val="000A13E4"/>
    <w:rsid w:val="000A3314"/>
    <w:rsid w:val="000A53C3"/>
    <w:rsid w:val="000A5E27"/>
    <w:rsid w:val="000A64EF"/>
    <w:rsid w:val="000A6E65"/>
    <w:rsid w:val="000A7C4B"/>
    <w:rsid w:val="000B0A04"/>
    <w:rsid w:val="000B1337"/>
    <w:rsid w:val="000B1627"/>
    <w:rsid w:val="000B30C2"/>
    <w:rsid w:val="000B44A2"/>
    <w:rsid w:val="000B4CAB"/>
    <w:rsid w:val="000B4CF0"/>
    <w:rsid w:val="000B528C"/>
    <w:rsid w:val="000B5CB1"/>
    <w:rsid w:val="000B6283"/>
    <w:rsid w:val="000B669F"/>
    <w:rsid w:val="000B7195"/>
    <w:rsid w:val="000B7719"/>
    <w:rsid w:val="000C057C"/>
    <w:rsid w:val="000C0EE2"/>
    <w:rsid w:val="000C1605"/>
    <w:rsid w:val="000C1852"/>
    <w:rsid w:val="000C265B"/>
    <w:rsid w:val="000C311F"/>
    <w:rsid w:val="000C451D"/>
    <w:rsid w:val="000C5719"/>
    <w:rsid w:val="000C64E1"/>
    <w:rsid w:val="000C7308"/>
    <w:rsid w:val="000C7F46"/>
    <w:rsid w:val="000D01BF"/>
    <w:rsid w:val="000D1366"/>
    <w:rsid w:val="000D21A2"/>
    <w:rsid w:val="000D2FD3"/>
    <w:rsid w:val="000D614E"/>
    <w:rsid w:val="000D656D"/>
    <w:rsid w:val="000D7CA6"/>
    <w:rsid w:val="000D7D36"/>
    <w:rsid w:val="000E11B6"/>
    <w:rsid w:val="000E39A8"/>
    <w:rsid w:val="000E3AB0"/>
    <w:rsid w:val="000E3B4A"/>
    <w:rsid w:val="000E5237"/>
    <w:rsid w:val="000E5360"/>
    <w:rsid w:val="000F02E6"/>
    <w:rsid w:val="000F06BB"/>
    <w:rsid w:val="000F1631"/>
    <w:rsid w:val="000F2AE0"/>
    <w:rsid w:val="000F5588"/>
    <w:rsid w:val="000F5999"/>
    <w:rsid w:val="000F5F95"/>
    <w:rsid w:val="00101156"/>
    <w:rsid w:val="00101169"/>
    <w:rsid w:val="00101D34"/>
    <w:rsid w:val="00102935"/>
    <w:rsid w:val="00102D30"/>
    <w:rsid w:val="00103C5E"/>
    <w:rsid w:val="00103CE1"/>
    <w:rsid w:val="00103F2F"/>
    <w:rsid w:val="00104E5F"/>
    <w:rsid w:val="00105BA9"/>
    <w:rsid w:val="0011022B"/>
    <w:rsid w:val="00110E56"/>
    <w:rsid w:val="00111E84"/>
    <w:rsid w:val="00112450"/>
    <w:rsid w:val="00115C53"/>
    <w:rsid w:val="001174BE"/>
    <w:rsid w:val="0012010C"/>
    <w:rsid w:val="0012050A"/>
    <w:rsid w:val="001215E0"/>
    <w:rsid w:val="001216F7"/>
    <w:rsid w:val="0012206A"/>
    <w:rsid w:val="00122255"/>
    <w:rsid w:val="0012332B"/>
    <w:rsid w:val="00123579"/>
    <w:rsid w:val="001258ED"/>
    <w:rsid w:val="001263C1"/>
    <w:rsid w:val="00126F88"/>
    <w:rsid w:val="00127D2C"/>
    <w:rsid w:val="001328EB"/>
    <w:rsid w:val="0013349D"/>
    <w:rsid w:val="00135959"/>
    <w:rsid w:val="00141833"/>
    <w:rsid w:val="001420F7"/>
    <w:rsid w:val="001426F7"/>
    <w:rsid w:val="00145786"/>
    <w:rsid w:val="00145E05"/>
    <w:rsid w:val="00151D8F"/>
    <w:rsid w:val="00153489"/>
    <w:rsid w:val="00154643"/>
    <w:rsid w:val="00155202"/>
    <w:rsid w:val="001568B5"/>
    <w:rsid w:val="001647F3"/>
    <w:rsid w:val="0016526E"/>
    <w:rsid w:val="001667AA"/>
    <w:rsid w:val="001668F5"/>
    <w:rsid w:val="001738FB"/>
    <w:rsid w:val="001743FB"/>
    <w:rsid w:val="001747FB"/>
    <w:rsid w:val="00175CB9"/>
    <w:rsid w:val="00175EA9"/>
    <w:rsid w:val="00177B4A"/>
    <w:rsid w:val="00177D2A"/>
    <w:rsid w:val="001802B5"/>
    <w:rsid w:val="001803A5"/>
    <w:rsid w:val="00180DD2"/>
    <w:rsid w:val="00181681"/>
    <w:rsid w:val="0018188E"/>
    <w:rsid w:val="001826B5"/>
    <w:rsid w:val="001827E1"/>
    <w:rsid w:val="001828F1"/>
    <w:rsid w:val="00182CFE"/>
    <w:rsid w:val="00183BB7"/>
    <w:rsid w:val="0018400F"/>
    <w:rsid w:val="00185810"/>
    <w:rsid w:val="00185DCC"/>
    <w:rsid w:val="00186605"/>
    <w:rsid w:val="001872DC"/>
    <w:rsid w:val="00190DA0"/>
    <w:rsid w:val="00193A9F"/>
    <w:rsid w:val="00193FB1"/>
    <w:rsid w:val="00195202"/>
    <w:rsid w:val="0019630E"/>
    <w:rsid w:val="001963DF"/>
    <w:rsid w:val="001A0AE5"/>
    <w:rsid w:val="001A2BDA"/>
    <w:rsid w:val="001A3EFA"/>
    <w:rsid w:val="001A4DF2"/>
    <w:rsid w:val="001A5A9F"/>
    <w:rsid w:val="001A5D30"/>
    <w:rsid w:val="001A5D61"/>
    <w:rsid w:val="001A6EE2"/>
    <w:rsid w:val="001A7963"/>
    <w:rsid w:val="001A7FC1"/>
    <w:rsid w:val="001B0FF0"/>
    <w:rsid w:val="001B20BE"/>
    <w:rsid w:val="001B33CB"/>
    <w:rsid w:val="001B3A53"/>
    <w:rsid w:val="001B3EFD"/>
    <w:rsid w:val="001B42CD"/>
    <w:rsid w:val="001B5DE8"/>
    <w:rsid w:val="001B60C3"/>
    <w:rsid w:val="001B7F9C"/>
    <w:rsid w:val="001C05B9"/>
    <w:rsid w:val="001C1418"/>
    <w:rsid w:val="001C1C66"/>
    <w:rsid w:val="001C4ED8"/>
    <w:rsid w:val="001C5288"/>
    <w:rsid w:val="001C54A0"/>
    <w:rsid w:val="001C57E8"/>
    <w:rsid w:val="001C6328"/>
    <w:rsid w:val="001C6471"/>
    <w:rsid w:val="001C6BAE"/>
    <w:rsid w:val="001C6E59"/>
    <w:rsid w:val="001D17FB"/>
    <w:rsid w:val="001D1EE1"/>
    <w:rsid w:val="001D3075"/>
    <w:rsid w:val="001D65E4"/>
    <w:rsid w:val="001D6607"/>
    <w:rsid w:val="001E01F0"/>
    <w:rsid w:val="001E0838"/>
    <w:rsid w:val="001E2176"/>
    <w:rsid w:val="001E23C9"/>
    <w:rsid w:val="001E26B9"/>
    <w:rsid w:val="001E28A0"/>
    <w:rsid w:val="001E43F3"/>
    <w:rsid w:val="001E4731"/>
    <w:rsid w:val="001E5821"/>
    <w:rsid w:val="001F1F17"/>
    <w:rsid w:val="001F2478"/>
    <w:rsid w:val="001F2789"/>
    <w:rsid w:val="001F3447"/>
    <w:rsid w:val="001F4331"/>
    <w:rsid w:val="001F55DF"/>
    <w:rsid w:val="001F66AA"/>
    <w:rsid w:val="001F711E"/>
    <w:rsid w:val="00202A53"/>
    <w:rsid w:val="00202B9D"/>
    <w:rsid w:val="00202CFE"/>
    <w:rsid w:val="00202FFE"/>
    <w:rsid w:val="00203649"/>
    <w:rsid w:val="002039A1"/>
    <w:rsid w:val="00203BF4"/>
    <w:rsid w:val="0020732D"/>
    <w:rsid w:val="00210A95"/>
    <w:rsid w:val="00211AE3"/>
    <w:rsid w:val="00211D71"/>
    <w:rsid w:val="0021249E"/>
    <w:rsid w:val="00212E65"/>
    <w:rsid w:val="002141F1"/>
    <w:rsid w:val="00214462"/>
    <w:rsid w:val="00215C22"/>
    <w:rsid w:val="00215DDC"/>
    <w:rsid w:val="00216095"/>
    <w:rsid w:val="00220305"/>
    <w:rsid w:val="002203A3"/>
    <w:rsid w:val="002211B9"/>
    <w:rsid w:val="00222BDC"/>
    <w:rsid w:val="00223B42"/>
    <w:rsid w:val="00224AAF"/>
    <w:rsid w:val="00225E11"/>
    <w:rsid w:val="00226304"/>
    <w:rsid w:val="00226D96"/>
    <w:rsid w:val="00230AC1"/>
    <w:rsid w:val="00230C7D"/>
    <w:rsid w:val="00231FF4"/>
    <w:rsid w:val="00232832"/>
    <w:rsid w:val="0023321C"/>
    <w:rsid w:val="002334A0"/>
    <w:rsid w:val="00233CB7"/>
    <w:rsid w:val="002349A4"/>
    <w:rsid w:val="00237062"/>
    <w:rsid w:val="00241C11"/>
    <w:rsid w:val="0024201F"/>
    <w:rsid w:val="00243DD8"/>
    <w:rsid w:val="00244854"/>
    <w:rsid w:val="0024485B"/>
    <w:rsid w:val="0024588D"/>
    <w:rsid w:val="0024597B"/>
    <w:rsid w:val="00245A5C"/>
    <w:rsid w:val="00246A57"/>
    <w:rsid w:val="00247B81"/>
    <w:rsid w:val="00252009"/>
    <w:rsid w:val="00252B05"/>
    <w:rsid w:val="00254EAD"/>
    <w:rsid w:val="00255A4A"/>
    <w:rsid w:val="00256D01"/>
    <w:rsid w:val="00263A4A"/>
    <w:rsid w:val="002648B8"/>
    <w:rsid w:val="00265330"/>
    <w:rsid w:val="00266ACB"/>
    <w:rsid w:val="0026754F"/>
    <w:rsid w:val="00267D02"/>
    <w:rsid w:val="00267F7F"/>
    <w:rsid w:val="00267F89"/>
    <w:rsid w:val="00272E93"/>
    <w:rsid w:val="00275640"/>
    <w:rsid w:val="00275AE5"/>
    <w:rsid w:val="00275FA7"/>
    <w:rsid w:val="002778A6"/>
    <w:rsid w:val="00277E13"/>
    <w:rsid w:val="0028092B"/>
    <w:rsid w:val="00281D71"/>
    <w:rsid w:val="00284527"/>
    <w:rsid w:val="00284F89"/>
    <w:rsid w:val="00285520"/>
    <w:rsid w:val="00286437"/>
    <w:rsid w:val="00286496"/>
    <w:rsid w:val="00287C6D"/>
    <w:rsid w:val="00287C92"/>
    <w:rsid w:val="00287EE7"/>
    <w:rsid w:val="00291324"/>
    <w:rsid w:val="002916E9"/>
    <w:rsid w:val="00294D14"/>
    <w:rsid w:val="00295721"/>
    <w:rsid w:val="00295C9C"/>
    <w:rsid w:val="00296B86"/>
    <w:rsid w:val="00297329"/>
    <w:rsid w:val="002A016B"/>
    <w:rsid w:val="002A04CC"/>
    <w:rsid w:val="002A073C"/>
    <w:rsid w:val="002A07F2"/>
    <w:rsid w:val="002A418D"/>
    <w:rsid w:val="002A4460"/>
    <w:rsid w:val="002A57E4"/>
    <w:rsid w:val="002A580D"/>
    <w:rsid w:val="002A5ECB"/>
    <w:rsid w:val="002B025D"/>
    <w:rsid w:val="002B181B"/>
    <w:rsid w:val="002B1E31"/>
    <w:rsid w:val="002B2434"/>
    <w:rsid w:val="002B2F92"/>
    <w:rsid w:val="002B38DE"/>
    <w:rsid w:val="002B4B54"/>
    <w:rsid w:val="002B68F8"/>
    <w:rsid w:val="002C0AEF"/>
    <w:rsid w:val="002C2546"/>
    <w:rsid w:val="002C2A0B"/>
    <w:rsid w:val="002C306D"/>
    <w:rsid w:val="002C3E6A"/>
    <w:rsid w:val="002C43AF"/>
    <w:rsid w:val="002C484C"/>
    <w:rsid w:val="002C5095"/>
    <w:rsid w:val="002C77A6"/>
    <w:rsid w:val="002D0865"/>
    <w:rsid w:val="002D0F65"/>
    <w:rsid w:val="002D1759"/>
    <w:rsid w:val="002D29E5"/>
    <w:rsid w:val="002D3E1B"/>
    <w:rsid w:val="002D41D1"/>
    <w:rsid w:val="002D48DE"/>
    <w:rsid w:val="002D4FAC"/>
    <w:rsid w:val="002D5D4E"/>
    <w:rsid w:val="002D628B"/>
    <w:rsid w:val="002D78DB"/>
    <w:rsid w:val="002E10AA"/>
    <w:rsid w:val="002E12E4"/>
    <w:rsid w:val="002E2C6A"/>
    <w:rsid w:val="002E394D"/>
    <w:rsid w:val="002E395B"/>
    <w:rsid w:val="002E3A00"/>
    <w:rsid w:val="002E3AD5"/>
    <w:rsid w:val="002E3BA7"/>
    <w:rsid w:val="002E3FFA"/>
    <w:rsid w:val="002E446F"/>
    <w:rsid w:val="002E46EE"/>
    <w:rsid w:val="002E4F8A"/>
    <w:rsid w:val="002E65EC"/>
    <w:rsid w:val="002E6D48"/>
    <w:rsid w:val="002F0C9E"/>
    <w:rsid w:val="002F34BC"/>
    <w:rsid w:val="002F39CA"/>
    <w:rsid w:val="002F4B44"/>
    <w:rsid w:val="002F5446"/>
    <w:rsid w:val="002F63BE"/>
    <w:rsid w:val="002F6537"/>
    <w:rsid w:val="002F68FB"/>
    <w:rsid w:val="00302433"/>
    <w:rsid w:val="003025F6"/>
    <w:rsid w:val="00302733"/>
    <w:rsid w:val="00304C14"/>
    <w:rsid w:val="00304D44"/>
    <w:rsid w:val="00305F46"/>
    <w:rsid w:val="003068AA"/>
    <w:rsid w:val="0030793A"/>
    <w:rsid w:val="00307A59"/>
    <w:rsid w:val="003109C4"/>
    <w:rsid w:val="0031501E"/>
    <w:rsid w:val="00316A3F"/>
    <w:rsid w:val="00316C08"/>
    <w:rsid w:val="00320604"/>
    <w:rsid w:val="003208DF"/>
    <w:rsid w:val="00320996"/>
    <w:rsid w:val="003215FC"/>
    <w:rsid w:val="00321E93"/>
    <w:rsid w:val="00323553"/>
    <w:rsid w:val="00324833"/>
    <w:rsid w:val="0032668C"/>
    <w:rsid w:val="00326DF6"/>
    <w:rsid w:val="00327989"/>
    <w:rsid w:val="00331191"/>
    <w:rsid w:val="00335989"/>
    <w:rsid w:val="00335D2E"/>
    <w:rsid w:val="003372FD"/>
    <w:rsid w:val="00340C9A"/>
    <w:rsid w:val="00341244"/>
    <w:rsid w:val="0034276D"/>
    <w:rsid w:val="00343287"/>
    <w:rsid w:val="00343E49"/>
    <w:rsid w:val="00344200"/>
    <w:rsid w:val="00344F9C"/>
    <w:rsid w:val="00346B55"/>
    <w:rsid w:val="00346D4D"/>
    <w:rsid w:val="0035177D"/>
    <w:rsid w:val="00351857"/>
    <w:rsid w:val="00352081"/>
    <w:rsid w:val="00353942"/>
    <w:rsid w:val="003539CE"/>
    <w:rsid w:val="00355980"/>
    <w:rsid w:val="00356413"/>
    <w:rsid w:val="0035649A"/>
    <w:rsid w:val="00356690"/>
    <w:rsid w:val="00357ADE"/>
    <w:rsid w:val="00361F88"/>
    <w:rsid w:val="0036363E"/>
    <w:rsid w:val="003640CC"/>
    <w:rsid w:val="00365A18"/>
    <w:rsid w:val="00367348"/>
    <w:rsid w:val="00367EB1"/>
    <w:rsid w:val="003709DC"/>
    <w:rsid w:val="0037139D"/>
    <w:rsid w:val="00371BF2"/>
    <w:rsid w:val="00372FD8"/>
    <w:rsid w:val="0037328F"/>
    <w:rsid w:val="00374BF2"/>
    <w:rsid w:val="0037511E"/>
    <w:rsid w:val="00375AA5"/>
    <w:rsid w:val="00382DCA"/>
    <w:rsid w:val="0038401D"/>
    <w:rsid w:val="00384E8F"/>
    <w:rsid w:val="00385B72"/>
    <w:rsid w:val="00386048"/>
    <w:rsid w:val="00386CD6"/>
    <w:rsid w:val="00390E77"/>
    <w:rsid w:val="00391687"/>
    <w:rsid w:val="00391D21"/>
    <w:rsid w:val="00391E7A"/>
    <w:rsid w:val="00393529"/>
    <w:rsid w:val="003942F5"/>
    <w:rsid w:val="00395658"/>
    <w:rsid w:val="00395808"/>
    <w:rsid w:val="00395ED1"/>
    <w:rsid w:val="00396253"/>
    <w:rsid w:val="003979FF"/>
    <w:rsid w:val="003A0889"/>
    <w:rsid w:val="003A1EA6"/>
    <w:rsid w:val="003A2778"/>
    <w:rsid w:val="003A2AC9"/>
    <w:rsid w:val="003A47A2"/>
    <w:rsid w:val="003A4C9A"/>
    <w:rsid w:val="003A5E89"/>
    <w:rsid w:val="003B06F1"/>
    <w:rsid w:val="003B18BE"/>
    <w:rsid w:val="003B1F0C"/>
    <w:rsid w:val="003B2076"/>
    <w:rsid w:val="003B2E5C"/>
    <w:rsid w:val="003B36CF"/>
    <w:rsid w:val="003B5541"/>
    <w:rsid w:val="003B6503"/>
    <w:rsid w:val="003B6E2B"/>
    <w:rsid w:val="003B6F12"/>
    <w:rsid w:val="003C1ABB"/>
    <w:rsid w:val="003C2886"/>
    <w:rsid w:val="003C2D9D"/>
    <w:rsid w:val="003C3D92"/>
    <w:rsid w:val="003C405C"/>
    <w:rsid w:val="003C4157"/>
    <w:rsid w:val="003C4AEB"/>
    <w:rsid w:val="003C4E3B"/>
    <w:rsid w:val="003C54DB"/>
    <w:rsid w:val="003C5DD7"/>
    <w:rsid w:val="003C6D29"/>
    <w:rsid w:val="003C72CE"/>
    <w:rsid w:val="003D118A"/>
    <w:rsid w:val="003D148B"/>
    <w:rsid w:val="003D1E10"/>
    <w:rsid w:val="003D2983"/>
    <w:rsid w:val="003D419D"/>
    <w:rsid w:val="003D5605"/>
    <w:rsid w:val="003D6F96"/>
    <w:rsid w:val="003D7F58"/>
    <w:rsid w:val="003E1510"/>
    <w:rsid w:val="003E1A14"/>
    <w:rsid w:val="003E1D45"/>
    <w:rsid w:val="003E56DA"/>
    <w:rsid w:val="003E7810"/>
    <w:rsid w:val="003F0607"/>
    <w:rsid w:val="003F1807"/>
    <w:rsid w:val="003F28BD"/>
    <w:rsid w:val="003F2C22"/>
    <w:rsid w:val="003F3DDD"/>
    <w:rsid w:val="003F40C1"/>
    <w:rsid w:val="003F5D3B"/>
    <w:rsid w:val="003F7649"/>
    <w:rsid w:val="00400B5C"/>
    <w:rsid w:val="0040130D"/>
    <w:rsid w:val="004017F1"/>
    <w:rsid w:val="0040440C"/>
    <w:rsid w:val="00405479"/>
    <w:rsid w:val="004058DA"/>
    <w:rsid w:val="0040646F"/>
    <w:rsid w:val="00406A1B"/>
    <w:rsid w:val="004074A4"/>
    <w:rsid w:val="004109D4"/>
    <w:rsid w:val="00411E08"/>
    <w:rsid w:val="00413C0B"/>
    <w:rsid w:val="00415A2D"/>
    <w:rsid w:val="00421B88"/>
    <w:rsid w:val="0042243B"/>
    <w:rsid w:val="0042567A"/>
    <w:rsid w:val="00425A33"/>
    <w:rsid w:val="00426898"/>
    <w:rsid w:val="00432027"/>
    <w:rsid w:val="004320C6"/>
    <w:rsid w:val="00432845"/>
    <w:rsid w:val="0043441A"/>
    <w:rsid w:val="00435C97"/>
    <w:rsid w:val="00435FC8"/>
    <w:rsid w:val="004369BC"/>
    <w:rsid w:val="00436A3C"/>
    <w:rsid w:val="00436BA3"/>
    <w:rsid w:val="00437175"/>
    <w:rsid w:val="004374A0"/>
    <w:rsid w:val="004403FF"/>
    <w:rsid w:val="004404A0"/>
    <w:rsid w:val="00442B4B"/>
    <w:rsid w:val="00443243"/>
    <w:rsid w:val="00443801"/>
    <w:rsid w:val="004439F1"/>
    <w:rsid w:val="0044502F"/>
    <w:rsid w:val="0044514B"/>
    <w:rsid w:val="00447433"/>
    <w:rsid w:val="00447C4E"/>
    <w:rsid w:val="00450684"/>
    <w:rsid w:val="00450DA3"/>
    <w:rsid w:val="00450FD3"/>
    <w:rsid w:val="004514A5"/>
    <w:rsid w:val="00452E50"/>
    <w:rsid w:val="0045331D"/>
    <w:rsid w:val="004541A0"/>
    <w:rsid w:val="004570AB"/>
    <w:rsid w:val="00460083"/>
    <w:rsid w:val="0046016C"/>
    <w:rsid w:val="0046281F"/>
    <w:rsid w:val="00463A97"/>
    <w:rsid w:val="00464EAF"/>
    <w:rsid w:val="00471575"/>
    <w:rsid w:val="00471787"/>
    <w:rsid w:val="004721C3"/>
    <w:rsid w:val="004752CD"/>
    <w:rsid w:val="0047584D"/>
    <w:rsid w:val="00475E5F"/>
    <w:rsid w:val="004809EC"/>
    <w:rsid w:val="00481A17"/>
    <w:rsid w:val="00481C4B"/>
    <w:rsid w:val="00482A07"/>
    <w:rsid w:val="00483F8C"/>
    <w:rsid w:val="00484A9A"/>
    <w:rsid w:val="0048534C"/>
    <w:rsid w:val="004868ED"/>
    <w:rsid w:val="00490BA6"/>
    <w:rsid w:val="00491170"/>
    <w:rsid w:val="0049191B"/>
    <w:rsid w:val="004920EE"/>
    <w:rsid w:val="004920FF"/>
    <w:rsid w:val="004959A4"/>
    <w:rsid w:val="004A29C4"/>
    <w:rsid w:val="004A34C7"/>
    <w:rsid w:val="004A4A4F"/>
    <w:rsid w:val="004A4F0E"/>
    <w:rsid w:val="004A556B"/>
    <w:rsid w:val="004A6111"/>
    <w:rsid w:val="004A6A8C"/>
    <w:rsid w:val="004A6E7C"/>
    <w:rsid w:val="004A6ED5"/>
    <w:rsid w:val="004B14A8"/>
    <w:rsid w:val="004B203F"/>
    <w:rsid w:val="004B20A7"/>
    <w:rsid w:val="004B3A32"/>
    <w:rsid w:val="004B3F0C"/>
    <w:rsid w:val="004B4FC3"/>
    <w:rsid w:val="004B678C"/>
    <w:rsid w:val="004B71CA"/>
    <w:rsid w:val="004C002A"/>
    <w:rsid w:val="004C1ED6"/>
    <w:rsid w:val="004C2536"/>
    <w:rsid w:val="004C2F2A"/>
    <w:rsid w:val="004C47B8"/>
    <w:rsid w:val="004C4826"/>
    <w:rsid w:val="004C52D6"/>
    <w:rsid w:val="004C5E86"/>
    <w:rsid w:val="004C6781"/>
    <w:rsid w:val="004C69AD"/>
    <w:rsid w:val="004C7C65"/>
    <w:rsid w:val="004C7DDE"/>
    <w:rsid w:val="004D0433"/>
    <w:rsid w:val="004D07F5"/>
    <w:rsid w:val="004D13EE"/>
    <w:rsid w:val="004D13F1"/>
    <w:rsid w:val="004D1FB6"/>
    <w:rsid w:val="004D34E6"/>
    <w:rsid w:val="004D4E99"/>
    <w:rsid w:val="004D5F94"/>
    <w:rsid w:val="004D6D24"/>
    <w:rsid w:val="004D7399"/>
    <w:rsid w:val="004D7F02"/>
    <w:rsid w:val="004E1FED"/>
    <w:rsid w:val="004E23C6"/>
    <w:rsid w:val="004E2562"/>
    <w:rsid w:val="004E406F"/>
    <w:rsid w:val="004E4671"/>
    <w:rsid w:val="004E4B49"/>
    <w:rsid w:val="004E615B"/>
    <w:rsid w:val="004E6871"/>
    <w:rsid w:val="004E6E52"/>
    <w:rsid w:val="004E746D"/>
    <w:rsid w:val="004F03F2"/>
    <w:rsid w:val="004F11F4"/>
    <w:rsid w:val="004F24E7"/>
    <w:rsid w:val="004F5A3C"/>
    <w:rsid w:val="004F7BC5"/>
    <w:rsid w:val="00500454"/>
    <w:rsid w:val="00501268"/>
    <w:rsid w:val="00501439"/>
    <w:rsid w:val="00503459"/>
    <w:rsid w:val="0050402A"/>
    <w:rsid w:val="005045F3"/>
    <w:rsid w:val="005052C2"/>
    <w:rsid w:val="005054AA"/>
    <w:rsid w:val="005076D0"/>
    <w:rsid w:val="00507C52"/>
    <w:rsid w:val="00511EEE"/>
    <w:rsid w:val="00512301"/>
    <w:rsid w:val="005131A3"/>
    <w:rsid w:val="005133F9"/>
    <w:rsid w:val="005155EA"/>
    <w:rsid w:val="00516AED"/>
    <w:rsid w:val="00516F02"/>
    <w:rsid w:val="005175DD"/>
    <w:rsid w:val="0052043A"/>
    <w:rsid w:val="00522F28"/>
    <w:rsid w:val="00524B0A"/>
    <w:rsid w:val="005257FD"/>
    <w:rsid w:val="005271B4"/>
    <w:rsid w:val="0052758C"/>
    <w:rsid w:val="00527E42"/>
    <w:rsid w:val="00530046"/>
    <w:rsid w:val="005303A1"/>
    <w:rsid w:val="00530C21"/>
    <w:rsid w:val="0053419B"/>
    <w:rsid w:val="00535496"/>
    <w:rsid w:val="00535853"/>
    <w:rsid w:val="00535E26"/>
    <w:rsid w:val="00536670"/>
    <w:rsid w:val="00536B12"/>
    <w:rsid w:val="0053724F"/>
    <w:rsid w:val="00537280"/>
    <w:rsid w:val="005375A1"/>
    <w:rsid w:val="00537A77"/>
    <w:rsid w:val="00543B13"/>
    <w:rsid w:val="005456BF"/>
    <w:rsid w:val="005529CD"/>
    <w:rsid w:val="00552F65"/>
    <w:rsid w:val="00553AAA"/>
    <w:rsid w:val="00556AE0"/>
    <w:rsid w:val="00556AFD"/>
    <w:rsid w:val="00556DD1"/>
    <w:rsid w:val="0055753C"/>
    <w:rsid w:val="0056099A"/>
    <w:rsid w:val="00563ACD"/>
    <w:rsid w:val="0056511B"/>
    <w:rsid w:val="00565C10"/>
    <w:rsid w:val="00567D4C"/>
    <w:rsid w:val="005720F7"/>
    <w:rsid w:val="005726E6"/>
    <w:rsid w:val="0057422C"/>
    <w:rsid w:val="0057464C"/>
    <w:rsid w:val="005755DF"/>
    <w:rsid w:val="00576F85"/>
    <w:rsid w:val="0057768F"/>
    <w:rsid w:val="00580278"/>
    <w:rsid w:val="00580A2F"/>
    <w:rsid w:val="00581006"/>
    <w:rsid w:val="0058258A"/>
    <w:rsid w:val="00583F5B"/>
    <w:rsid w:val="0058477A"/>
    <w:rsid w:val="00585819"/>
    <w:rsid w:val="00585863"/>
    <w:rsid w:val="00586115"/>
    <w:rsid w:val="00587855"/>
    <w:rsid w:val="00590A3F"/>
    <w:rsid w:val="00590EE6"/>
    <w:rsid w:val="00592614"/>
    <w:rsid w:val="00592AEC"/>
    <w:rsid w:val="0059447D"/>
    <w:rsid w:val="00594A88"/>
    <w:rsid w:val="005963F4"/>
    <w:rsid w:val="00597C3A"/>
    <w:rsid w:val="00597EDA"/>
    <w:rsid w:val="005A0621"/>
    <w:rsid w:val="005A0CFC"/>
    <w:rsid w:val="005A1A73"/>
    <w:rsid w:val="005A25DD"/>
    <w:rsid w:val="005A4FFD"/>
    <w:rsid w:val="005A60AC"/>
    <w:rsid w:val="005A704B"/>
    <w:rsid w:val="005B0327"/>
    <w:rsid w:val="005B05F8"/>
    <w:rsid w:val="005B152B"/>
    <w:rsid w:val="005B188B"/>
    <w:rsid w:val="005B2327"/>
    <w:rsid w:val="005B3D60"/>
    <w:rsid w:val="005B3F25"/>
    <w:rsid w:val="005B467A"/>
    <w:rsid w:val="005B46F8"/>
    <w:rsid w:val="005B48EE"/>
    <w:rsid w:val="005B4DFD"/>
    <w:rsid w:val="005B542A"/>
    <w:rsid w:val="005B54F9"/>
    <w:rsid w:val="005B5BD6"/>
    <w:rsid w:val="005B614B"/>
    <w:rsid w:val="005B6263"/>
    <w:rsid w:val="005C0734"/>
    <w:rsid w:val="005C0AED"/>
    <w:rsid w:val="005C168C"/>
    <w:rsid w:val="005C1939"/>
    <w:rsid w:val="005C227F"/>
    <w:rsid w:val="005C263F"/>
    <w:rsid w:val="005C3BAC"/>
    <w:rsid w:val="005C45C7"/>
    <w:rsid w:val="005C51C9"/>
    <w:rsid w:val="005D00FF"/>
    <w:rsid w:val="005D0DF6"/>
    <w:rsid w:val="005D146E"/>
    <w:rsid w:val="005D22A7"/>
    <w:rsid w:val="005D3680"/>
    <w:rsid w:val="005D445D"/>
    <w:rsid w:val="005D5302"/>
    <w:rsid w:val="005D53F4"/>
    <w:rsid w:val="005D6555"/>
    <w:rsid w:val="005D7958"/>
    <w:rsid w:val="005D7CBC"/>
    <w:rsid w:val="005E1D3A"/>
    <w:rsid w:val="005E282F"/>
    <w:rsid w:val="005E31E3"/>
    <w:rsid w:val="005E3FE7"/>
    <w:rsid w:val="005E42B1"/>
    <w:rsid w:val="005E4CFD"/>
    <w:rsid w:val="005E75BD"/>
    <w:rsid w:val="005E7DA5"/>
    <w:rsid w:val="005F0C40"/>
    <w:rsid w:val="005F1C3C"/>
    <w:rsid w:val="005F228C"/>
    <w:rsid w:val="005F375C"/>
    <w:rsid w:val="005F3DF1"/>
    <w:rsid w:val="005F466A"/>
    <w:rsid w:val="005F4A3B"/>
    <w:rsid w:val="005F5DCA"/>
    <w:rsid w:val="005F688D"/>
    <w:rsid w:val="005F6E60"/>
    <w:rsid w:val="005F72CE"/>
    <w:rsid w:val="005F7E4F"/>
    <w:rsid w:val="00600069"/>
    <w:rsid w:val="00600F78"/>
    <w:rsid w:val="006018A4"/>
    <w:rsid w:val="00601BE3"/>
    <w:rsid w:val="006035F7"/>
    <w:rsid w:val="006039EE"/>
    <w:rsid w:val="0060484D"/>
    <w:rsid w:val="00604BEA"/>
    <w:rsid w:val="006055BB"/>
    <w:rsid w:val="00605E4A"/>
    <w:rsid w:val="006065F5"/>
    <w:rsid w:val="00606A13"/>
    <w:rsid w:val="00606A60"/>
    <w:rsid w:val="00607A20"/>
    <w:rsid w:val="006106DE"/>
    <w:rsid w:val="00611A16"/>
    <w:rsid w:val="00612A17"/>
    <w:rsid w:val="006130C6"/>
    <w:rsid w:val="00613A8A"/>
    <w:rsid w:val="00614AEE"/>
    <w:rsid w:val="00614C59"/>
    <w:rsid w:val="006179F4"/>
    <w:rsid w:val="00620FED"/>
    <w:rsid w:val="00622404"/>
    <w:rsid w:val="006228A6"/>
    <w:rsid w:val="00622BBC"/>
    <w:rsid w:val="006240FB"/>
    <w:rsid w:val="006243E1"/>
    <w:rsid w:val="006254A8"/>
    <w:rsid w:val="00626FEF"/>
    <w:rsid w:val="00630478"/>
    <w:rsid w:val="00630FF7"/>
    <w:rsid w:val="00631E90"/>
    <w:rsid w:val="006331B9"/>
    <w:rsid w:val="0063333D"/>
    <w:rsid w:val="00633BE8"/>
    <w:rsid w:val="0063460D"/>
    <w:rsid w:val="00634824"/>
    <w:rsid w:val="006348C6"/>
    <w:rsid w:val="00634D98"/>
    <w:rsid w:val="00636814"/>
    <w:rsid w:val="00637FE2"/>
    <w:rsid w:val="006401A3"/>
    <w:rsid w:val="00641227"/>
    <w:rsid w:val="0064125A"/>
    <w:rsid w:val="00641921"/>
    <w:rsid w:val="006419E9"/>
    <w:rsid w:val="00643D7C"/>
    <w:rsid w:val="006444F5"/>
    <w:rsid w:val="00644ADD"/>
    <w:rsid w:val="006466DF"/>
    <w:rsid w:val="00647B77"/>
    <w:rsid w:val="00651753"/>
    <w:rsid w:val="00653F43"/>
    <w:rsid w:val="00654616"/>
    <w:rsid w:val="00654F81"/>
    <w:rsid w:val="00655C44"/>
    <w:rsid w:val="00655CE3"/>
    <w:rsid w:val="0065693A"/>
    <w:rsid w:val="00656E04"/>
    <w:rsid w:val="00657333"/>
    <w:rsid w:val="00663586"/>
    <w:rsid w:val="006639A8"/>
    <w:rsid w:val="00664E9F"/>
    <w:rsid w:val="00665BBF"/>
    <w:rsid w:val="00666090"/>
    <w:rsid w:val="00666EFF"/>
    <w:rsid w:val="006704AC"/>
    <w:rsid w:val="00670612"/>
    <w:rsid w:val="0067078B"/>
    <w:rsid w:val="0067086C"/>
    <w:rsid w:val="00670B00"/>
    <w:rsid w:val="00672FF7"/>
    <w:rsid w:val="0067354C"/>
    <w:rsid w:val="006738A2"/>
    <w:rsid w:val="00673E31"/>
    <w:rsid w:val="00674021"/>
    <w:rsid w:val="00674DDD"/>
    <w:rsid w:val="00674F6E"/>
    <w:rsid w:val="00675304"/>
    <w:rsid w:val="00676A95"/>
    <w:rsid w:val="00677158"/>
    <w:rsid w:val="0068027B"/>
    <w:rsid w:val="00680967"/>
    <w:rsid w:val="00680A24"/>
    <w:rsid w:val="00680B50"/>
    <w:rsid w:val="0068177A"/>
    <w:rsid w:val="00682E6E"/>
    <w:rsid w:val="00686BF2"/>
    <w:rsid w:val="0068709C"/>
    <w:rsid w:val="00687FF0"/>
    <w:rsid w:val="00692A3E"/>
    <w:rsid w:val="00693983"/>
    <w:rsid w:val="006944F4"/>
    <w:rsid w:val="00694DC4"/>
    <w:rsid w:val="00695059"/>
    <w:rsid w:val="006971BE"/>
    <w:rsid w:val="006A123A"/>
    <w:rsid w:val="006A2762"/>
    <w:rsid w:val="006A2D19"/>
    <w:rsid w:val="006A30FE"/>
    <w:rsid w:val="006A372F"/>
    <w:rsid w:val="006A4D77"/>
    <w:rsid w:val="006A58DB"/>
    <w:rsid w:val="006B0FDF"/>
    <w:rsid w:val="006B2C56"/>
    <w:rsid w:val="006B3688"/>
    <w:rsid w:val="006B4553"/>
    <w:rsid w:val="006B5CB9"/>
    <w:rsid w:val="006B66D3"/>
    <w:rsid w:val="006C33FB"/>
    <w:rsid w:val="006C37E7"/>
    <w:rsid w:val="006C390D"/>
    <w:rsid w:val="006C467D"/>
    <w:rsid w:val="006C4E63"/>
    <w:rsid w:val="006C5254"/>
    <w:rsid w:val="006D0125"/>
    <w:rsid w:val="006D1439"/>
    <w:rsid w:val="006D149F"/>
    <w:rsid w:val="006D28AA"/>
    <w:rsid w:val="006D4745"/>
    <w:rsid w:val="006D5682"/>
    <w:rsid w:val="006D56BB"/>
    <w:rsid w:val="006D59A1"/>
    <w:rsid w:val="006E04BE"/>
    <w:rsid w:val="006E0DE1"/>
    <w:rsid w:val="006E1E3B"/>
    <w:rsid w:val="006E1FD6"/>
    <w:rsid w:val="006E37B9"/>
    <w:rsid w:val="006E45F4"/>
    <w:rsid w:val="006E4F23"/>
    <w:rsid w:val="006E6388"/>
    <w:rsid w:val="006E67C0"/>
    <w:rsid w:val="006E7E72"/>
    <w:rsid w:val="006F34C9"/>
    <w:rsid w:val="006F366E"/>
    <w:rsid w:val="006F3F78"/>
    <w:rsid w:val="006F48EF"/>
    <w:rsid w:val="006F6027"/>
    <w:rsid w:val="006F7336"/>
    <w:rsid w:val="006F73FD"/>
    <w:rsid w:val="006F7979"/>
    <w:rsid w:val="006F7F6A"/>
    <w:rsid w:val="0070110D"/>
    <w:rsid w:val="00702CB4"/>
    <w:rsid w:val="0070313D"/>
    <w:rsid w:val="00704096"/>
    <w:rsid w:val="00704155"/>
    <w:rsid w:val="00704F99"/>
    <w:rsid w:val="00705486"/>
    <w:rsid w:val="00707A67"/>
    <w:rsid w:val="00710DBA"/>
    <w:rsid w:val="007128C9"/>
    <w:rsid w:val="00714021"/>
    <w:rsid w:val="00715CBD"/>
    <w:rsid w:val="0071664D"/>
    <w:rsid w:val="007166AB"/>
    <w:rsid w:val="00722B30"/>
    <w:rsid w:val="00725CC3"/>
    <w:rsid w:val="007267EF"/>
    <w:rsid w:val="00730A79"/>
    <w:rsid w:val="00730E36"/>
    <w:rsid w:val="007335DD"/>
    <w:rsid w:val="0073396C"/>
    <w:rsid w:val="00733B55"/>
    <w:rsid w:val="00734E3A"/>
    <w:rsid w:val="007350E7"/>
    <w:rsid w:val="007370AD"/>
    <w:rsid w:val="00746634"/>
    <w:rsid w:val="0074709C"/>
    <w:rsid w:val="00750284"/>
    <w:rsid w:val="0075160E"/>
    <w:rsid w:val="00751EB8"/>
    <w:rsid w:val="0075362E"/>
    <w:rsid w:val="00753E6E"/>
    <w:rsid w:val="0075424B"/>
    <w:rsid w:val="00754314"/>
    <w:rsid w:val="007545C4"/>
    <w:rsid w:val="00754CC6"/>
    <w:rsid w:val="007573B2"/>
    <w:rsid w:val="00760A08"/>
    <w:rsid w:val="00760E7B"/>
    <w:rsid w:val="007613F3"/>
    <w:rsid w:val="00761F06"/>
    <w:rsid w:val="0076341D"/>
    <w:rsid w:val="007639E8"/>
    <w:rsid w:val="007643F3"/>
    <w:rsid w:val="007656D3"/>
    <w:rsid w:val="00765999"/>
    <w:rsid w:val="007661DB"/>
    <w:rsid w:val="0076652A"/>
    <w:rsid w:val="0076690B"/>
    <w:rsid w:val="00767A07"/>
    <w:rsid w:val="00771480"/>
    <w:rsid w:val="00771B34"/>
    <w:rsid w:val="00771CE7"/>
    <w:rsid w:val="00772803"/>
    <w:rsid w:val="007736A7"/>
    <w:rsid w:val="007748D6"/>
    <w:rsid w:val="0077549F"/>
    <w:rsid w:val="00775E1E"/>
    <w:rsid w:val="0077622C"/>
    <w:rsid w:val="0077702F"/>
    <w:rsid w:val="00777F8F"/>
    <w:rsid w:val="007802B9"/>
    <w:rsid w:val="007817F4"/>
    <w:rsid w:val="007820C2"/>
    <w:rsid w:val="007845F8"/>
    <w:rsid w:val="00786BC3"/>
    <w:rsid w:val="00790C24"/>
    <w:rsid w:val="00791263"/>
    <w:rsid w:val="007924DB"/>
    <w:rsid w:val="007928D4"/>
    <w:rsid w:val="00792A31"/>
    <w:rsid w:val="00792BF0"/>
    <w:rsid w:val="00793EB3"/>
    <w:rsid w:val="00795291"/>
    <w:rsid w:val="0079624D"/>
    <w:rsid w:val="00797A43"/>
    <w:rsid w:val="007A0484"/>
    <w:rsid w:val="007A11E0"/>
    <w:rsid w:val="007A1914"/>
    <w:rsid w:val="007A50B4"/>
    <w:rsid w:val="007A744E"/>
    <w:rsid w:val="007A75C6"/>
    <w:rsid w:val="007B0FC6"/>
    <w:rsid w:val="007B10CC"/>
    <w:rsid w:val="007B30D6"/>
    <w:rsid w:val="007B4A56"/>
    <w:rsid w:val="007B4FA6"/>
    <w:rsid w:val="007B7BA5"/>
    <w:rsid w:val="007C00FE"/>
    <w:rsid w:val="007C0E80"/>
    <w:rsid w:val="007C177A"/>
    <w:rsid w:val="007C1922"/>
    <w:rsid w:val="007C29D6"/>
    <w:rsid w:val="007C32AE"/>
    <w:rsid w:val="007C34F4"/>
    <w:rsid w:val="007C3901"/>
    <w:rsid w:val="007C3C00"/>
    <w:rsid w:val="007C6373"/>
    <w:rsid w:val="007C6F95"/>
    <w:rsid w:val="007C7AAF"/>
    <w:rsid w:val="007D0273"/>
    <w:rsid w:val="007D0D30"/>
    <w:rsid w:val="007D0D58"/>
    <w:rsid w:val="007D12EF"/>
    <w:rsid w:val="007D2C0F"/>
    <w:rsid w:val="007D41E8"/>
    <w:rsid w:val="007D5043"/>
    <w:rsid w:val="007D5615"/>
    <w:rsid w:val="007D5F82"/>
    <w:rsid w:val="007D673E"/>
    <w:rsid w:val="007D74F3"/>
    <w:rsid w:val="007E168B"/>
    <w:rsid w:val="007E22DC"/>
    <w:rsid w:val="007E26E8"/>
    <w:rsid w:val="007E2D41"/>
    <w:rsid w:val="007E2F6C"/>
    <w:rsid w:val="007E39DA"/>
    <w:rsid w:val="007E3D51"/>
    <w:rsid w:val="007E409C"/>
    <w:rsid w:val="007E4246"/>
    <w:rsid w:val="007E47B8"/>
    <w:rsid w:val="007E48BF"/>
    <w:rsid w:val="007E4AF5"/>
    <w:rsid w:val="007E5398"/>
    <w:rsid w:val="007F0585"/>
    <w:rsid w:val="007F0682"/>
    <w:rsid w:val="007F0CB0"/>
    <w:rsid w:val="007F1490"/>
    <w:rsid w:val="007F1583"/>
    <w:rsid w:val="007F34A5"/>
    <w:rsid w:val="007F3ADE"/>
    <w:rsid w:val="007F4640"/>
    <w:rsid w:val="007F50C7"/>
    <w:rsid w:val="007F589F"/>
    <w:rsid w:val="007F58FB"/>
    <w:rsid w:val="007F5EB4"/>
    <w:rsid w:val="007F6079"/>
    <w:rsid w:val="007F60F7"/>
    <w:rsid w:val="007F7673"/>
    <w:rsid w:val="007F77F3"/>
    <w:rsid w:val="0080015D"/>
    <w:rsid w:val="00801F66"/>
    <w:rsid w:val="00802689"/>
    <w:rsid w:val="00802F04"/>
    <w:rsid w:val="008054C4"/>
    <w:rsid w:val="00805BE7"/>
    <w:rsid w:val="00806A72"/>
    <w:rsid w:val="00807F48"/>
    <w:rsid w:val="008117A7"/>
    <w:rsid w:val="008119D5"/>
    <w:rsid w:val="008139E1"/>
    <w:rsid w:val="00814181"/>
    <w:rsid w:val="00814238"/>
    <w:rsid w:val="00814D42"/>
    <w:rsid w:val="00814DC0"/>
    <w:rsid w:val="00815099"/>
    <w:rsid w:val="00815689"/>
    <w:rsid w:val="00816286"/>
    <w:rsid w:val="008169C1"/>
    <w:rsid w:val="00817636"/>
    <w:rsid w:val="00817989"/>
    <w:rsid w:val="00817C15"/>
    <w:rsid w:val="00820100"/>
    <w:rsid w:val="00820C18"/>
    <w:rsid w:val="00821CC1"/>
    <w:rsid w:val="00822131"/>
    <w:rsid w:val="0082377A"/>
    <w:rsid w:val="008238B9"/>
    <w:rsid w:val="008252D8"/>
    <w:rsid w:val="00825CF0"/>
    <w:rsid w:val="008262A6"/>
    <w:rsid w:val="00826596"/>
    <w:rsid w:val="00826867"/>
    <w:rsid w:val="008274EA"/>
    <w:rsid w:val="00827866"/>
    <w:rsid w:val="008278BF"/>
    <w:rsid w:val="0083000A"/>
    <w:rsid w:val="00830A9D"/>
    <w:rsid w:val="008331DC"/>
    <w:rsid w:val="00833A59"/>
    <w:rsid w:val="008365FD"/>
    <w:rsid w:val="008366DA"/>
    <w:rsid w:val="00836D9C"/>
    <w:rsid w:val="008371C9"/>
    <w:rsid w:val="00837522"/>
    <w:rsid w:val="00840D98"/>
    <w:rsid w:val="008418ED"/>
    <w:rsid w:val="0084240F"/>
    <w:rsid w:val="00842948"/>
    <w:rsid w:val="008437CA"/>
    <w:rsid w:val="00844B6F"/>
    <w:rsid w:val="008477DD"/>
    <w:rsid w:val="00847B81"/>
    <w:rsid w:val="00850A11"/>
    <w:rsid w:val="008514D1"/>
    <w:rsid w:val="00851547"/>
    <w:rsid w:val="00851631"/>
    <w:rsid w:val="00852902"/>
    <w:rsid w:val="00852E88"/>
    <w:rsid w:val="00853A6B"/>
    <w:rsid w:val="00853B9C"/>
    <w:rsid w:val="008546AD"/>
    <w:rsid w:val="008553F7"/>
    <w:rsid w:val="00856906"/>
    <w:rsid w:val="00860D6C"/>
    <w:rsid w:val="00861E1F"/>
    <w:rsid w:val="00863265"/>
    <w:rsid w:val="00863438"/>
    <w:rsid w:val="0086359D"/>
    <w:rsid w:val="0086371D"/>
    <w:rsid w:val="00866FBD"/>
    <w:rsid w:val="008702F8"/>
    <w:rsid w:val="00871907"/>
    <w:rsid w:val="00871F0E"/>
    <w:rsid w:val="00873D9F"/>
    <w:rsid w:val="00875389"/>
    <w:rsid w:val="00876C57"/>
    <w:rsid w:val="00876F9E"/>
    <w:rsid w:val="0088019B"/>
    <w:rsid w:val="0088052F"/>
    <w:rsid w:val="00880602"/>
    <w:rsid w:val="008807FC"/>
    <w:rsid w:val="008811CB"/>
    <w:rsid w:val="00883C17"/>
    <w:rsid w:val="00883EC3"/>
    <w:rsid w:val="00884060"/>
    <w:rsid w:val="00884340"/>
    <w:rsid w:val="0088565A"/>
    <w:rsid w:val="00885E2C"/>
    <w:rsid w:val="00885E7E"/>
    <w:rsid w:val="00886392"/>
    <w:rsid w:val="00886615"/>
    <w:rsid w:val="008869AA"/>
    <w:rsid w:val="0089030D"/>
    <w:rsid w:val="00891DE9"/>
    <w:rsid w:val="00893E74"/>
    <w:rsid w:val="0089497C"/>
    <w:rsid w:val="00895C76"/>
    <w:rsid w:val="00897A5E"/>
    <w:rsid w:val="008A0423"/>
    <w:rsid w:val="008A1EE2"/>
    <w:rsid w:val="008A41E0"/>
    <w:rsid w:val="008A4259"/>
    <w:rsid w:val="008A5113"/>
    <w:rsid w:val="008A6438"/>
    <w:rsid w:val="008A6C95"/>
    <w:rsid w:val="008A74C7"/>
    <w:rsid w:val="008B1569"/>
    <w:rsid w:val="008B1668"/>
    <w:rsid w:val="008B184B"/>
    <w:rsid w:val="008B2011"/>
    <w:rsid w:val="008B2731"/>
    <w:rsid w:val="008B437F"/>
    <w:rsid w:val="008B51F4"/>
    <w:rsid w:val="008B5E67"/>
    <w:rsid w:val="008C04E4"/>
    <w:rsid w:val="008C06B1"/>
    <w:rsid w:val="008C1779"/>
    <w:rsid w:val="008C26A4"/>
    <w:rsid w:val="008C2EE1"/>
    <w:rsid w:val="008C3854"/>
    <w:rsid w:val="008C38BD"/>
    <w:rsid w:val="008C3B73"/>
    <w:rsid w:val="008C42DC"/>
    <w:rsid w:val="008C47D5"/>
    <w:rsid w:val="008C4B19"/>
    <w:rsid w:val="008C4DC7"/>
    <w:rsid w:val="008C54A0"/>
    <w:rsid w:val="008C5FFA"/>
    <w:rsid w:val="008C6025"/>
    <w:rsid w:val="008C6258"/>
    <w:rsid w:val="008C6963"/>
    <w:rsid w:val="008D02DF"/>
    <w:rsid w:val="008D4D5C"/>
    <w:rsid w:val="008D53B8"/>
    <w:rsid w:val="008D69E5"/>
    <w:rsid w:val="008D7620"/>
    <w:rsid w:val="008E0475"/>
    <w:rsid w:val="008E05ED"/>
    <w:rsid w:val="008E065D"/>
    <w:rsid w:val="008E12A9"/>
    <w:rsid w:val="008E2BD5"/>
    <w:rsid w:val="008E2F11"/>
    <w:rsid w:val="008E5B68"/>
    <w:rsid w:val="008E7F2C"/>
    <w:rsid w:val="008F056C"/>
    <w:rsid w:val="008F0C06"/>
    <w:rsid w:val="008F1113"/>
    <w:rsid w:val="008F1C1A"/>
    <w:rsid w:val="008F2D4D"/>
    <w:rsid w:val="008F326A"/>
    <w:rsid w:val="008F359F"/>
    <w:rsid w:val="008F3DC8"/>
    <w:rsid w:val="008F3E2C"/>
    <w:rsid w:val="008F4EBA"/>
    <w:rsid w:val="008F51C2"/>
    <w:rsid w:val="008F59F9"/>
    <w:rsid w:val="008F5F12"/>
    <w:rsid w:val="008F7CAE"/>
    <w:rsid w:val="00900A12"/>
    <w:rsid w:val="009020E2"/>
    <w:rsid w:val="00902ABB"/>
    <w:rsid w:val="00904642"/>
    <w:rsid w:val="0090519C"/>
    <w:rsid w:val="00905585"/>
    <w:rsid w:val="009078C9"/>
    <w:rsid w:val="00907A7E"/>
    <w:rsid w:val="00911FFA"/>
    <w:rsid w:val="0091445F"/>
    <w:rsid w:val="00914C60"/>
    <w:rsid w:val="009169E9"/>
    <w:rsid w:val="00917ECA"/>
    <w:rsid w:val="00920E9E"/>
    <w:rsid w:val="00921174"/>
    <w:rsid w:val="0092259E"/>
    <w:rsid w:val="00924CB3"/>
    <w:rsid w:val="00926A80"/>
    <w:rsid w:val="0093345E"/>
    <w:rsid w:val="00933F99"/>
    <w:rsid w:val="00934806"/>
    <w:rsid w:val="0093492A"/>
    <w:rsid w:val="00935020"/>
    <w:rsid w:val="00935900"/>
    <w:rsid w:val="00935EA7"/>
    <w:rsid w:val="00937395"/>
    <w:rsid w:val="00940789"/>
    <w:rsid w:val="009407F5"/>
    <w:rsid w:val="0094129F"/>
    <w:rsid w:val="00941AAF"/>
    <w:rsid w:val="00942552"/>
    <w:rsid w:val="009428C1"/>
    <w:rsid w:val="009452AC"/>
    <w:rsid w:val="009459C9"/>
    <w:rsid w:val="00945A43"/>
    <w:rsid w:val="00945B57"/>
    <w:rsid w:val="00946BE7"/>
    <w:rsid w:val="009474E7"/>
    <w:rsid w:val="0095005D"/>
    <w:rsid w:val="009513E0"/>
    <w:rsid w:val="009535DF"/>
    <w:rsid w:val="009542C7"/>
    <w:rsid w:val="0095499C"/>
    <w:rsid w:val="00954B53"/>
    <w:rsid w:val="00954E16"/>
    <w:rsid w:val="00955D47"/>
    <w:rsid w:val="009575A0"/>
    <w:rsid w:val="0096018F"/>
    <w:rsid w:val="00960634"/>
    <w:rsid w:val="009611AB"/>
    <w:rsid w:val="00961580"/>
    <w:rsid w:val="00963C8C"/>
    <w:rsid w:val="00963D1C"/>
    <w:rsid w:val="00966291"/>
    <w:rsid w:val="009703DB"/>
    <w:rsid w:val="009708B5"/>
    <w:rsid w:val="00971280"/>
    <w:rsid w:val="00971664"/>
    <w:rsid w:val="00971AA8"/>
    <w:rsid w:val="00974147"/>
    <w:rsid w:val="0097460B"/>
    <w:rsid w:val="00975A76"/>
    <w:rsid w:val="00977CF5"/>
    <w:rsid w:val="009812B1"/>
    <w:rsid w:val="0098222B"/>
    <w:rsid w:val="009824F0"/>
    <w:rsid w:val="009845CF"/>
    <w:rsid w:val="009847DF"/>
    <w:rsid w:val="00984FDD"/>
    <w:rsid w:val="00986826"/>
    <w:rsid w:val="00990C34"/>
    <w:rsid w:val="00991729"/>
    <w:rsid w:val="00992B01"/>
    <w:rsid w:val="00992D18"/>
    <w:rsid w:val="0099348E"/>
    <w:rsid w:val="00994CA6"/>
    <w:rsid w:val="009950D0"/>
    <w:rsid w:val="0099648D"/>
    <w:rsid w:val="00996BCF"/>
    <w:rsid w:val="009975BE"/>
    <w:rsid w:val="009976DC"/>
    <w:rsid w:val="009A0387"/>
    <w:rsid w:val="009A0D31"/>
    <w:rsid w:val="009A15B5"/>
    <w:rsid w:val="009A1F57"/>
    <w:rsid w:val="009A2E99"/>
    <w:rsid w:val="009A32E7"/>
    <w:rsid w:val="009A3434"/>
    <w:rsid w:val="009A3D61"/>
    <w:rsid w:val="009A3E31"/>
    <w:rsid w:val="009A4FB3"/>
    <w:rsid w:val="009A5A73"/>
    <w:rsid w:val="009A6029"/>
    <w:rsid w:val="009A61B8"/>
    <w:rsid w:val="009A7041"/>
    <w:rsid w:val="009B18D1"/>
    <w:rsid w:val="009B28BE"/>
    <w:rsid w:val="009B3050"/>
    <w:rsid w:val="009B3118"/>
    <w:rsid w:val="009B3214"/>
    <w:rsid w:val="009B3D55"/>
    <w:rsid w:val="009B686F"/>
    <w:rsid w:val="009B75BB"/>
    <w:rsid w:val="009B7DCF"/>
    <w:rsid w:val="009C167E"/>
    <w:rsid w:val="009C1785"/>
    <w:rsid w:val="009C20B4"/>
    <w:rsid w:val="009C270A"/>
    <w:rsid w:val="009C401C"/>
    <w:rsid w:val="009C53B9"/>
    <w:rsid w:val="009C63A1"/>
    <w:rsid w:val="009C7BA7"/>
    <w:rsid w:val="009D0A6E"/>
    <w:rsid w:val="009D147E"/>
    <w:rsid w:val="009D16D7"/>
    <w:rsid w:val="009D4490"/>
    <w:rsid w:val="009D4CD4"/>
    <w:rsid w:val="009D60C8"/>
    <w:rsid w:val="009D765F"/>
    <w:rsid w:val="009E04AB"/>
    <w:rsid w:val="009E0DEA"/>
    <w:rsid w:val="009E33D4"/>
    <w:rsid w:val="009E3C20"/>
    <w:rsid w:val="009E3F56"/>
    <w:rsid w:val="009E47F4"/>
    <w:rsid w:val="009E5377"/>
    <w:rsid w:val="009F093F"/>
    <w:rsid w:val="009F0A49"/>
    <w:rsid w:val="009F1495"/>
    <w:rsid w:val="009F3C1F"/>
    <w:rsid w:val="009F4D3B"/>
    <w:rsid w:val="009F4E30"/>
    <w:rsid w:val="009F6029"/>
    <w:rsid w:val="009F727A"/>
    <w:rsid w:val="009F753C"/>
    <w:rsid w:val="009F76FC"/>
    <w:rsid w:val="00A00C87"/>
    <w:rsid w:val="00A03B87"/>
    <w:rsid w:val="00A03ED6"/>
    <w:rsid w:val="00A04348"/>
    <w:rsid w:val="00A06AD2"/>
    <w:rsid w:val="00A07C89"/>
    <w:rsid w:val="00A07D8D"/>
    <w:rsid w:val="00A10238"/>
    <w:rsid w:val="00A13C01"/>
    <w:rsid w:val="00A13E17"/>
    <w:rsid w:val="00A1654F"/>
    <w:rsid w:val="00A17587"/>
    <w:rsid w:val="00A17D76"/>
    <w:rsid w:val="00A2036C"/>
    <w:rsid w:val="00A21B7F"/>
    <w:rsid w:val="00A21DBC"/>
    <w:rsid w:val="00A223BA"/>
    <w:rsid w:val="00A229A1"/>
    <w:rsid w:val="00A243E3"/>
    <w:rsid w:val="00A24546"/>
    <w:rsid w:val="00A2635F"/>
    <w:rsid w:val="00A264DB"/>
    <w:rsid w:val="00A277D9"/>
    <w:rsid w:val="00A30C54"/>
    <w:rsid w:val="00A32BF6"/>
    <w:rsid w:val="00A32F4F"/>
    <w:rsid w:val="00A3313B"/>
    <w:rsid w:val="00A360B6"/>
    <w:rsid w:val="00A3713E"/>
    <w:rsid w:val="00A42538"/>
    <w:rsid w:val="00A43420"/>
    <w:rsid w:val="00A43910"/>
    <w:rsid w:val="00A441D8"/>
    <w:rsid w:val="00A44BA7"/>
    <w:rsid w:val="00A45DD1"/>
    <w:rsid w:val="00A46FD1"/>
    <w:rsid w:val="00A47644"/>
    <w:rsid w:val="00A47D7D"/>
    <w:rsid w:val="00A502C0"/>
    <w:rsid w:val="00A529BB"/>
    <w:rsid w:val="00A52C43"/>
    <w:rsid w:val="00A52E8F"/>
    <w:rsid w:val="00A54208"/>
    <w:rsid w:val="00A551D0"/>
    <w:rsid w:val="00A57972"/>
    <w:rsid w:val="00A57E84"/>
    <w:rsid w:val="00A6079E"/>
    <w:rsid w:val="00A61374"/>
    <w:rsid w:val="00A614CC"/>
    <w:rsid w:val="00A6239E"/>
    <w:rsid w:val="00A63025"/>
    <w:rsid w:val="00A632EC"/>
    <w:rsid w:val="00A64076"/>
    <w:rsid w:val="00A642BC"/>
    <w:rsid w:val="00A64B5C"/>
    <w:rsid w:val="00A65683"/>
    <w:rsid w:val="00A663E6"/>
    <w:rsid w:val="00A666D3"/>
    <w:rsid w:val="00A66AC9"/>
    <w:rsid w:val="00A674AE"/>
    <w:rsid w:val="00A70EB9"/>
    <w:rsid w:val="00A71535"/>
    <w:rsid w:val="00A71647"/>
    <w:rsid w:val="00A7219A"/>
    <w:rsid w:val="00A725A8"/>
    <w:rsid w:val="00A72E2D"/>
    <w:rsid w:val="00A72F5B"/>
    <w:rsid w:val="00A75823"/>
    <w:rsid w:val="00A75A01"/>
    <w:rsid w:val="00A765C2"/>
    <w:rsid w:val="00A8074B"/>
    <w:rsid w:val="00A81435"/>
    <w:rsid w:val="00A85B3B"/>
    <w:rsid w:val="00A8637A"/>
    <w:rsid w:val="00A86534"/>
    <w:rsid w:val="00A8684A"/>
    <w:rsid w:val="00A86EA8"/>
    <w:rsid w:val="00A905D9"/>
    <w:rsid w:val="00A90883"/>
    <w:rsid w:val="00A914DC"/>
    <w:rsid w:val="00A935EB"/>
    <w:rsid w:val="00A94E49"/>
    <w:rsid w:val="00A9547E"/>
    <w:rsid w:val="00A96714"/>
    <w:rsid w:val="00A974FE"/>
    <w:rsid w:val="00AA07C1"/>
    <w:rsid w:val="00AA1BE9"/>
    <w:rsid w:val="00AA23F7"/>
    <w:rsid w:val="00AA38B1"/>
    <w:rsid w:val="00AA3EA9"/>
    <w:rsid w:val="00AA5718"/>
    <w:rsid w:val="00AA5C32"/>
    <w:rsid w:val="00AA67A7"/>
    <w:rsid w:val="00AA731F"/>
    <w:rsid w:val="00AA73E6"/>
    <w:rsid w:val="00AA7AB8"/>
    <w:rsid w:val="00AB0C13"/>
    <w:rsid w:val="00AB12A4"/>
    <w:rsid w:val="00AB1ED5"/>
    <w:rsid w:val="00AB3769"/>
    <w:rsid w:val="00AB4611"/>
    <w:rsid w:val="00AB60D3"/>
    <w:rsid w:val="00AB6728"/>
    <w:rsid w:val="00AB6B3F"/>
    <w:rsid w:val="00AC0543"/>
    <w:rsid w:val="00AC15BD"/>
    <w:rsid w:val="00AC18E1"/>
    <w:rsid w:val="00AC1B71"/>
    <w:rsid w:val="00AC22EE"/>
    <w:rsid w:val="00AC3AA3"/>
    <w:rsid w:val="00AC4F38"/>
    <w:rsid w:val="00AC5FA3"/>
    <w:rsid w:val="00AC689E"/>
    <w:rsid w:val="00AC6BAC"/>
    <w:rsid w:val="00AC7AD0"/>
    <w:rsid w:val="00AD1BBD"/>
    <w:rsid w:val="00AD2206"/>
    <w:rsid w:val="00AD2209"/>
    <w:rsid w:val="00AD2480"/>
    <w:rsid w:val="00AD355A"/>
    <w:rsid w:val="00AD4746"/>
    <w:rsid w:val="00AD6E33"/>
    <w:rsid w:val="00AE1A04"/>
    <w:rsid w:val="00AE2368"/>
    <w:rsid w:val="00AE249D"/>
    <w:rsid w:val="00AE24C3"/>
    <w:rsid w:val="00AE2C4B"/>
    <w:rsid w:val="00AE3F63"/>
    <w:rsid w:val="00AE7DB5"/>
    <w:rsid w:val="00AE7FC0"/>
    <w:rsid w:val="00AF1F8C"/>
    <w:rsid w:val="00AF2318"/>
    <w:rsid w:val="00AF2395"/>
    <w:rsid w:val="00AF2547"/>
    <w:rsid w:val="00AF2985"/>
    <w:rsid w:val="00AF428C"/>
    <w:rsid w:val="00AF43D2"/>
    <w:rsid w:val="00AF4585"/>
    <w:rsid w:val="00B005ED"/>
    <w:rsid w:val="00B00B68"/>
    <w:rsid w:val="00B00DDE"/>
    <w:rsid w:val="00B0135A"/>
    <w:rsid w:val="00B03806"/>
    <w:rsid w:val="00B03B15"/>
    <w:rsid w:val="00B03CC2"/>
    <w:rsid w:val="00B03FFD"/>
    <w:rsid w:val="00B05644"/>
    <w:rsid w:val="00B05711"/>
    <w:rsid w:val="00B06A25"/>
    <w:rsid w:val="00B10928"/>
    <w:rsid w:val="00B111E4"/>
    <w:rsid w:val="00B11ED3"/>
    <w:rsid w:val="00B15760"/>
    <w:rsid w:val="00B178A6"/>
    <w:rsid w:val="00B23A51"/>
    <w:rsid w:val="00B245C9"/>
    <w:rsid w:val="00B253C5"/>
    <w:rsid w:val="00B25409"/>
    <w:rsid w:val="00B25ED6"/>
    <w:rsid w:val="00B264A1"/>
    <w:rsid w:val="00B2702A"/>
    <w:rsid w:val="00B34257"/>
    <w:rsid w:val="00B342C0"/>
    <w:rsid w:val="00B355F3"/>
    <w:rsid w:val="00B356FB"/>
    <w:rsid w:val="00B36EF2"/>
    <w:rsid w:val="00B374E1"/>
    <w:rsid w:val="00B37770"/>
    <w:rsid w:val="00B3794F"/>
    <w:rsid w:val="00B40483"/>
    <w:rsid w:val="00B40E1F"/>
    <w:rsid w:val="00B41D0F"/>
    <w:rsid w:val="00B42834"/>
    <w:rsid w:val="00B429D4"/>
    <w:rsid w:val="00B432D9"/>
    <w:rsid w:val="00B440BA"/>
    <w:rsid w:val="00B4488C"/>
    <w:rsid w:val="00B44B7A"/>
    <w:rsid w:val="00B4625A"/>
    <w:rsid w:val="00B465F0"/>
    <w:rsid w:val="00B46FB6"/>
    <w:rsid w:val="00B4790F"/>
    <w:rsid w:val="00B479A2"/>
    <w:rsid w:val="00B50AF4"/>
    <w:rsid w:val="00B50BE3"/>
    <w:rsid w:val="00B50D99"/>
    <w:rsid w:val="00B52D1F"/>
    <w:rsid w:val="00B53E15"/>
    <w:rsid w:val="00B5607F"/>
    <w:rsid w:val="00B56C39"/>
    <w:rsid w:val="00B5707C"/>
    <w:rsid w:val="00B57759"/>
    <w:rsid w:val="00B6013F"/>
    <w:rsid w:val="00B60D0C"/>
    <w:rsid w:val="00B60F44"/>
    <w:rsid w:val="00B6100E"/>
    <w:rsid w:val="00B617E7"/>
    <w:rsid w:val="00B625C9"/>
    <w:rsid w:val="00B628E2"/>
    <w:rsid w:val="00B62BFC"/>
    <w:rsid w:val="00B6377A"/>
    <w:rsid w:val="00B648B2"/>
    <w:rsid w:val="00B6495D"/>
    <w:rsid w:val="00B651C3"/>
    <w:rsid w:val="00B65384"/>
    <w:rsid w:val="00B66A52"/>
    <w:rsid w:val="00B66B2F"/>
    <w:rsid w:val="00B66C1B"/>
    <w:rsid w:val="00B67AD7"/>
    <w:rsid w:val="00B67B2A"/>
    <w:rsid w:val="00B67F8C"/>
    <w:rsid w:val="00B704FF"/>
    <w:rsid w:val="00B705FF"/>
    <w:rsid w:val="00B70D30"/>
    <w:rsid w:val="00B71026"/>
    <w:rsid w:val="00B711AE"/>
    <w:rsid w:val="00B71499"/>
    <w:rsid w:val="00B71F86"/>
    <w:rsid w:val="00B72768"/>
    <w:rsid w:val="00B737A3"/>
    <w:rsid w:val="00B73C25"/>
    <w:rsid w:val="00B77006"/>
    <w:rsid w:val="00B77841"/>
    <w:rsid w:val="00B80085"/>
    <w:rsid w:val="00B82E6A"/>
    <w:rsid w:val="00B853BC"/>
    <w:rsid w:val="00B8547A"/>
    <w:rsid w:val="00B8688C"/>
    <w:rsid w:val="00B869FE"/>
    <w:rsid w:val="00B87100"/>
    <w:rsid w:val="00B90B37"/>
    <w:rsid w:val="00B90F23"/>
    <w:rsid w:val="00B91988"/>
    <w:rsid w:val="00B92DB3"/>
    <w:rsid w:val="00B9390D"/>
    <w:rsid w:val="00B94A3D"/>
    <w:rsid w:val="00B95A68"/>
    <w:rsid w:val="00B97210"/>
    <w:rsid w:val="00B97B70"/>
    <w:rsid w:val="00BA028F"/>
    <w:rsid w:val="00BA32DE"/>
    <w:rsid w:val="00BA40D3"/>
    <w:rsid w:val="00BA4599"/>
    <w:rsid w:val="00BA4E5B"/>
    <w:rsid w:val="00BA60AD"/>
    <w:rsid w:val="00BA6788"/>
    <w:rsid w:val="00BA6A24"/>
    <w:rsid w:val="00BA6DBA"/>
    <w:rsid w:val="00BA7B0F"/>
    <w:rsid w:val="00BB03A9"/>
    <w:rsid w:val="00BB048B"/>
    <w:rsid w:val="00BB0AAD"/>
    <w:rsid w:val="00BB0F57"/>
    <w:rsid w:val="00BB3A9F"/>
    <w:rsid w:val="00BB3CC1"/>
    <w:rsid w:val="00BB3F05"/>
    <w:rsid w:val="00BB41A7"/>
    <w:rsid w:val="00BC0754"/>
    <w:rsid w:val="00BC14D6"/>
    <w:rsid w:val="00BC4D8B"/>
    <w:rsid w:val="00BC53BB"/>
    <w:rsid w:val="00BC58FA"/>
    <w:rsid w:val="00BC5928"/>
    <w:rsid w:val="00BC5B84"/>
    <w:rsid w:val="00BC7459"/>
    <w:rsid w:val="00BC7480"/>
    <w:rsid w:val="00BD0AEA"/>
    <w:rsid w:val="00BD0CBC"/>
    <w:rsid w:val="00BD1CCB"/>
    <w:rsid w:val="00BD2273"/>
    <w:rsid w:val="00BD3B34"/>
    <w:rsid w:val="00BD3DBE"/>
    <w:rsid w:val="00BD3E6D"/>
    <w:rsid w:val="00BD4C36"/>
    <w:rsid w:val="00BD50DE"/>
    <w:rsid w:val="00BD5102"/>
    <w:rsid w:val="00BD6F70"/>
    <w:rsid w:val="00BD7A0C"/>
    <w:rsid w:val="00BE20B0"/>
    <w:rsid w:val="00BE267A"/>
    <w:rsid w:val="00BE3870"/>
    <w:rsid w:val="00BE3D5F"/>
    <w:rsid w:val="00BE53F6"/>
    <w:rsid w:val="00BE6AEA"/>
    <w:rsid w:val="00BF170F"/>
    <w:rsid w:val="00BF19F5"/>
    <w:rsid w:val="00BF1DFB"/>
    <w:rsid w:val="00BF2838"/>
    <w:rsid w:val="00BF2A64"/>
    <w:rsid w:val="00BF388F"/>
    <w:rsid w:val="00BF3CCB"/>
    <w:rsid w:val="00BF404D"/>
    <w:rsid w:val="00BF461C"/>
    <w:rsid w:val="00BF523C"/>
    <w:rsid w:val="00BF6D94"/>
    <w:rsid w:val="00C024EE"/>
    <w:rsid w:val="00C029BE"/>
    <w:rsid w:val="00C03B33"/>
    <w:rsid w:val="00C05D61"/>
    <w:rsid w:val="00C06B5E"/>
    <w:rsid w:val="00C06D68"/>
    <w:rsid w:val="00C077B2"/>
    <w:rsid w:val="00C10E44"/>
    <w:rsid w:val="00C116ED"/>
    <w:rsid w:val="00C13106"/>
    <w:rsid w:val="00C1368F"/>
    <w:rsid w:val="00C14D96"/>
    <w:rsid w:val="00C15CFE"/>
    <w:rsid w:val="00C168EB"/>
    <w:rsid w:val="00C16DAB"/>
    <w:rsid w:val="00C17FB7"/>
    <w:rsid w:val="00C20CA3"/>
    <w:rsid w:val="00C20FAC"/>
    <w:rsid w:val="00C231C8"/>
    <w:rsid w:val="00C25E95"/>
    <w:rsid w:val="00C27B2F"/>
    <w:rsid w:val="00C3086E"/>
    <w:rsid w:val="00C31056"/>
    <w:rsid w:val="00C31F46"/>
    <w:rsid w:val="00C32AAC"/>
    <w:rsid w:val="00C32B14"/>
    <w:rsid w:val="00C3346E"/>
    <w:rsid w:val="00C34027"/>
    <w:rsid w:val="00C343B7"/>
    <w:rsid w:val="00C34623"/>
    <w:rsid w:val="00C35363"/>
    <w:rsid w:val="00C35CA6"/>
    <w:rsid w:val="00C368AE"/>
    <w:rsid w:val="00C36FFA"/>
    <w:rsid w:val="00C41AFE"/>
    <w:rsid w:val="00C42677"/>
    <w:rsid w:val="00C43114"/>
    <w:rsid w:val="00C43C26"/>
    <w:rsid w:val="00C45405"/>
    <w:rsid w:val="00C45A2F"/>
    <w:rsid w:val="00C473A1"/>
    <w:rsid w:val="00C47E2D"/>
    <w:rsid w:val="00C50624"/>
    <w:rsid w:val="00C51CDF"/>
    <w:rsid w:val="00C52974"/>
    <w:rsid w:val="00C56078"/>
    <w:rsid w:val="00C564D3"/>
    <w:rsid w:val="00C56DE6"/>
    <w:rsid w:val="00C56F22"/>
    <w:rsid w:val="00C573D8"/>
    <w:rsid w:val="00C57731"/>
    <w:rsid w:val="00C604CD"/>
    <w:rsid w:val="00C60C71"/>
    <w:rsid w:val="00C61FD6"/>
    <w:rsid w:val="00C624D2"/>
    <w:rsid w:val="00C6312E"/>
    <w:rsid w:val="00C6319A"/>
    <w:rsid w:val="00C64E73"/>
    <w:rsid w:val="00C66EE5"/>
    <w:rsid w:val="00C67552"/>
    <w:rsid w:val="00C67EA7"/>
    <w:rsid w:val="00C70023"/>
    <w:rsid w:val="00C706C7"/>
    <w:rsid w:val="00C70A8F"/>
    <w:rsid w:val="00C71E56"/>
    <w:rsid w:val="00C72EB9"/>
    <w:rsid w:val="00C72FDF"/>
    <w:rsid w:val="00C74850"/>
    <w:rsid w:val="00C752FC"/>
    <w:rsid w:val="00C803D4"/>
    <w:rsid w:val="00C812CE"/>
    <w:rsid w:val="00C81ADF"/>
    <w:rsid w:val="00C81D08"/>
    <w:rsid w:val="00C86E99"/>
    <w:rsid w:val="00C87401"/>
    <w:rsid w:val="00C87C81"/>
    <w:rsid w:val="00C9025F"/>
    <w:rsid w:val="00C90447"/>
    <w:rsid w:val="00C92966"/>
    <w:rsid w:val="00C94955"/>
    <w:rsid w:val="00C95B49"/>
    <w:rsid w:val="00C9601A"/>
    <w:rsid w:val="00C9613B"/>
    <w:rsid w:val="00CA051A"/>
    <w:rsid w:val="00CA16FB"/>
    <w:rsid w:val="00CA1EC4"/>
    <w:rsid w:val="00CA2880"/>
    <w:rsid w:val="00CA29CC"/>
    <w:rsid w:val="00CA51B7"/>
    <w:rsid w:val="00CA6DAD"/>
    <w:rsid w:val="00CA6F65"/>
    <w:rsid w:val="00CB0518"/>
    <w:rsid w:val="00CB1278"/>
    <w:rsid w:val="00CB167E"/>
    <w:rsid w:val="00CB1DF9"/>
    <w:rsid w:val="00CB21D4"/>
    <w:rsid w:val="00CB3FF2"/>
    <w:rsid w:val="00CB5F7F"/>
    <w:rsid w:val="00CC00FC"/>
    <w:rsid w:val="00CC018A"/>
    <w:rsid w:val="00CC02A2"/>
    <w:rsid w:val="00CC2B46"/>
    <w:rsid w:val="00CC304C"/>
    <w:rsid w:val="00CC3260"/>
    <w:rsid w:val="00CC4117"/>
    <w:rsid w:val="00CC47BD"/>
    <w:rsid w:val="00CC62F7"/>
    <w:rsid w:val="00CC65D1"/>
    <w:rsid w:val="00CC6F98"/>
    <w:rsid w:val="00CD046C"/>
    <w:rsid w:val="00CD0537"/>
    <w:rsid w:val="00CD1AEC"/>
    <w:rsid w:val="00CD219D"/>
    <w:rsid w:val="00CD2275"/>
    <w:rsid w:val="00CD3B5C"/>
    <w:rsid w:val="00CD42BA"/>
    <w:rsid w:val="00CD4BD1"/>
    <w:rsid w:val="00CD7F49"/>
    <w:rsid w:val="00CE001D"/>
    <w:rsid w:val="00CE0146"/>
    <w:rsid w:val="00CE0A55"/>
    <w:rsid w:val="00CE0CE6"/>
    <w:rsid w:val="00CE202D"/>
    <w:rsid w:val="00CE20B3"/>
    <w:rsid w:val="00CE2C50"/>
    <w:rsid w:val="00CE39AA"/>
    <w:rsid w:val="00CE3F27"/>
    <w:rsid w:val="00CE461E"/>
    <w:rsid w:val="00CE5FDD"/>
    <w:rsid w:val="00CE67BA"/>
    <w:rsid w:val="00CE68D6"/>
    <w:rsid w:val="00CE77AC"/>
    <w:rsid w:val="00CF054A"/>
    <w:rsid w:val="00CF05F7"/>
    <w:rsid w:val="00CF1A9F"/>
    <w:rsid w:val="00CF22C9"/>
    <w:rsid w:val="00CF2620"/>
    <w:rsid w:val="00CF3178"/>
    <w:rsid w:val="00CF40FC"/>
    <w:rsid w:val="00CF419F"/>
    <w:rsid w:val="00CF45FD"/>
    <w:rsid w:val="00CF4857"/>
    <w:rsid w:val="00CF4A8F"/>
    <w:rsid w:val="00D006AB"/>
    <w:rsid w:val="00D00B74"/>
    <w:rsid w:val="00D033CF"/>
    <w:rsid w:val="00D07183"/>
    <w:rsid w:val="00D07EF8"/>
    <w:rsid w:val="00D10B8A"/>
    <w:rsid w:val="00D116B0"/>
    <w:rsid w:val="00D12138"/>
    <w:rsid w:val="00D12614"/>
    <w:rsid w:val="00D13011"/>
    <w:rsid w:val="00D13F0A"/>
    <w:rsid w:val="00D14741"/>
    <w:rsid w:val="00D17536"/>
    <w:rsid w:val="00D20357"/>
    <w:rsid w:val="00D2194A"/>
    <w:rsid w:val="00D21F8D"/>
    <w:rsid w:val="00D22FBF"/>
    <w:rsid w:val="00D2542B"/>
    <w:rsid w:val="00D2554C"/>
    <w:rsid w:val="00D26581"/>
    <w:rsid w:val="00D2712B"/>
    <w:rsid w:val="00D27A54"/>
    <w:rsid w:val="00D3099F"/>
    <w:rsid w:val="00D30E92"/>
    <w:rsid w:val="00D32F55"/>
    <w:rsid w:val="00D332DF"/>
    <w:rsid w:val="00D334D1"/>
    <w:rsid w:val="00D33FBC"/>
    <w:rsid w:val="00D34041"/>
    <w:rsid w:val="00D35358"/>
    <w:rsid w:val="00D355B1"/>
    <w:rsid w:val="00D366F2"/>
    <w:rsid w:val="00D400A7"/>
    <w:rsid w:val="00D40A4C"/>
    <w:rsid w:val="00D41426"/>
    <w:rsid w:val="00D45425"/>
    <w:rsid w:val="00D46406"/>
    <w:rsid w:val="00D46480"/>
    <w:rsid w:val="00D46C8C"/>
    <w:rsid w:val="00D4740A"/>
    <w:rsid w:val="00D52147"/>
    <w:rsid w:val="00D537CC"/>
    <w:rsid w:val="00D53A10"/>
    <w:rsid w:val="00D54150"/>
    <w:rsid w:val="00D553B5"/>
    <w:rsid w:val="00D554A2"/>
    <w:rsid w:val="00D55644"/>
    <w:rsid w:val="00D5578B"/>
    <w:rsid w:val="00D55ABF"/>
    <w:rsid w:val="00D55AC0"/>
    <w:rsid w:val="00D5695B"/>
    <w:rsid w:val="00D56B30"/>
    <w:rsid w:val="00D576A0"/>
    <w:rsid w:val="00D57F95"/>
    <w:rsid w:val="00D6013C"/>
    <w:rsid w:val="00D618BB"/>
    <w:rsid w:val="00D63428"/>
    <w:rsid w:val="00D63600"/>
    <w:rsid w:val="00D64D0A"/>
    <w:rsid w:val="00D654AB"/>
    <w:rsid w:val="00D67CB3"/>
    <w:rsid w:val="00D70C22"/>
    <w:rsid w:val="00D71309"/>
    <w:rsid w:val="00D71A30"/>
    <w:rsid w:val="00D7218C"/>
    <w:rsid w:val="00D736BA"/>
    <w:rsid w:val="00D7492F"/>
    <w:rsid w:val="00D774AE"/>
    <w:rsid w:val="00D80190"/>
    <w:rsid w:val="00D803F4"/>
    <w:rsid w:val="00D8041F"/>
    <w:rsid w:val="00D809A4"/>
    <w:rsid w:val="00D80B22"/>
    <w:rsid w:val="00D819B2"/>
    <w:rsid w:val="00D82E6A"/>
    <w:rsid w:val="00D8350A"/>
    <w:rsid w:val="00D83841"/>
    <w:rsid w:val="00D8513C"/>
    <w:rsid w:val="00D85656"/>
    <w:rsid w:val="00D85F73"/>
    <w:rsid w:val="00D8795B"/>
    <w:rsid w:val="00D90AAF"/>
    <w:rsid w:val="00D912A6"/>
    <w:rsid w:val="00D916E3"/>
    <w:rsid w:val="00D9235D"/>
    <w:rsid w:val="00D94B63"/>
    <w:rsid w:val="00D94BCC"/>
    <w:rsid w:val="00D95367"/>
    <w:rsid w:val="00D96172"/>
    <w:rsid w:val="00D962BD"/>
    <w:rsid w:val="00D96536"/>
    <w:rsid w:val="00D96885"/>
    <w:rsid w:val="00DA1E82"/>
    <w:rsid w:val="00DA2249"/>
    <w:rsid w:val="00DA2584"/>
    <w:rsid w:val="00DA4224"/>
    <w:rsid w:val="00DA4CD8"/>
    <w:rsid w:val="00DB04E8"/>
    <w:rsid w:val="00DB10F1"/>
    <w:rsid w:val="00DB14C7"/>
    <w:rsid w:val="00DB2403"/>
    <w:rsid w:val="00DB32BE"/>
    <w:rsid w:val="00DB3E2F"/>
    <w:rsid w:val="00DB487F"/>
    <w:rsid w:val="00DB6303"/>
    <w:rsid w:val="00DB7451"/>
    <w:rsid w:val="00DB74A6"/>
    <w:rsid w:val="00DB7B18"/>
    <w:rsid w:val="00DB7B36"/>
    <w:rsid w:val="00DC01B9"/>
    <w:rsid w:val="00DC0B57"/>
    <w:rsid w:val="00DC1762"/>
    <w:rsid w:val="00DC1801"/>
    <w:rsid w:val="00DC1D54"/>
    <w:rsid w:val="00DC3333"/>
    <w:rsid w:val="00DC3BDE"/>
    <w:rsid w:val="00DC55BE"/>
    <w:rsid w:val="00DC65A7"/>
    <w:rsid w:val="00DC6970"/>
    <w:rsid w:val="00DD0098"/>
    <w:rsid w:val="00DD036C"/>
    <w:rsid w:val="00DD0B4B"/>
    <w:rsid w:val="00DD2974"/>
    <w:rsid w:val="00DD2E96"/>
    <w:rsid w:val="00DD35A1"/>
    <w:rsid w:val="00DD36AF"/>
    <w:rsid w:val="00DD4239"/>
    <w:rsid w:val="00DD44AE"/>
    <w:rsid w:val="00DD46AE"/>
    <w:rsid w:val="00DD4CDC"/>
    <w:rsid w:val="00DD5E62"/>
    <w:rsid w:val="00DD7023"/>
    <w:rsid w:val="00DE083B"/>
    <w:rsid w:val="00DE23C4"/>
    <w:rsid w:val="00DE346A"/>
    <w:rsid w:val="00DE4054"/>
    <w:rsid w:val="00DE4775"/>
    <w:rsid w:val="00DE47BC"/>
    <w:rsid w:val="00DE49B5"/>
    <w:rsid w:val="00DE541F"/>
    <w:rsid w:val="00DE5776"/>
    <w:rsid w:val="00DE6487"/>
    <w:rsid w:val="00DE6B6A"/>
    <w:rsid w:val="00DF1411"/>
    <w:rsid w:val="00DF1518"/>
    <w:rsid w:val="00DF20AD"/>
    <w:rsid w:val="00DF33C7"/>
    <w:rsid w:val="00DF4EBB"/>
    <w:rsid w:val="00DF5344"/>
    <w:rsid w:val="00DF6572"/>
    <w:rsid w:val="00DF6A8A"/>
    <w:rsid w:val="00E0086C"/>
    <w:rsid w:val="00E00AEC"/>
    <w:rsid w:val="00E01481"/>
    <w:rsid w:val="00E02D20"/>
    <w:rsid w:val="00E033D8"/>
    <w:rsid w:val="00E04E1D"/>
    <w:rsid w:val="00E0582F"/>
    <w:rsid w:val="00E077A0"/>
    <w:rsid w:val="00E113D2"/>
    <w:rsid w:val="00E119CB"/>
    <w:rsid w:val="00E12A09"/>
    <w:rsid w:val="00E137A8"/>
    <w:rsid w:val="00E13C56"/>
    <w:rsid w:val="00E14DCD"/>
    <w:rsid w:val="00E156A9"/>
    <w:rsid w:val="00E156F7"/>
    <w:rsid w:val="00E163A5"/>
    <w:rsid w:val="00E16585"/>
    <w:rsid w:val="00E1781E"/>
    <w:rsid w:val="00E20A98"/>
    <w:rsid w:val="00E22A04"/>
    <w:rsid w:val="00E250EA"/>
    <w:rsid w:val="00E25355"/>
    <w:rsid w:val="00E260C1"/>
    <w:rsid w:val="00E2719F"/>
    <w:rsid w:val="00E30C22"/>
    <w:rsid w:val="00E322C8"/>
    <w:rsid w:val="00E33F15"/>
    <w:rsid w:val="00E3404D"/>
    <w:rsid w:val="00E34FF5"/>
    <w:rsid w:val="00E35562"/>
    <w:rsid w:val="00E35E67"/>
    <w:rsid w:val="00E36A49"/>
    <w:rsid w:val="00E37C4E"/>
    <w:rsid w:val="00E41912"/>
    <w:rsid w:val="00E434E5"/>
    <w:rsid w:val="00E446E8"/>
    <w:rsid w:val="00E449BA"/>
    <w:rsid w:val="00E46DF2"/>
    <w:rsid w:val="00E47D56"/>
    <w:rsid w:val="00E51F96"/>
    <w:rsid w:val="00E521B1"/>
    <w:rsid w:val="00E5251B"/>
    <w:rsid w:val="00E531B6"/>
    <w:rsid w:val="00E53651"/>
    <w:rsid w:val="00E557B9"/>
    <w:rsid w:val="00E5633F"/>
    <w:rsid w:val="00E56F4F"/>
    <w:rsid w:val="00E57581"/>
    <w:rsid w:val="00E57D68"/>
    <w:rsid w:val="00E60611"/>
    <w:rsid w:val="00E60827"/>
    <w:rsid w:val="00E62452"/>
    <w:rsid w:val="00E62BA4"/>
    <w:rsid w:val="00E642F8"/>
    <w:rsid w:val="00E6566E"/>
    <w:rsid w:val="00E65CC3"/>
    <w:rsid w:val="00E65F46"/>
    <w:rsid w:val="00E66646"/>
    <w:rsid w:val="00E673E5"/>
    <w:rsid w:val="00E675B1"/>
    <w:rsid w:val="00E702EF"/>
    <w:rsid w:val="00E710DB"/>
    <w:rsid w:val="00E74F4D"/>
    <w:rsid w:val="00E77783"/>
    <w:rsid w:val="00E8070E"/>
    <w:rsid w:val="00E81573"/>
    <w:rsid w:val="00E82795"/>
    <w:rsid w:val="00E84633"/>
    <w:rsid w:val="00E849C4"/>
    <w:rsid w:val="00E8672B"/>
    <w:rsid w:val="00E9047A"/>
    <w:rsid w:val="00E909F6"/>
    <w:rsid w:val="00E913F7"/>
    <w:rsid w:val="00E91B61"/>
    <w:rsid w:val="00E91B81"/>
    <w:rsid w:val="00E91DD6"/>
    <w:rsid w:val="00E9282C"/>
    <w:rsid w:val="00E94367"/>
    <w:rsid w:val="00E94895"/>
    <w:rsid w:val="00E9615A"/>
    <w:rsid w:val="00E969E5"/>
    <w:rsid w:val="00E97759"/>
    <w:rsid w:val="00EA2075"/>
    <w:rsid w:val="00EA2E0D"/>
    <w:rsid w:val="00EA412E"/>
    <w:rsid w:val="00EA48CA"/>
    <w:rsid w:val="00EA4AF8"/>
    <w:rsid w:val="00EA530C"/>
    <w:rsid w:val="00EA617A"/>
    <w:rsid w:val="00EA7D8B"/>
    <w:rsid w:val="00EB0A0E"/>
    <w:rsid w:val="00EB422D"/>
    <w:rsid w:val="00EB4696"/>
    <w:rsid w:val="00EB6760"/>
    <w:rsid w:val="00EC031A"/>
    <w:rsid w:val="00EC299D"/>
    <w:rsid w:val="00EC2D09"/>
    <w:rsid w:val="00EC3367"/>
    <w:rsid w:val="00EC3F78"/>
    <w:rsid w:val="00EC429D"/>
    <w:rsid w:val="00EC43BF"/>
    <w:rsid w:val="00EC4836"/>
    <w:rsid w:val="00EC51D1"/>
    <w:rsid w:val="00EC690C"/>
    <w:rsid w:val="00EC7633"/>
    <w:rsid w:val="00EC7FB0"/>
    <w:rsid w:val="00ED023C"/>
    <w:rsid w:val="00ED165A"/>
    <w:rsid w:val="00ED1F38"/>
    <w:rsid w:val="00ED2CBA"/>
    <w:rsid w:val="00ED38C1"/>
    <w:rsid w:val="00ED4C54"/>
    <w:rsid w:val="00ED55BA"/>
    <w:rsid w:val="00ED69FB"/>
    <w:rsid w:val="00ED7D5C"/>
    <w:rsid w:val="00EE2DEE"/>
    <w:rsid w:val="00EE3780"/>
    <w:rsid w:val="00EE3CAC"/>
    <w:rsid w:val="00EE58C3"/>
    <w:rsid w:val="00EE7C05"/>
    <w:rsid w:val="00EF03AC"/>
    <w:rsid w:val="00EF0981"/>
    <w:rsid w:val="00EF2261"/>
    <w:rsid w:val="00EF30F4"/>
    <w:rsid w:val="00EF3349"/>
    <w:rsid w:val="00EF375E"/>
    <w:rsid w:val="00EF6356"/>
    <w:rsid w:val="00EF6601"/>
    <w:rsid w:val="00EF69C3"/>
    <w:rsid w:val="00EF7276"/>
    <w:rsid w:val="00EF7774"/>
    <w:rsid w:val="00F00421"/>
    <w:rsid w:val="00F0157E"/>
    <w:rsid w:val="00F0215E"/>
    <w:rsid w:val="00F021A9"/>
    <w:rsid w:val="00F04967"/>
    <w:rsid w:val="00F055B0"/>
    <w:rsid w:val="00F0700D"/>
    <w:rsid w:val="00F07054"/>
    <w:rsid w:val="00F1079A"/>
    <w:rsid w:val="00F10966"/>
    <w:rsid w:val="00F11D49"/>
    <w:rsid w:val="00F12DDF"/>
    <w:rsid w:val="00F130BF"/>
    <w:rsid w:val="00F1354F"/>
    <w:rsid w:val="00F138B0"/>
    <w:rsid w:val="00F13C92"/>
    <w:rsid w:val="00F14285"/>
    <w:rsid w:val="00F14C9E"/>
    <w:rsid w:val="00F15830"/>
    <w:rsid w:val="00F15B94"/>
    <w:rsid w:val="00F15F33"/>
    <w:rsid w:val="00F162A1"/>
    <w:rsid w:val="00F163AA"/>
    <w:rsid w:val="00F20346"/>
    <w:rsid w:val="00F20AAF"/>
    <w:rsid w:val="00F2343E"/>
    <w:rsid w:val="00F23AA5"/>
    <w:rsid w:val="00F2412E"/>
    <w:rsid w:val="00F2563E"/>
    <w:rsid w:val="00F256A7"/>
    <w:rsid w:val="00F268D4"/>
    <w:rsid w:val="00F27406"/>
    <w:rsid w:val="00F27BA1"/>
    <w:rsid w:val="00F27E85"/>
    <w:rsid w:val="00F3024A"/>
    <w:rsid w:val="00F30FFA"/>
    <w:rsid w:val="00F318BD"/>
    <w:rsid w:val="00F33340"/>
    <w:rsid w:val="00F33C7E"/>
    <w:rsid w:val="00F33E5A"/>
    <w:rsid w:val="00F34FD9"/>
    <w:rsid w:val="00F3682D"/>
    <w:rsid w:val="00F36EE4"/>
    <w:rsid w:val="00F37D47"/>
    <w:rsid w:val="00F4062C"/>
    <w:rsid w:val="00F413D3"/>
    <w:rsid w:val="00F423DD"/>
    <w:rsid w:val="00F45565"/>
    <w:rsid w:val="00F4569D"/>
    <w:rsid w:val="00F45750"/>
    <w:rsid w:val="00F46215"/>
    <w:rsid w:val="00F4683C"/>
    <w:rsid w:val="00F50A7C"/>
    <w:rsid w:val="00F51DCB"/>
    <w:rsid w:val="00F5200C"/>
    <w:rsid w:val="00F53561"/>
    <w:rsid w:val="00F54394"/>
    <w:rsid w:val="00F5613B"/>
    <w:rsid w:val="00F564A1"/>
    <w:rsid w:val="00F56E9C"/>
    <w:rsid w:val="00F57CB6"/>
    <w:rsid w:val="00F57F25"/>
    <w:rsid w:val="00F57F3D"/>
    <w:rsid w:val="00F6088D"/>
    <w:rsid w:val="00F617E8"/>
    <w:rsid w:val="00F62A45"/>
    <w:rsid w:val="00F62A57"/>
    <w:rsid w:val="00F63945"/>
    <w:rsid w:val="00F63DAD"/>
    <w:rsid w:val="00F641E4"/>
    <w:rsid w:val="00F64E5D"/>
    <w:rsid w:val="00F66764"/>
    <w:rsid w:val="00F67171"/>
    <w:rsid w:val="00F71752"/>
    <w:rsid w:val="00F730E1"/>
    <w:rsid w:val="00F736D0"/>
    <w:rsid w:val="00F73FEC"/>
    <w:rsid w:val="00F747A6"/>
    <w:rsid w:val="00F754B9"/>
    <w:rsid w:val="00F75B1B"/>
    <w:rsid w:val="00F75DF4"/>
    <w:rsid w:val="00F80B99"/>
    <w:rsid w:val="00F83029"/>
    <w:rsid w:val="00F8310C"/>
    <w:rsid w:val="00F8352E"/>
    <w:rsid w:val="00F842D1"/>
    <w:rsid w:val="00F85B4C"/>
    <w:rsid w:val="00F876F7"/>
    <w:rsid w:val="00F87AAC"/>
    <w:rsid w:val="00F90187"/>
    <w:rsid w:val="00F91045"/>
    <w:rsid w:val="00F9112D"/>
    <w:rsid w:val="00F91335"/>
    <w:rsid w:val="00F91341"/>
    <w:rsid w:val="00F94921"/>
    <w:rsid w:val="00F9780C"/>
    <w:rsid w:val="00FA30BB"/>
    <w:rsid w:val="00FA405A"/>
    <w:rsid w:val="00FA4443"/>
    <w:rsid w:val="00FA54DD"/>
    <w:rsid w:val="00FA58B2"/>
    <w:rsid w:val="00FA5DDF"/>
    <w:rsid w:val="00FA6B96"/>
    <w:rsid w:val="00FA7618"/>
    <w:rsid w:val="00FA7CAD"/>
    <w:rsid w:val="00FB0304"/>
    <w:rsid w:val="00FB2BF6"/>
    <w:rsid w:val="00FB324F"/>
    <w:rsid w:val="00FB347C"/>
    <w:rsid w:val="00FB3628"/>
    <w:rsid w:val="00FB5B60"/>
    <w:rsid w:val="00FB5E37"/>
    <w:rsid w:val="00FB71FD"/>
    <w:rsid w:val="00FC14FD"/>
    <w:rsid w:val="00FC1956"/>
    <w:rsid w:val="00FC1DE4"/>
    <w:rsid w:val="00FC3289"/>
    <w:rsid w:val="00FC5FE4"/>
    <w:rsid w:val="00FC710C"/>
    <w:rsid w:val="00FD2000"/>
    <w:rsid w:val="00FD2629"/>
    <w:rsid w:val="00FD2734"/>
    <w:rsid w:val="00FD2EE7"/>
    <w:rsid w:val="00FD350A"/>
    <w:rsid w:val="00FD4C85"/>
    <w:rsid w:val="00FD55BF"/>
    <w:rsid w:val="00FD5A20"/>
    <w:rsid w:val="00FD7540"/>
    <w:rsid w:val="00FD7FF1"/>
    <w:rsid w:val="00FE08F4"/>
    <w:rsid w:val="00FE1AC7"/>
    <w:rsid w:val="00FE1D64"/>
    <w:rsid w:val="00FE2F45"/>
    <w:rsid w:val="00FE3B74"/>
    <w:rsid w:val="00FE3CA1"/>
    <w:rsid w:val="00FE444A"/>
    <w:rsid w:val="00FE5E11"/>
    <w:rsid w:val="00FE653C"/>
    <w:rsid w:val="00FF15F8"/>
    <w:rsid w:val="00FF1F57"/>
    <w:rsid w:val="00FF21C5"/>
    <w:rsid w:val="00FF28D8"/>
    <w:rsid w:val="00FF4254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1BD9D"/>
  <w15:docId w15:val="{F0070939-A8F8-4219-9D75-E1ABA3A7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18A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7A75C6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4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9D"/>
  </w:style>
  <w:style w:type="paragraph" w:styleId="Footer">
    <w:name w:val="footer"/>
    <w:basedOn w:val="Normal"/>
    <w:link w:val="FooterChar"/>
    <w:uiPriority w:val="99"/>
    <w:unhideWhenUsed/>
    <w:rsid w:val="00AE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9D"/>
  </w:style>
  <w:style w:type="paragraph" w:styleId="BalloonText">
    <w:name w:val="Balloon Text"/>
    <w:basedOn w:val="Normal"/>
    <w:link w:val="BalloonTextChar"/>
    <w:uiPriority w:val="99"/>
    <w:semiHidden/>
    <w:unhideWhenUsed/>
    <w:rsid w:val="0097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2C3E6A"/>
  </w:style>
  <w:style w:type="character" w:styleId="CommentReference">
    <w:name w:val="annotation reference"/>
    <w:basedOn w:val="DefaultParagraphFont"/>
    <w:uiPriority w:val="99"/>
    <w:semiHidden/>
    <w:unhideWhenUsed/>
    <w:rsid w:val="00CD2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19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33FBC"/>
    <w:rPr>
      <w:color w:val="808080"/>
    </w:rPr>
  </w:style>
  <w:style w:type="character" w:styleId="PageNumber">
    <w:name w:val="page number"/>
    <w:basedOn w:val="DefaultParagraphFont"/>
    <w:uiPriority w:val="99"/>
    <w:rsid w:val="001E0838"/>
    <w:rPr>
      <w:rFonts w:cs="Times New Roman"/>
    </w:rPr>
  </w:style>
  <w:style w:type="character" w:customStyle="1" w:styleId="st">
    <w:name w:val="st"/>
    <w:basedOn w:val="DefaultParagraphFont"/>
    <w:rsid w:val="00EC429D"/>
  </w:style>
  <w:style w:type="paragraph" w:styleId="Revision">
    <w:name w:val="Revision"/>
    <w:hidden/>
    <w:uiPriority w:val="99"/>
    <w:semiHidden/>
    <w:rsid w:val="00CD42BA"/>
    <w:pPr>
      <w:spacing w:after="0" w:line="240" w:lineRule="auto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63333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333D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A06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214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23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A75C6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74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82377A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Heading1Char"/>
    <w:link w:val="EndNoteBibliographyTitle"/>
    <w:rsid w:val="0082377A"/>
    <w:rPr>
      <w:rFonts w:ascii="Times New Roman" w:eastAsiaTheme="majorEastAsia" w:hAnsi="Times New Roman" w:cs="Times New Roman"/>
      <w:b w:val="0"/>
      <w:noProof/>
      <w:szCs w:val="32"/>
    </w:rPr>
  </w:style>
  <w:style w:type="paragraph" w:customStyle="1" w:styleId="EndNoteBibliography">
    <w:name w:val="EndNote Bibliography"/>
    <w:basedOn w:val="Normal"/>
    <w:link w:val="EndNoteBibliographyChar"/>
    <w:rsid w:val="0082377A"/>
    <w:pPr>
      <w:spacing w:line="48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Heading1Char"/>
    <w:link w:val="EndNoteBibliography"/>
    <w:rsid w:val="0082377A"/>
    <w:rPr>
      <w:rFonts w:ascii="Times New Roman" w:eastAsiaTheme="majorEastAsia" w:hAnsi="Times New Roman" w:cs="Times New Roman"/>
      <w:b w:val="0"/>
      <w:noProof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237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1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2181">
                  <w:marLeft w:val="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632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90737943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2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3593792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087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36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8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C17D-5F9A-4027-AFCD-31E9FB72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Cancer Center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Voth, Andrea (NIH/NCI) [C]</dc:creator>
  <cp:lastModifiedBy>Medical Writing Unit</cp:lastModifiedBy>
  <cp:revision>186</cp:revision>
  <cp:lastPrinted>2017-06-13T18:31:00Z</cp:lastPrinted>
  <dcterms:created xsi:type="dcterms:W3CDTF">2016-09-23T22:08:00Z</dcterms:created>
  <dcterms:modified xsi:type="dcterms:W3CDTF">2017-12-11T13:54:00Z</dcterms:modified>
</cp:coreProperties>
</file>