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7BC07" w14:textId="77777777" w:rsidR="00582800" w:rsidRDefault="00582800" w:rsidP="00582800">
      <w:pPr>
        <w:pStyle w:val="Acknowledgement"/>
        <w:spacing w:line="480" w:lineRule="auto"/>
        <w:ind w:left="0" w:firstLine="0"/>
        <w:outlineLvl w:val="0"/>
        <w:rPr>
          <w:b/>
          <w:color w:val="000000" w:themeColor="text1"/>
        </w:rPr>
      </w:pPr>
      <w:r w:rsidRPr="00CC5739">
        <w:rPr>
          <w:b/>
          <w:color w:val="000000" w:themeColor="text1"/>
        </w:rPr>
        <w:t>Supplementary Methods</w:t>
      </w:r>
    </w:p>
    <w:p w14:paraId="119934E1" w14:textId="77777777" w:rsidR="003C5FF6" w:rsidRPr="00CC5739" w:rsidRDefault="003C5FF6" w:rsidP="00582800">
      <w:pPr>
        <w:pStyle w:val="Acknowledgement"/>
        <w:spacing w:line="480" w:lineRule="auto"/>
        <w:ind w:left="0" w:firstLine="0"/>
        <w:outlineLvl w:val="0"/>
        <w:rPr>
          <w:b/>
          <w:color w:val="000000" w:themeColor="text1"/>
        </w:rPr>
      </w:pPr>
    </w:p>
    <w:p w14:paraId="421A42AE" w14:textId="77777777" w:rsidR="00582800" w:rsidRPr="00CC5739" w:rsidRDefault="00582800" w:rsidP="00582800">
      <w:pPr>
        <w:spacing w:line="480" w:lineRule="auto"/>
        <w:rPr>
          <w:b/>
          <w:color w:val="000000" w:themeColor="text1"/>
          <w:sz w:val="24"/>
          <w:szCs w:val="24"/>
          <w:lang w:val="en-GB"/>
        </w:rPr>
      </w:pPr>
      <w:r w:rsidRPr="00CC5739">
        <w:rPr>
          <w:b/>
          <w:color w:val="000000" w:themeColor="text1"/>
          <w:sz w:val="24"/>
          <w:szCs w:val="24"/>
          <w:lang w:val="en-GB"/>
        </w:rPr>
        <w:t>Cell lines</w:t>
      </w:r>
    </w:p>
    <w:p w14:paraId="7BAD4AC4" w14:textId="38511EA2" w:rsidR="00582800" w:rsidRPr="00CC5739" w:rsidRDefault="00582800" w:rsidP="00582800">
      <w:pPr>
        <w:pStyle w:val="Acknowledgement"/>
        <w:spacing w:line="480" w:lineRule="auto"/>
        <w:ind w:left="0" w:firstLine="720"/>
        <w:outlineLvl w:val="0"/>
        <w:rPr>
          <w:color w:val="000000" w:themeColor="text1"/>
          <w:lang w:val="en-GB"/>
        </w:rPr>
      </w:pPr>
      <w:r w:rsidRPr="00CC5739">
        <w:rPr>
          <w:color w:val="000000" w:themeColor="text1"/>
          <w:lang w:val="en-GB"/>
        </w:rPr>
        <w:t>RT112 and T24 cells were grown in RPMI medium (Sigma) and CAL29 in Dulbecco’s modified Eagle medium (DMEM, Invitrogen). Media were supplemented with 10% foetal bovine serum (FBS, Invitrogen).</w:t>
      </w:r>
    </w:p>
    <w:p w14:paraId="65955419" w14:textId="77777777" w:rsidR="00582800" w:rsidRPr="00CC5739" w:rsidRDefault="00582800" w:rsidP="00582800">
      <w:pPr>
        <w:pStyle w:val="Acknowledgement"/>
        <w:spacing w:line="480" w:lineRule="auto"/>
        <w:ind w:left="0" w:firstLine="720"/>
        <w:outlineLvl w:val="0"/>
        <w:rPr>
          <w:b/>
          <w:color w:val="000000" w:themeColor="text1"/>
        </w:rPr>
      </w:pPr>
    </w:p>
    <w:p w14:paraId="26CC7413" w14:textId="77777777" w:rsidR="003B3149" w:rsidRPr="00CC5739" w:rsidRDefault="003B3149" w:rsidP="003B3149">
      <w:pPr>
        <w:spacing w:line="480" w:lineRule="auto"/>
        <w:rPr>
          <w:b/>
          <w:color w:val="000000" w:themeColor="text1"/>
          <w:sz w:val="24"/>
          <w:szCs w:val="24"/>
          <w:shd w:val="clear" w:color="auto" w:fill="FFFFFF"/>
          <w:lang w:val="en-GB"/>
        </w:rPr>
      </w:pPr>
      <w:r w:rsidRPr="00CC5739">
        <w:rPr>
          <w:b/>
          <w:color w:val="000000" w:themeColor="text1"/>
          <w:sz w:val="24"/>
          <w:szCs w:val="24"/>
          <w:shd w:val="clear" w:color="auto" w:fill="FFFFFF"/>
          <w:lang w:val="en-GB"/>
        </w:rPr>
        <w:t>Panobinostat concentration levels in plasma, xenografts, bladder and intestines</w:t>
      </w:r>
    </w:p>
    <w:p w14:paraId="0C8DB22E" w14:textId="77777777" w:rsidR="003B3149" w:rsidRPr="00CC5739" w:rsidRDefault="003B3149" w:rsidP="003B3149">
      <w:pPr>
        <w:spacing w:line="480" w:lineRule="auto"/>
        <w:ind w:firstLine="708"/>
        <w:rPr>
          <w:rFonts w:eastAsia="Cambria"/>
          <w:color w:val="000000" w:themeColor="text1"/>
          <w:sz w:val="24"/>
          <w:szCs w:val="24"/>
        </w:rPr>
      </w:pPr>
      <w:r w:rsidRPr="00CC5739">
        <w:rPr>
          <w:color w:val="000000" w:themeColor="text1"/>
          <w:sz w:val="24"/>
          <w:szCs w:val="24"/>
          <w:lang w:val="en-GB"/>
        </w:rPr>
        <w:t>CD1-nude mice bearing 100 mm</w:t>
      </w:r>
      <w:r w:rsidRPr="00CC5739">
        <w:rPr>
          <w:color w:val="000000" w:themeColor="text1"/>
          <w:sz w:val="24"/>
          <w:szCs w:val="24"/>
          <w:vertAlign w:val="superscript"/>
          <w:lang w:val="en-GB"/>
        </w:rPr>
        <w:t xml:space="preserve">3 </w:t>
      </w:r>
      <w:r w:rsidRPr="00CC5739">
        <w:rPr>
          <w:color w:val="000000" w:themeColor="text1"/>
          <w:sz w:val="24"/>
          <w:szCs w:val="24"/>
          <w:lang w:val="en-GB"/>
        </w:rPr>
        <w:t xml:space="preserve">RT112 xenografts </w:t>
      </w:r>
      <w:r w:rsidRPr="00CC5739">
        <w:rPr>
          <w:rFonts w:eastAsia="Times New Roman"/>
          <w:color w:val="000000" w:themeColor="text1"/>
          <w:sz w:val="24"/>
          <w:szCs w:val="24"/>
          <w:lang w:val="en-GB" w:eastAsia="sl-SI"/>
        </w:rPr>
        <w:t xml:space="preserve">were injected with 10 mg/kg PAN IP or intravenously (IV, tail vein), and culled 6 h later. Blood was immediately taken from the right heart using heparin-rinsed needles and placed in sodium citrate vials (Sarstedt Ltd, UK). Tumour, bladder, sections of small and large intestine and heart were excised and frozen in liquid nitrogen. Plasma was extracted from blood held at room temperature for 10 min, by centrifuging 1500 g for 10 min and supernatant was snap frozen on dry ice. </w:t>
      </w:r>
      <w:r w:rsidRPr="00CC5739">
        <w:rPr>
          <w:rFonts w:eastAsia="Cambria"/>
          <w:color w:val="000000" w:themeColor="text1"/>
          <w:sz w:val="24"/>
          <w:szCs w:val="24"/>
        </w:rPr>
        <w:t xml:space="preserve">Panobinostat concentrations were determined by HPLC-MS/MS after addition of internal standard (carbamazepine) and extraction with acetonitrile. Gradient HPLC was carried out on an Alliance 2695 HPLC system (Waters) using 10 mM formic acid as solvent A and acetonitrile as solvent B. Gradient was run over 5 min starting with solvent B at 20% and increasing to 70% under the flow rate of 0.25 mL/min. The column was an ACE C18, 3 </w:t>
      </w:r>
      <w:r w:rsidRPr="00CC5739">
        <w:rPr>
          <w:color w:val="000000" w:themeColor="text1"/>
          <w:sz w:val="24"/>
          <w:szCs w:val="24"/>
        </w:rPr>
        <w:t>μ</w:t>
      </w:r>
      <w:r w:rsidRPr="00CC5739">
        <w:rPr>
          <w:rFonts w:eastAsia="Cambria"/>
          <w:color w:val="000000" w:themeColor="text1"/>
          <w:sz w:val="24"/>
          <w:szCs w:val="24"/>
        </w:rPr>
        <w:t>m, 150 x 2.1 mm (Hichrom), and detection was done by tandem MS (Micromass Quattro Micro), panobinostat transition 349.9-158, carbamazepine 236.9-194.1.</w:t>
      </w:r>
    </w:p>
    <w:p w14:paraId="357FBAF2" w14:textId="77777777" w:rsidR="002F2010" w:rsidRPr="00CC5739" w:rsidRDefault="002F2010" w:rsidP="002F2010">
      <w:pPr>
        <w:spacing w:line="480" w:lineRule="auto"/>
        <w:rPr>
          <w:rFonts w:eastAsia="Cambria"/>
          <w:color w:val="000000" w:themeColor="text1"/>
          <w:sz w:val="24"/>
          <w:szCs w:val="24"/>
        </w:rPr>
      </w:pPr>
    </w:p>
    <w:p w14:paraId="78B79298" w14:textId="77777777" w:rsidR="002F2010" w:rsidRPr="00CC5739" w:rsidRDefault="002F2010" w:rsidP="002F2010">
      <w:pPr>
        <w:spacing w:line="480" w:lineRule="auto"/>
        <w:rPr>
          <w:b/>
          <w:color w:val="000000" w:themeColor="text1"/>
          <w:sz w:val="24"/>
          <w:szCs w:val="24"/>
          <w:shd w:val="clear" w:color="auto" w:fill="FFFFFF"/>
          <w:lang w:val="en-GB"/>
        </w:rPr>
      </w:pPr>
      <w:r w:rsidRPr="00CC5739">
        <w:rPr>
          <w:b/>
          <w:color w:val="000000" w:themeColor="text1"/>
          <w:sz w:val="24"/>
          <w:szCs w:val="24"/>
          <w:shd w:val="clear" w:color="auto" w:fill="FFFFFF"/>
          <w:lang w:val="en-GB"/>
        </w:rPr>
        <w:t>Normal tissue response models</w:t>
      </w:r>
    </w:p>
    <w:p w14:paraId="5AF304A0" w14:textId="7A251FC5" w:rsidR="002F2010" w:rsidRPr="00CC5739" w:rsidRDefault="002F2010" w:rsidP="002F2010">
      <w:pPr>
        <w:spacing w:line="480" w:lineRule="auto"/>
        <w:contextualSpacing/>
        <w:rPr>
          <w:b/>
          <w:i/>
          <w:color w:val="000000" w:themeColor="text1"/>
          <w:sz w:val="24"/>
          <w:szCs w:val="24"/>
          <w:shd w:val="clear" w:color="auto" w:fill="FFFFFF"/>
          <w:lang w:val="en-GB"/>
        </w:rPr>
      </w:pPr>
      <w:r w:rsidRPr="00CC5739">
        <w:rPr>
          <w:b/>
          <w:i/>
          <w:color w:val="000000" w:themeColor="text1"/>
          <w:sz w:val="24"/>
          <w:szCs w:val="24"/>
          <w:shd w:val="clear" w:color="auto" w:fill="FFFFFF"/>
          <w:lang w:val="en-GB"/>
        </w:rPr>
        <w:t>Drug treatment alone</w:t>
      </w:r>
    </w:p>
    <w:p w14:paraId="41979302" w14:textId="77777777" w:rsidR="002F2010" w:rsidRPr="00CC5739" w:rsidRDefault="002F2010" w:rsidP="002F2010">
      <w:pPr>
        <w:spacing w:line="480" w:lineRule="auto"/>
        <w:contextualSpacing/>
        <w:rPr>
          <w:color w:val="000000" w:themeColor="text1"/>
          <w:sz w:val="24"/>
          <w:szCs w:val="24"/>
          <w:shd w:val="clear" w:color="auto" w:fill="FFFFFF"/>
          <w:lang w:val="en-GB"/>
        </w:rPr>
      </w:pPr>
      <w:r w:rsidRPr="00CC5739">
        <w:rPr>
          <w:color w:val="000000" w:themeColor="text1"/>
          <w:sz w:val="24"/>
          <w:szCs w:val="24"/>
          <w:shd w:val="clear" w:color="auto" w:fill="FFFFFF"/>
          <w:lang w:val="en-GB"/>
        </w:rPr>
        <w:lastRenderedPageBreak/>
        <w:t>Small intestine was divided into three pieces of equal length to make “Swiss rolls”</w:t>
      </w:r>
      <w:r w:rsidRPr="00CC5739">
        <w:rPr>
          <w:color w:val="000000" w:themeColor="text1"/>
          <w:sz w:val="24"/>
          <w:szCs w:val="24"/>
          <w:lang w:val="en-GB"/>
        </w:rPr>
        <w:fldChar w:fldCharType="begin" w:fldLock="1"/>
      </w:r>
      <w:r w:rsidRPr="00CC5739">
        <w:rPr>
          <w:color w:val="000000" w:themeColor="text1"/>
          <w:sz w:val="24"/>
          <w:szCs w:val="24"/>
          <w:lang w:val="en-GB"/>
        </w:rPr>
        <w:instrText>ADDIN CSL_CITATION { "citationItems" : [ { "id" : "ITEM-1", "itemData" : { "DOI" : "10.1258/002367781780958577", "ISSN" : "0023-6772", "author" : [ { "dropping-particle" : "", "family" : "Moolenbeek", "given" : "C", "non-dropping-particle" : "", "parse-names" : false, "suffix" : "" }, { "dropping-particle" : "", "family" : "Ruitenberg", "given" : "EJ", "non-dropping-particle" : "", "parse-names" : false, "suffix" : "" } ], "container-title" : "Laboratory Animals", "id" : "ITEM-1", "issue" : "1", "issued" : { "date-parts" : [ [ "1981", "1", "1" ] ] }, "page" : "57-59", "title" : "The 'Swiss roll': a simple technique for histological studies of the rodent intestine", "type" : "article-journal", "volume" : "15" }, "uris" : [ "http://www.mendeley.com/documents/?uuid=2970bcf5-a7f9-40a4-b398-c0fd68301df0" ] } ], "mendeley" : { "formattedCitation" : "(17)", "plainTextFormattedCitation" : "(17)", "previouslyFormattedCitation" : "(16)" }, "properties" : { "noteIndex" : 0 }, "schema" : "https://github.com/citation-style-language/schema/raw/master/csl-citation.json" }</w:instrText>
      </w:r>
      <w:r w:rsidRPr="00CC5739">
        <w:rPr>
          <w:color w:val="000000" w:themeColor="text1"/>
          <w:sz w:val="24"/>
          <w:szCs w:val="24"/>
          <w:lang w:val="en-GB"/>
        </w:rPr>
        <w:fldChar w:fldCharType="separate"/>
      </w:r>
      <w:r w:rsidRPr="00CC5739">
        <w:rPr>
          <w:noProof/>
          <w:color w:val="000000" w:themeColor="text1"/>
          <w:sz w:val="24"/>
          <w:szCs w:val="24"/>
          <w:lang w:val="en-GB"/>
        </w:rPr>
        <w:t>(17)</w:t>
      </w:r>
      <w:r w:rsidRPr="00CC5739">
        <w:rPr>
          <w:color w:val="000000" w:themeColor="text1"/>
          <w:sz w:val="24"/>
          <w:szCs w:val="24"/>
          <w:lang w:val="en-GB"/>
        </w:rPr>
        <w:fldChar w:fldCharType="end"/>
      </w:r>
      <w:r w:rsidRPr="00CC5739">
        <w:rPr>
          <w:color w:val="000000" w:themeColor="text1"/>
          <w:sz w:val="24"/>
          <w:szCs w:val="24"/>
          <w:lang w:val="en-GB"/>
        </w:rPr>
        <w:t xml:space="preserve">. </w:t>
      </w:r>
      <w:r w:rsidRPr="00CC5739">
        <w:rPr>
          <w:color w:val="000000" w:themeColor="text1"/>
          <w:sz w:val="24"/>
          <w:szCs w:val="24"/>
          <w:shd w:val="clear" w:color="auto" w:fill="FFFFFF"/>
          <w:lang w:val="en-GB"/>
        </w:rPr>
        <w:t>The samples were formalin-fixed overnight in 10% neutral buffered formalin and stored in 70% ethanol prior to paraffin-embedding. Four micrometre sections were cut and stained for haematoxylin and eosin (H&amp;E), BrdU and cleaved caspase 3. Rat monoclonal antibody to BrdU (1 mg/mL, Abcam, ab6326) and rabbit monoclonal antibody to cleaved caspase 3 (5A1E, Cell Signalling, 9664) were diluted 200 times as the primary antibodies. Alexa Fluo 488 goat anti-rat (IgG, 2 mg/mL, Invitrogen) and Alexa Fluo 568 goat-anti rabbit (IgG, 2 mg/mL, Invitrogen) were diluted 1000 times as the secondary antibodies. Nuclei were stained with DAPI.</w:t>
      </w:r>
    </w:p>
    <w:p w14:paraId="146A5047" w14:textId="77777777" w:rsidR="0054296E" w:rsidRPr="00CC5739" w:rsidRDefault="0054296E" w:rsidP="0054296E">
      <w:pPr>
        <w:spacing w:line="480" w:lineRule="auto"/>
        <w:contextualSpacing/>
        <w:rPr>
          <w:b/>
          <w:i/>
          <w:color w:val="000000" w:themeColor="text1"/>
          <w:sz w:val="24"/>
          <w:szCs w:val="24"/>
          <w:shd w:val="clear" w:color="auto" w:fill="FFFFFF"/>
          <w:lang w:val="en-GB"/>
        </w:rPr>
      </w:pPr>
      <w:r w:rsidRPr="00CC5739">
        <w:rPr>
          <w:b/>
          <w:i/>
          <w:color w:val="000000" w:themeColor="text1"/>
          <w:sz w:val="24"/>
          <w:szCs w:val="24"/>
          <w:shd w:val="clear" w:color="auto" w:fill="FFFFFF"/>
          <w:lang w:val="en-GB"/>
        </w:rPr>
        <w:t>Drug/irradiation combinations</w:t>
      </w:r>
    </w:p>
    <w:p w14:paraId="0D3166D6" w14:textId="6C22C1B2" w:rsidR="0054296E" w:rsidRPr="00CC5739" w:rsidRDefault="0054296E" w:rsidP="0054296E">
      <w:pPr>
        <w:spacing w:line="480" w:lineRule="auto"/>
        <w:ind w:firstLine="708"/>
        <w:contextualSpacing/>
        <w:rPr>
          <w:color w:val="000000" w:themeColor="text1"/>
          <w:sz w:val="24"/>
          <w:szCs w:val="24"/>
          <w:lang w:val="en-GB"/>
        </w:rPr>
      </w:pPr>
      <w:r w:rsidRPr="00CC5739">
        <w:rPr>
          <w:color w:val="000000" w:themeColor="text1"/>
          <w:sz w:val="24"/>
          <w:szCs w:val="24"/>
          <w:lang w:val="en-GB"/>
        </w:rPr>
        <w:t xml:space="preserve">In acute effects experiments, Swiss rolls were made from large (one length) and small intestines (three consecutive lengths). Samples were stored in 10% neutral buffered formalin overnight, and then in 70% ethanol until further processing. Following embedding in paraffin, 4-5 </w:t>
      </w:r>
      <w:r w:rsidRPr="00CC5739">
        <w:rPr>
          <w:color w:val="000000" w:themeColor="text1"/>
          <w:sz w:val="24"/>
          <w:szCs w:val="24"/>
          <w:shd w:val="clear" w:color="auto" w:fill="FFFFFF"/>
          <w:lang w:val="en-GB"/>
        </w:rPr>
        <w:t>µm</w:t>
      </w:r>
      <w:r w:rsidRPr="00CC5739">
        <w:rPr>
          <w:color w:val="000000" w:themeColor="text1"/>
          <w:sz w:val="24"/>
          <w:szCs w:val="24"/>
          <w:lang w:val="en-GB"/>
        </w:rPr>
        <w:t xml:space="preserve"> sections were cut and stained with haematoxylin &amp; eosin (H&amp;E).</w:t>
      </w:r>
    </w:p>
    <w:p w14:paraId="0C6DAE4C" w14:textId="77777777" w:rsidR="0054296E" w:rsidRPr="00CC5739" w:rsidRDefault="0054296E" w:rsidP="0054296E">
      <w:pPr>
        <w:spacing w:line="480" w:lineRule="auto"/>
        <w:contextualSpacing/>
        <w:rPr>
          <w:color w:val="000000" w:themeColor="text1"/>
          <w:sz w:val="24"/>
          <w:szCs w:val="24"/>
          <w:lang w:val="en-GB"/>
        </w:rPr>
      </w:pPr>
    </w:p>
    <w:p w14:paraId="1152B5F7" w14:textId="77777777" w:rsidR="0054296E" w:rsidRPr="00CC5739" w:rsidRDefault="0054296E" w:rsidP="0054296E">
      <w:pPr>
        <w:spacing w:line="480" w:lineRule="auto"/>
        <w:rPr>
          <w:b/>
          <w:color w:val="000000" w:themeColor="text1"/>
          <w:sz w:val="24"/>
          <w:szCs w:val="24"/>
          <w:shd w:val="clear" w:color="auto" w:fill="FFFFFF"/>
          <w:lang w:val="en-GB"/>
        </w:rPr>
      </w:pPr>
      <w:r w:rsidRPr="00CC5739">
        <w:rPr>
          <w:b/>
          <w:color w:val="000000" w:themeColor="text1"/>
          <w:sz w:val="24"/>
          <w:szCs w:val="24"/>
          <w:shd w:val="clear" w:color="auto" w:fill="FFFFFF"/>
          <w:lang w:val="en-GB"/>
        </w:rPr>
        <w:t>Crypt assay</w:t>
      </w:r>
    </w:p>
    <w:p w14:paraId="10DCA691" w14:textId="4EA74C6D" w:rsidR="0054296E" w:rsidRPr="00CC5739" w:rsidRDefault="0054296E" w:rsidP="00586AC5">
      <w:pPr>
        <w:spacing w:line="480" w:lineRule="auto"/>
        <w:ind w:firstLine="708"/>
        <w:rPr>
          <w:color w:val="000000" w:themeColor="text1"/>
          <w:sz w:val="24"/>
          <w:szCs w:val="24"/>
          <w:lang w:val="en-GB"/>
        </w:rPr>
      </w:pPr>
      <w:r w:rsidRPr="00CC5739">
        <w:rPr>
          <w:color w:val="000000" w:themeColor="text1"/>
          <w:sz w:val="24"/>
          <w:szCs w:val="24"/>
          <w:lang w:val="en-GB"/>
        </w:rPr>
        <w:t xml:space="preserve">H&amp;E-stained Swiss roll slides were grouped per mouse, anonymised, and scanned using an </w:t>
      </w:r>
      <w:r w:rsidRPr="00CC5739">
        <w:rPr>
          <w:color w:val="000000" w:themeColor="text1"/>
          <w:sz w:val="24"/>
          <w:szCs w:val="24"/>
          <w:shd w:val="clear" w:color="auto" w:fill="FFFFFF"/>
          <w:lang w:val="en-GB"/>
        </w:rPr>
        <w:t>Aperio CS2 digital pathology scanner (Leica)</w:t>
      </w:r>
      <w:r w:rsidRPr="00CC5739">
        <w:rPr>
          <w:color w:val="000000" w:themeColor="text1"/>
          <w:sz w:val="24"/>
          <w:szCs w:val="24"/>
          <w:lang w:val="en-GB"/>
        </w:rPr>
        <w:t xml:space="preserve">. As only part of the abdomen had been irradiated, two independent observers selected the most affected areas in each Swiss roll and reached consensus. No crypt loss was observed for mice treated with only panobinostat or gemcitabine. Irradiated mouse samples were excluded if there was less than 3 mm of intestinal damage. One observer counted regenerating crypts (the presence of &gt;10 cells arranged in a distinct shape with no sign of apoptosis). The control number of crypts per length of small intestine, for each of the three small intestinal lengths (si1, si2, si3), was determined from the mean of two mock and one panobinostat-treated mice (Figure 3C) or </w:t>
      </w:r>
      <w:r w:rsidRPr="00CC5739">
        <w:rPr>
          <w:color w:val="000000" w:themeColor="text1"/>
          <w:sz w:val="24"/>
          <w:szCs w:val="24"/>
          <w:lang w:val="en-GB"/>
        </w:rPr>
        <w:lastRenderedPageBreak/>
        <w:t>two mock, one panobinostat-treated and one gemcitabine-treated mice (Figure 3D). The percentage of surviving crypts was calculated as:</w:t>
      </w:r>
    </w:p>
    <w:p w14:paraId="2EB08C17" w14:textId="557CE753" w:rsidR="00EC65E3" w:rsidRDefault="00EC65E3" w:rsidP="0054296E">
      <w:pPr>
        <w:ind w:firstLine="708"/>
        <w:rPr>
          <w:color w:val="000000" w:themeColor="text1"/>
          <w:sz w:val="24"/>
          <w:szCs w:val="24"/>
          <w:lang w:val="en-GB"/>
        </w:rPr>
      </w:pPr>
      <w:r>
        <w:rPr>
          <w:color w:val="000000" w:themeColor="text1"/>
          <w:sz w:val="24"/>
          <w:szCs w:val="24"/>
          <w:u w:val="single"/>
          <w:lang w:val="en-GB"/>
        </w:rPr>
        <w:t>Number of regenerating crypts per mm</w:t>
      </w:r>
      <w:r>
        <w:rPr>
          <w:color w:val="000000" w:themeColor="text1"/>
          <w:sz w:val="24"/>
          <w:szCs w:val="24"/>
          <w:lang w:val="en-GB"/>
        </w:rPr>
        <w:t xml:space="preserve"> x 100</w:t>
      </w:r>
    </w:p>
    <w:p w14:paraId="72E1A4D1" w14:textId="66D417E7" w:rsidR="00EC65E3" w:rsidRPr="00EC65E3" w:rsidRDefault="00EC65E3" w:rsidP="0054296E">
      <w:pPr>
        <w:ind w:firstLine="708"/>
        <w:rPr>
          <w:color w:val="000000" w:themeColor="text1"/>
          <w:sz w:val="24"/>
          <w:szCs w:val="24"/>
          <w:lang w:val="en-GB"/>
        </w:rPr>
      </w:pPr>
      <w:r>
        <w:rPr>
          <w:color w:val="000000" w:themeColor="text1"/>
          <w:sz w:val="24"/>
          <w:szCs w:val="24"/>
          <w:lang w:val="en-GB"/>
        </w:rPr>
        <w:t xml:space="preserve">   Number of control crypts per mm</w:t>
      </w:r>
    </w:p>
    <w:p w14:paraId="45B30DE8" w14:textId="77777777" w:rsidR="0054296E" w:rsidRPr="00CC5739" w:rsidRDefault="0054296E" w:rsidP="0054296E">
      <w:pPr>
        <w:spacing w:line="480" w:lineRule="auto"/>
        <w:ind w:firstLine="708"/>
        <w:rPr>
          <w:color w:val="000000" w:themeColor="text1"/>
          <w:sz w:val="24"/>
          <w:szCs w:val="24"/>
          <w:lang w:val="en-GB"/>
        </w:rPr>
      </w:pPr>
    </w:p>
    <w:p w14:paraId="203E4E68" w14:textId="732124E6" w:rsidR="0054296E" w:rsidRPr="00CC5739" w:rsidRDefault="0054296E" w:rsidP="000F047E">
      <w:pPr>
        <w:spacing w:line="480" w:lineRule="auto"/>
        <w:ind w:firstLine="708"/>
        <w:contextualSpacing/>
        <w:rPr>
          <w:color w:val="000000" w:themeColor="text1"/>
          <w:sz w:val="24"/>
          <w:szCs w:val="24"/>
          <w:lang w:val="en-GB"/>
        </w:rPr>
      </w:pPr>
      <w:r w:rsidRPr="00CC5739">
        <w:rPr>
          <w:color w:val="000000" w:themeColor="text1"/>
          <w:sz w:val="24"/>
          <w:szCs w:val="24"/>
          <w:lang w:val="en-GB"/>
        </w:rPr>
        <w:t>To compare effects of panobinostat and gemcitabine with 12 Gy IR, one gemcitabine pilot and three further independent experiments were done. Two mice from the 12 Gy only group showing no damage to the small intestine were excluded from the final data. One 12 Gy only and one PAN+12 Gy mouse were also excluded due to total damage of less than 3 mm.</w:t>
      </w:r>
    </w:p>
    <w:p w14:paraId="7BBF94BE" w14:textId="77777777" w:rsidR="00FF35C5" w:rsidRPr="00CC5739" w:rsidRDefault="00FF35C5" w:rsidP="00FF35C5">
      <w:pPr>
        <w:spacing w:line="480" w:lineRule="auto"/>
        <w:contextualSpacing/>
        <w:rPr>
          <w:color w:val="000000" w:themeColor="text1"/>
          <w:sz w:val="24"/>
          <w:szCs w:val="24"/>
          <w:lang w:val="en-GB"/>
        </w:rPr>
      </w:pPr>
    </w:p>
    <w:p w14:paraId="236D529E" w14:textId="77777777" w:rsidR="00FF35C5" w:rsidRPr="00CC5739" w:rsidRDefault="00FF35C5" w:rsidP="00FF35C5">
      <w:pPr>
        <w:spacing w:line="480" w:lineRule="auto"/>
        <w:rPr>
          <w:b/>
          <w:color w:val="000000" w:themeColor="text1"/>
          <w:sz w:val="24"/>
          <w:szCs w:val="24"/>
          <w:shd w:val="clear" w:color="auto" w:fill="FFFFFF"/>
          <w:lang w:val="en-GB"/>
        </w:rPr>
      </w:pPr>
      <w:r w:rsidRPr="00CC5739">
        <w:rPr>
          <w:b/>
          <w:color w:val="000000" w:themeColor="text1"/>
          <w:sz w:val="24"/>
          <w:szCs w:val="24"/>
          <w:shd w:val="clear" w:color="auto" w:fill="FFFFFF"/>
          <w:lang w:val="en-GB"/>
        </w:rPr>
        <w:t>Real-time quantitative polymerase chain reaction (qPCR)</w:t>
      </w:r>
    </w:p>
    <w:p w14:paraId="34073A29" w14:textId="144F0AAB" w:rsidR="00FF35C5" w:rsidRPr="00CC5739" w:rsidRDefault="00FF35C5" w:rsidP="00FF35C5">
      <w:pPr>
        <w:spacing w:line="480" w:lineRule="auto"/>
        <w:ind w:firstLine="720"/>
        <w:rPr>
          <w:color w:val="000000" w:themeColor="text1"/>
          <w:sz w:val="24"/>
          <w:szCs w:val="24"/>
          <w:lang w:val="en-GB"/>
        </w:rPr>
      </w:pPr>
      <w:r w:rsidRPr="00CC5739">
        <w:rPr>
          <w:color w:val="000000" w:themeColor="text1"/>
          <w:sz w:val="24"/>
          <w:szCs w:val="24"/>
          <w:shd w:val="clear" w:color="auto" w:fill="FFFFFF"/>
          <w:lang w:val="en-GB"/>
        </w:rPr>
        <w:t xml:space="preserve">Real-time qPCR was performed by ∆∆Ct method, using </w:t>
      </w:r>
      <w:r w:rsidRPr="00CC5739">
        <w:rPr>
          <w:color w:val="000000" w:themeColor="text1"/>
          <w:sz w:val="24"/>
          <w:szCs w:val="24"/>
          <w:lang w:val="en-GB"/>
        </w:rPr>
        <w:t xml:space="preserve">SYBR® Green PCR Mastermix (Applied Biosystems). </w:t>
      </w:r>
      <w:r w:rsidRPr="00CC5739">
        <w:rPr>
          <w:color w:val="000000" w:themeColor="text1"/>
          <w:sz w:val="24"/>
          <w:szCs w:val="24"/>
          <w:shd w:val="clear" w:color="auto" w:fill="FFFFFF"/>
          <w:lang w:val="en-GB"/>
        </w:rPr>
        <w:t xml:space="preserve">Relative quantitation of HDACs was measured using </w:t>
      </w:r>
      <w:r w:rsidRPr="00CC5739">
        <w:rPr>
          <w:i/>
          <w:color w:val="000000" w:themeColor="text1"/>
          <w:sz w:val="24"/>
          <w:szCs w:val="24"/>
          <w:shd w:val="clear" w:color="auto" w:fill="FFFFFF"/>
          <w:lang w:val="en-GB"/>
        </w:rPr>
        <w:t>HDAC1-11</w:t>
      </w:r>
      <w:r w:rsidRPr="00CC5739">
        <w:rPr>
          <w:color w:val="000000" w:themeColor="text1"/>
          <w:sz w:val="24"/>
          <w:szCs w:val="24"/>
          <w:shd w:val="clear" w:color="auto" w:fill="FFFFFF"/>
          <w:lang w:val="en-GB"/>
        </w:rPr>
        <w:t xml:space="preserve"> primers (Supplementary Table 1)</w:t>
      </w:r>
      <w:r w:rsidRPr="00CC5739">
        <w:rPr>
          <w:color w:val="000000" w:themeColor="text1"/>
          <w:sz w:val="24"/>
          <w:szCs w:val="24"/>
          <w:lang w:val="en-GB"/>
        </w:rPr>
        <w:t xml:space="preserve"> </w:t>
      </w:r>
      <w:r w:rsidRPr="00CC5739">
        <w:rPr>
          <w:color w:val="000000" w:themeColor="text1"/>
          <w:sz w:val="24"/>
          <w:szCs w:val="24"/>
          <w:shd w:val="clear" w:color="auto" w:fill="FFFFFF"/>
          <w:lang w:val="en-GB"/>
        </w:rPr>
        <w:t xml:space="preserve">and results normalised to </w:t>
      </w:r>
      <w:r w:rsidRPr="00CC5739">
        <w:rPr>
          <w:i/>
          <w:color w:val="000000" w:themeColor="text1"/>
          <w:sz w:val="24"/>
          <w:szCs w:val="24"/>
          <w:shd w:val="clear" w:color="auto" w:fill="FFFFFF"/>
          <w:lang w:val="en-GB"/>
        </w:rPr>
        <w:t>GAPDH</w:t>
      </w:r>
      <w:r w:rsidRPr="00CC5739">
        <w:rPr>
          <w:color w:val="000000" w:themeColor="text1"/>
          <w:sz w:val="24"/>
          <w:szCs w:val="24"/>
          <w:shd w:val="clear" w:color="auto" w:fill="FFFFFF"/>
          <w:lang w:val="en-GB"/>
        </w:rPr>
        <w:t xml:space="preserve"> levels. Samples were run on an Applied Biosystems 7500 Fast Real-Time PCR system (ThermoFisher): 20 s at 50</w:t>
      </w:r>
      <w:r w:rsidRPr="00CC5739">
        <w:rPr>
          <w:color w:val="000000" w:themeColor="text1"/>
          <w:sz w:val="24"/>
          <w:szCs w:val="24"/>
          <w:shd w:val="clear" w:color="auto" w:fill="FFFFFF"/>
          <w:vertAlign w:val="superscript"/>
          <w:lang w:val="en-GB"/>
        </w:rPr>
        <w:t>o</w:t>
      </w:r>
      <w:r w:rsidRPr="00CC5739">
        <w:rPr>
          <w:color w:val="000000" w:themeColor="text1"/>
          <w:sz w:val="24"/>
          <w:szCs w:val="24"/>
          <w:shd w:val="clear" w:color="auto" w:fill="FFFFFF"/>
          <w:lang w:val="en-GB"/>
        </w:rPr>
        <w:t>C, 10 min at 95</w:t>
      </w:r>
      <w:r w:rsidRPr="00CC5739">
        <w:rPr>
          <w:color w:val="000000" w:themeColor="text1"/>
          <w:sz w:val="24"/>
          <w:szCs w:val="24"/>
          <w:shd w:val="clear" w:color="auto" w:fill="FFFFFF"/>
          <w:vertAlign w:val="superscript"/>
          <w:lang w:val="en-GB"/>
        </w:rPr>
        <w:t>o</w:t>
      </w:r>
      <w:r w:rsidRPr="00CC5739">
        <w:rPr>
          <w:color w:val="000000" w:themeColor="text1"/>
          <w:sz w:val="24"/>
          <w:szCs w:val="24"/>
          <w:shd w:val="clear" w:color="auto" w:fill="FFFFFF"/>
          <w:lang w:val="en-GB"/>
        </w:rPr>
        <w:t>C, then 40 cycles of 1 min at 60</w:t>
      </w:r>
      <w:r w:rsidRPr="00CC5739">
        <w:rPr>
          <w:color w:val="000000" w:themeColor="text1"/>
          <w:sz w:val="24"/>
          <w:szCs w:val="24"/>
          <w:shd w:val="clear" w:color="auto" w:fill="FFFFFF"/>
          <w:vertAlign w:val="superscript"/>
          <w:lang w:val="en-GB"/>
        </w:rPr>
        <w:t>o</w:t>
      </w:r>
      <w:r w:rsidRPr="00CC5739">
        <w:rPr>
          <w:color w:val="000000" w:themeColor="text1"/>
          <w:sz w:val="24"/>
          <w:szCs w:val="24"/>
          <w:shd w:val="clear" w:color="auto" w:fill="FFFFFF"/>
          <w:lang w:val="en-GB"/>
        </w:rPr>
        <w:t>C, 15 s at 95</w:t>
      </w:r>
      <w:r w:rsidRPr="00CC5739">
        <w:rPr>
          <w:color w:val="000000" w:themeColor="text1"/>
          <w:sz w:val="24"/>
          <w:szCs w:val="24"/>
          <w:shd w:val="clear" w:color="auto" w:fill="FFFFFF"/>
          <w:vertAlign w:val="superscript"/>
          <w:lang w:val="en-GB"/>
        </w:rPr>
        <w:t>o</w:t>
      </w:r>
      <w:r w:rsidRPr="00CC5739">
        <w:rPr>
          <w:color w:val="000000" w:themeColor="text1"/>
          <w:sz w:val="24"/>
          <w:szCs w:val="24"/>
          <w:shd w:val="clear" w:color="auto" w:fill="FFFFFF"/>
          <w:lang w:val="en-GB"/>
        </w:rPr>
        <w:t>C, 1 min at 60</w:t>
      </w:r>
      <w:r w:rsidRPr="00CC5739">
        <w:rPr>
          <w:color w:val="000000" w:themeColor="text1"/>
          <w:sz w:val="24"/>
          <w:szCs w:val="24"/>
          <w:shd w:val="clear" w:color="auto" w:fill="FFFFFF"/>
          <w:vertAlign w:val="superscript"/>
          <w:lang w:val="en-GB"/>
        </w:rPr>
        <w:t>o</w:t>
      </w:r>
      <w:r w:rsidRPr="00CC5739">
        <w:rPr>
          <w:color w:val="000000" w:themeColor="text1"/>
          <w:sz w:val="24"/>
          <w:szCs w:val="24"/>
          <w:shd w:val="clear" w:color="auto" w:fill="FFFFFF"/>
          <w:lang w:val="en-GB"/>
        </w:rPr>
        <w:t>C, 1 min at 95</w:t>
      </w:r>
      <w:r w:rsidRPr="00CC5739">
        <w:rPr>
          <w:color w:val="000000" w:themeColor="text1"/>
          <w:sz w:val="24"/>
          <w:szCs w:val="24"/>
          <w:shd w:val="clear" w:color="auto" w:fill="FFFFFF"/>
          <w:vertAlign w:val="superscript"/>
          <w:lang w:val="en-GB"/>
        </w:rPr>
        <w:t>o</w:t>
      </w:r>
      <w:r w:rsidRPr="00CC5739">
        <w:rPr>
          <w:color w:val="000000" w:themeColor="text1"/>
          <w:sz w:val="24"/>
          <w:szCs w:val="24"/>
          <w:shd w:val="clear" w:color="auto" w:fill="FFFFFF"/>
          <w:lang w:val="en-GB"/>
        </w:rPr>
        <w:t>C.</w:t>
      </w:r>
      <w:r w:rsidRPr="00CC5739">
        <w:rPr>
          <w:color w:val="000000" w:themeColor="text1"/>
          <w:sz w:val="24"/>
          <w:szCs w:val="24"/>
          <w:lang w:val="en-GB"/>
        </w:rPr>
        <w:t xml:space="preserve"> </w:t>
      </w:r>
    </w:p>
    <w:p w14:paraId="7FBA26BE" w14:textId="77777777" w:rsidR="00FF35C5" w:rsidRPr="00CC5739" w:rsidRDefault="00FF35C5" w:rsidP="00FF35C5">
      <w:pPr>
        <w:spacing w:line="480" w:lineRule="auto"/>
        <w:contextualSpacing/>
        <w:rPr>
          <w:color w:val="000000" w:themeColor="text1"/>
          <w:sz w:val="24"/>
          <w:szCs w:val="24"/>
          <w:lang w:val="en-GB"/>
        </w:rPr>
      </w:pPr>
    </w:p>
    <w:p w14:paraId="249DC209" w14:textId="77777777" w:rsidR="00FF35C5" w:rsidRPr="00CC5739" w:rsidRDefault="00FF35C5" w:rsidP="00FF35C5">
      <w:pPr>
        <w:spacing w:line="480" w:lineRule="auto"/>
        <w:rPr>
          <w:b/>
          <w:color w:val="000000" w:themeColor="text1"/>
          <w:sz w:val="24"/>
          <w:szCs w:val="24"/>
          <w:lang w:val="en-GB"/>
        </w:rPr>
      </w:pPr>
      <w:r w:rsidRPr="00CC5739">
        <w:rPr>
          <w:b/>
          <w:color w:val="000000" w:themeColor="text1"/>
          <w:sz w:val="24"/>
          <w:szCs w:val="24"/>
          <w:lang w:val="en-GB"/>
        </w:rPr>
        <w:t>Western blots</w:t>
      </w:r>
    </w:p>
    <w:p w14:paraId="53298AF1" w14:textId="7BC417D0" w:rsidR="00FF35C5" w:rsidRPr="00CC5739" w:rsidRDefault="00FF35C5" w:rsidP="00FF35C5">
      <w:pPr>
        <w:spacing w:line="480" w:lineRule="auto"/>
        <w:ind w:firstLine="708"/>
        <w:rPr>
          <w:color w:val="000000" w:themeColor="text1"/>
          <w:sz w:val="24"/>
          <w:szCs w:val="24"/>
          <w:lang w:val="en-GB"/>
        </w:rPr>
      </w:pPr>
      <w:r w:rsidRPr="00CC5739">
        <w:rPr>
          <w:color w:val="000000" w:themeColor="text1"/>
          <w:sz w:val="24"/>
          <w:szCs w:val="24"/>
          <w:lang w:val="en-GB"/>
        </w:rPr>
        <w:t xml:space="preserve">Western blot samples were prepared as previously described </w:t>
      </w:r>
      <w:r w:rsidRPr="00CC5739">
        <w:rPr>
          <w:color w:val="000000" w:themeColor="text1"/>
          <w:sz w:val="24"/>
          <w:szCs w:val="24"/>
          <w:lang w:val="en-GB"/>
        </w:rPr>
        <w:fldChar w:fldCharType="begin" w:fldLock="1"/>
      </w:r>
      <w:r w:rsidRPr="00CC5739">
        <w:rPr>
          <w:color w:val="000000" w:themeColor="text1"/>
          <w:sz w:val="24"/>
          <w:szCs w:val="24"/>
          <w:lang w:val="en-GB"/>
        </w:rPr>
        <w:instrText>ADDIN CSL_CITATION { "citationItems" : [ { "id" : "ITEM-1", "itemData" : { "DOI" : "10.1158/0008-5472.CAN-12-1170", "ISSN" : "1538-7445", "PMID" : "23302228", "abstract" : "Radiotherapy is a major treatment modality used to treat muscle-invasive bladder cancer, with patient outcomes similar to surgery. However, radioresistance is a significant factor in treatment failure. Cell-free extracts of muscle-invasive bladder tumors are defective in nonhomologous end-joining (NHEJ), and this phenotype may be used clinically by combining radiotherapy with a radiosensitizing drug that targets homologous recombination, thereby sparing normal tissues with intact NHEJ. The response of the homologous recombination protein RAD51 to radiation is inhibited by the small-molecule tyrosine kinase inhibitor imatinib. Stable RT112 bladder cancer Ku knockdown (Ku80KD) cells were generated using short hairpin RNA technology to mimic the invasive tumor phenotype and also RAD51 knockdown (RAD51KD) cells to show imatinib's pathway selectivity. Ku80KD, RAD51KD, nonsilencing vector control, and parental RT112 cells were treated with radiation in combination with either imatinib or lapatinib, which inhibits NHEJ and cell survival assessed by clonogenic assay. Drug doses were chosen at approximately IC40 and IC10 (nontoxic) levels. Imatinib radiosensitized Ku80KD cells to a greater extent than RAD51KD or RT112 cells. In contrast, lapatinib radiosensitized RAD51KD and RT112 cells but not Ku80KD cells. Taken together, our findings suggest a new application for imatinib in concurrent use with radiotherapy to treat muscle-invasive bladder cancer. Cancer Res; 73(5); 1611-20. \u00a92012 AACR.", "author" : [ { "dropping-particle" : "", "family" : "Qiao", "given" : "Boling", "non-dropping-particle" : "", "parse-names" : false, "suffix" : "" }, { "dropping-particle" : "", "family" : "Kerr", "given" : "Martin", "non-dropping-particle" : "", "parse-names" : false, "suffix" : "" }, { "dropping-particle" : "", "family" : "Groselj", "given" : "Blaz", "non-dropping-particle" : "", "parse-names" : false, "suffix" : "" }, { "dropping-particle" : "", "family" : "Teo", "given" : "Mark T W", "non-dropping-particle" : "", "parse-names" : false, "suffix" : "" }, { "dropping-particle" : "", "family" : "Knowles", "given" : "Margaret A", "non-dropping-particle" : "", "parse-names" : false, "suffix" : "" }, { "dropping-particle" : "", "family" : "Bristow", "given" : "Robert G", "non-dropping-particle" : "", "parse-names" : false, "suffix" : "" }, { "dropping-particle" : "", "family" : "Phillips", "given" : "Roger M", "non-dropping-particle" : "", "parse-names" : false, "suffix" : "" }, { "dropping-particle" : "", "family" : "Kiltie", "given" : "Anne E", "non-dropping-particle" : "", "parse-names" : false, "suffix" : "" } ], "container-title" : "Cancer Research", "id" : "ITEM-1", "issue" : "5", "issued" : { "date-parts" : [ [ "2013", "3", "1" ] ] }, "page" : "1611-20", "title" : "Imatinib radiosensitizes bladder cancer by targeting homologous recombination", "type" : "article-journal", "volume" : "73" }, "uris" : [ "http://www.mendeley.com/documents/?uuid=869a8f14-1523-44c6-be1e-73bec27b556c" ] }, { "id" : "ITEM-2", "itemData" : { "DOI" : "10.1158/1078-0432.CCR-14-0542", "ISSN" : "1078-0432", "PMID" : "25224279", "abstract" : "PURPOSE: In a recent phase II clinical trial, low-dose (100 mg/m(2)) gemcitabine showed promise as a radiosensitizer in bladder cancer, but underlying mechanisms lack elucidation. Here, we investigated the mechanism of radiosensitization by low-dose gemcitabine in bladder cancer cell lines. EXPERIMENTAL DESIGN: Four bladder cancer cell lines were screened for radiosensitization by low-dose gemcitabine using clonogenic assay, and gemcitabine-resistant RT112gem and CALgem cells created by exposure to increasing gemcitabine doses. Four key gemcitabine-regulatory genes were knocked down by transient siRNA. Nude mice carrying CALgem subcutaneous xenografts were exposed to 100 mg/kg gemcitabine \u00b1 ionizing radiation (IR) and response assessed by tumor growth delay. RESULTS: Gemcitabine was cytotoxic in the low nanomolar range (10-40 nmol/L) in four bladder cancer cell lines and radiosensitized all four lines. Sensitizer enhancement ratios at 10% survival were: RT112 1.42, CAL29 1.55, T24 1.63, and VMCUB1 1.47. Transient siRNA knockdown of deoxycytidine kinase (dCK) significantly reduced radiosensitization by gemcitabine (P = 0.02). RT112gem and CALgem cells displayed robust decreases of dCK mRNA and protein levels; reexpression of dCK restored gemcitabine sensitivity. However, CALgem xenografts responded better to combination gemcitabine/IR than either treatment alone (P &lt; 0.001) with dCK strongly expressed in the tumor vasculature and stroma. CONCLUSIONS: Gemcitabine resistance in bladder cancer cell lines was associated with decreased dCK expression, but gemcitabine-resistant xenografts were responsive to combination low-dose gemcitabine/IR. We propose that dCK activity in tumor vasculature renders it gemcitabine sensitive, which is sufficient to invoke a tumor response and permit tumor cell kill in gemcitabine-resistant tumors. Clin Cancer Res; 20(21); 1-11. \u00a92014 AACR.", "author" : [ { "dropping-particle" : "", "family" : "Kerr", "given" : "Martin", "non-dropping-particle" : "", "parse-names" : false, "suffix" : "" }, { "dropping-particle" : "", "family" : "Scott", "given" : "Helen E", "non-dropping-particle" : "", "parse-names" : false, "suffix" : "" }, { "dropping-particle" : "", "family" : "Groselj", "given" : "Blaz", "non-dropping-particle" : "", "parse-names" : false, "suffix" : "" }, { "dropping-particle" : "", "family" : "Stratford", "given" : "Michael R L", "non-dropping-particle" : "", "parse-names" : false, "suffix" : "" }, { "dropping-particle" : "", "family" : "Karaszi", "given" : "Katalin", "non-dropping-particle" : "", "parse-names" : false, "suffix" : "" }, { "dropping-particle" : "", "family" : "Sharma", "given" : "Naomi L", "non-dropping-particle" : "", "parse-names" : false, "suffix" : "" }, { "dropping-particle" : "", "family" : "Kiltie", "given" : "Anne E", "non-dropping-particle" : "", "parse-names" : false, "suffix" : "" } ], "container-title" : "Clinical Cancer Research", "id" : "ITEM-2", "issued" : { "date-parts" : [ [ "2014", "9", "15" ] ] }, "title" : "Deoxycytidine Kinase Expression Underpins Response to Gemcitabine in Bladder Cancer.", "type" : "article-journal" }, "uris" : [ "http://www.mendeley.com/documents/?uuid=0604367a-d6fb-47d9-9275-0fb34f72b657" ] } ], "mendeley" : { "formattedCitation" : "(15,16)", "plainTextFormattedCitation" : "(15,16)", "previouslyFormattedCitation" : "(15,18)" }, "properties" : { "noteIndex" : 0 }, "schema" : "https://github.com/citation-style-language/schema/raw/master/csl-citation.json" }</w:instrText>
      </w:r>
      <w:r w:rsidRPr="00CC5739">
        <w:rPr>
          <w:color w:val="000000" w:themeColor="text1"/>
          <w:sz w:val="24"/>
          <w:szCs w:val="24"/>
          <w:lang w:val="en-GB"/>
        </w:rPr>
        <w:fldChar w:fldCharType="separate"/>
      </w:r>
      <w:r w:rsidRPr="00CC5739">
        <w:rPr>
          <w:noProof/>
          <w:color w:val="000000" w:themeColor="text1"/>
          <w:sz w:val="24"/>
          <w:szCs w:val="24"/>
          <w:lang w:val="en-GB"/>
        </w:rPr>
        <w:t>(15,16)</w:t>
      </w:r>
      <w:r w:rsidRPr="00CC5739">
        <w:rPr>
          <w:color w:val="000000" w:themeColor="text1"/>
          <w:sz w:val="24"/>
          <w:szCs w:val="24"/>
          <w:lang w:val="en-GB"/>
        </w:rPr>
        <w:fldChar w:fldCharType="end"/>
      </w:r>
      <w:r w:rsidRPr="00CC5739">
        <w:rPr>
          <w:color w:val="000000" w:themeColor="text1"/>
          <w:sz w:val="24"/>
          <w:szCs w:val="24"/>
          <w:lang w:val="en-GB"/>
        </w:rPr>
        <w:t xml:space="preserve"> with antibodies detailed in Supplementary Table 2. </w:t>
      </w:r>
      <w:r w:rsidRPr="00CC5739">
        <w:rPr>
          <w:color w:val="000000" w:themeColor="text1"/>
          <w:sz w:val="24"/>
          <w:szCs w:val="24"/>
          <w:shd w:val="clear" w:color="auto" w:fill="FFFFFF"/>
          <w:lang w:val="en-GB"/>
        </w:rPr>
        <w:t xml:space="preserve">Protein visualisation and quantification was performed using an infrared LiCor Odyssey imaging system (LiCor Biosciences). </w:t>
      </w:r>
      <w:r w:rsidRPr="00CC5739">
        <w:rPr>
          <w:color w:val="000000" w:themeColor="text1"/>
          <w:sz w:val="24"/>
          <w:szCs w:val="24"/>
          <w:lang w:val="en-GB"/>
        </w:rPr>
        <w:t>All western blots were performed twice independently.</w:t>
      </w:r>
    </w:p>
    <w:p w14:paraId="4021E828" w14:textId="77777777" w:rsidR="00D358F9" w:rsidRPr="00CC5739" w:rsidRDefault="00D358F9" w:rsidP="00D358F9">
      <w:pPr>
        <w:spacing w:line="480" w:lineRule="auto"/>
        <w:rPr>
          <w:b/>
          <w:color w:val="000000" w:themeColor="text1"/>
          <w:sz w:val="24"/>
          <w:szCs w:val="24"/>
          <w:shd w:val="clear" w:color="auto" w:fill="FFFFFF"/>
        </w:rPr>
      </w:pPr>
      <w:r w:rsidRPr="00CC5739">
        <w:rPr>
          <w:b/>
          <w:color w:val="000000" w:themeColor="text1"/>
          <w:sz w:val="24"/>
          <w:szCs w:val="24"/>
          <w:shd w:val="clear" w:color="auto" w:fill="FFFFFF"/>
        </w:rPr>
        <w:t>Homologous recombination (HR) assays</w:t>
      </w:r>
    </w:p>
    <w:p w14:paraId="60970F1F" w14:textId="77777777" w:rsidR="00D358F9" w:rsidRPr="00CC5739" w:rsidRDefault="00D358F9" w:rsidP="00D358F9">
      <w:pPr>
        <w:spacing w:line="480" w:lineRule="auto"/>
        <w:ind w:firstLine="708"/>
        <w:rPr>
          <w:color w:val="000000" w:themeColor="text1"/>
          <w:sz w:val="24"/>
          <w:szCs w:val="24"/>
        </w:rPr>
      </w:pPr>
      <w:r w:rsidRPr="00CC5739">
        <w:rPr>
          <w:color w:val="000000" w:themeColor="text1"/>
          <w:sz w:val="24"/>
          <w:szCs w:val="24"/>
        </w:rPr>
        <w:lastRenderedPageBreak/>
        <w:t xml:space="preserve">For the I-SceI assay, </w:t>
      </w:r>
      <w:r w:rsidRPr="00CC5739">
        <w:rPr>
          <w:color w:val="000000" w:themeColor="text1"/>
          <w:sz w:val="24"/>
          <w:szCs w:val="24"/>
          <w:lang w:val="en-GB"/>
        </w:rPr>
        <w:t>RT112 cells with stable integration of the HR Pem1-GFP reporter construct were seeded at 1 x10</w:t>
      </w:r>
      <w:r w:rsidRPr="00CC5739">
        <w:rPr>
          <w:color w:val="000000" w:themeColor="text1"/>
          <w:sz w:val="24"/>
          <w:szCs w:val="24"/>
          <w:vertAlign w:val="superscript"/>
          <w:lang w:val="en-GB"/>
        </w:rPr>
        <w:t>5</w:t>
      </w:r>
      <w:r w:rsidRPr="00CC5739">
        <w:rPr>
          <w:color w:val="000000" w:themeColor="text1"/>
          <w:sz w:val="24"/>
          <w:szCs w:val="24"/>
          <w:lang w:val="en-GB"/>
        </w:rPr>
        <w:t xml:space="preserve"> cells per 5 cm dish and transiently transfected with 4 </w:t>
      </w:r>
      <w:r w:rsidRPr="00CC5739">
        <w:rPr>
          <w:color w:val="000000" w:themeColor="text1"/>
          <w:sz w:val="24"/>
          <w:szCs w:val="24"/>
          <w:lang w:val="en-GB"/>
        </w:rPr>
        <w:sym w:font="Symbol" w:char="F06D"/>
      </w:r>
      <w:r w:rsidRPr="00CC5739">
        <w:rPr>
          <w:color w:val="000000" w:themeColor="text1"/>
          <w:sz w:val="24"/>
          <w:szCs w:val="24"/>
          <w:lang w:val="en-GB"/>
        </w:rPr>
        <w:t xml:space="preserve">g pCBASceI expression plasmid </w:t>
      </w:r>
      <w:r w:rsidRPr="00CC5739">
        <w:rPr>
          <w:rFonts w:eastAsia="Times New Roman"/>
          <w:color w:val="000000" w:themeColor="text1"/>
          <w:sz w:val="24"/>
          <w:szCs w:val="24"/>
        </w:rPr>
        <w:t>(#26477, Addgene)</w:t>
      </w:r>
      <w:r w:rsidRPr="00CC5739">
        <w:rPr>
          <w:color w:val="000000" w:themeColor="text1"/>
          <w:sz w:val="24"/>
          <w:szCs w:val="24"/>
          <w:lang w:val="en-GB"/>
        </w:rPr>
        <w:t xml:space="preserve"> using FugeneHD (Promega) at a 1:3 ratio. Panobinostat or vehicle was added 6 h post-transfection. Cells were trypsinised and resuspended in PBS 48 h post transfection and analysed for GFP positivity using a FACSCalibur flow cytometer (Beckton Dickinson).</w:t>
      </w:r>
    </w:p>
    <w:p w14:paraId="6FD4235D" w14:textId="77777777" w:rsidR="00D358F9" w:rsidRPr="00CC5739" w:rsidRDefault="00D358F9" w:rsidP="00D358F9">
      <w:pPr>
        <w:spacing w:line="480" w:lineRule="auto"/>
        <w:ind w:firstLine="708"/>
        <w:rPr>
          <w:rFonts w:eastAsia="Times New Roman"/>
          <w:color w:val="000000" w:themeColor="text1"/>
          <w:sz w:val="24"/>
          <w:szCs w:val="24"/>
        </w:rPr>
      </w:pPr>
    </w:p>
    <w:p w14:paraId="1E2BF94C" w14:textId="0D406797" w:rsidR="00D358F9" w:rsidRPr="00CC5739" w:rsidRDefault="00D358F9" w:rsidP="00D358F9">
      <w:pPr>
        <w:spacing w:line="480" w:lineRule="auto"/>
        <w:ind w:firstLine="708"/>
        <w:rPr>
          <w:rFonts w:eastAsia="Times New Roman"/>
          <w:color w:val="000000" w:themeColor="text1"/>
          <w:sz w:val="24"/>
          <w:szCs w:val="24"/>
        </w:rPr>
      </w:pPr>
      <w:r w:rsidRPr="00CC5739">
        <w:rPr>
          <w:rFonts w:eastAsia="Times New Roman"/>
          <w:color w:val="000000" w:themeColor="text1"/>
          <w:sz w:val="24"/>
          <w:szCs w:val="24"/>
        </w:rPr>
        <w:t>A PCR-based method (No</w:t>
      </w:r>
      <w:r w:rsidR="00C3045C" w:rsidRPr="00CC5739">
        <w:rPr>
          <w:rFonts w:eastAsia="Times New Roman"/>
          <w:color w:val="000000" w:themeColor="text1"/>
          <w:sz w:val="24"/>
          <w:szCs w:val="24"/>
        </w:rPr>
        <w:t>r</w:t>
      </w:r>
      <w:r w:rsidRPr="00CC5739">
        <w:rPr>
          <w:rFonts w:eastAsia="Times New Roman"/>
          <w:color w:val="000000" w:themeColor="text1"/>
          <w:sz w:val="24"/>
          <w:szCs w:val="24"/>
        </w:rPr>
        <w:t>gen Biotek Corp) was performed to test the HR functionality following different drug treatments. RT112 cells (1*10</w:t>
      </w:r>
      <w:r w:rsidRPr="00CC5739">
        <w:rPr>
          <w:rFonts w:eastAsia="Times New Roman"/>
          <w:color w:val="000000" w:themeColor="text1"/>
          <w:sz w:val="24"/>
          <w:szCs w:val="24"/>
          <w:vertAlign w:val="superscript"/>
        </w:rPr>
        <w:t>5</w:t>
      </w:r>
      <w:r w:rsidRPr="00CC5739">
        <w:rPr>
          <w:rFonts w:eastAsia="Times New Roman"/>
          <w:color w:val="000000" w:themeColor="text1"/>
          <w:sz w:val="24"/>
          <w:szCs w:val="24"/>
        </w:rPr>
        <w:t>/well) were plated in 24-well dishes and transfected with two HR dl plasmid</w:t>
      </w:r>
      <w:r w:rsidR="0078596A">
        <w:rPr>
          <w:rFonts w:eastAsia="Times New Roman"/>
          <w:color w:val="000000" w:themeColor="text1"/>
          <w:sz w:val="24"/>
          <w:szCs w:val="24"/>
        </w:rPr>
        <w:t>s</w:t>
      </w:r>
      <w:bookmarkStart w:id="0" w:name="_GoBack"/>
      <w:bookmarkEnd w:id="0"/>
      <w:r w:rsidRPr="00CC5739">
        <w:rPr>
          <w:rFonts w:eastAsia="Times New Roman"/>
          <w:color w:val="000000" w:themeColor="text1"/>
          <w:sz w:val="24"/>
          <w:szCs w:val="24"/>
        </w:rPr>
        <w:t xml:space="preserve"> (dl-1 and dl-2). Six hours after transfection, panobinostat (</w:t>
      </w:r>
      <w:r w:rsidR="00C3045C" w:rsidRPr="00CC5739">
        <w:rPr>
          <w:rFonts w:eastAsia="Times New Roman"/>
          <w:color w:val="000000" w:themeColor="text1"/>
          <w:sz w:val="24"/>
          <w:szCs w:val="24"/>
        </w:rPr>
        <w:t xml:space="preserve">final concentration: </w:t>
      </w:r>
      <w:r w:rsidRPr="00CC5739">
        <w:rPr>
          <w:rFonts w:eastAsia="Times New Roman"/>
          <w:color w:val="000000" w:themeColor="text1"/>
          <w:sz w:val="24"/>
          <w:szCs w:val="24"/>
        </w:rPr>
        <w:t>10, 25, 50 nM), mocetinostat (</w:t>
      </w:r>
      <w:r w:rsidR="00C3045C" w:rsidRPr="00CC5739">
        <w:rPr>
          <w:rFonts w:eastAsia="Times New Roman"/>
          <w:color w:val="000000" w:themeColor="text1"/>
          <w:sz w:val="24"/>
          <w:szCs w:val="24"/>
        </w:rPr>
        <w:t xml:space="preserve">final concentration: </w:t>
      </w:r>
      <w:r w:rsidRPr="00CC5739">
        <w:rPr>
          <w:rFonts w:eastAsia="Times New Roman"/>
          <w:color w:val="000000" w:themeColor="text1"/>
          <w:sz w:val="24"/>
          <w:szCs w:val="24"/>
        </w:rPr>
        <w:t xml:space="preserve">1, 1.5, 2 µM), and TMP-195 (final concentration: 1.25, 2.5, 5 µM) were added to the medium. Twenty-four hours later, total DNA was extracted by QIAamp DNA Mini Kit (Qiagen) as per manufacturer’s instructions. HR activity was quantified by qPCR using supplied primers and normalised to the dl plasmid in each sample. </w:t>
      </w:r>
    </w:p>
    <w:p w14:paraId="681AF38F" w14:textId="77777777" w:rsidR="00A51B10" w:rsidRPr="00CC5739" w:rsidRDefault="00A51B10" w:rsidP="00DD44E9">
      <w:pPr>
        <w:spacing w:before="120" w:line="480" w:lineRule="auto"/>
        <w:rPr>
          <w:color w:val="000000" w:themeColor="text1"/>
          <w:sz w:val="24"/>
          <w:szCs w:val="24"/>
          <w:lang w:val="en-GB"/>
        </w:rPr>
      </w:pPr>
    </w:p>
    <w:sectPr w:rsidR="00A51B10" w:rsidRPr="00CC5739" w:rsidSect="00B3745F">
      <w:footerReference w:type="even" r:id="rId7"/>
      <w:footerReference w:type="default" r:id="rId8"/>
      <w:headerReference w:type="first" r:id="rId9"/>
      <w:pgSz w:w="11900" w:h="16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913D" w14:textId="77777777" w:rsidR="009E0A7B" w:rsidRDefault="009E0A7B">
      <w:r>
        <w:separator/>
      </w:r>
    </w:p>
  </w:endnote>
  <w:endnote w:type="continuationSeparator" w:id="0">
    <w:p w14:paraId="1F348C34" w14:textId="77777777" w:rsidR="009E0A7B" w:rsidRDefault="009E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509F" w14:textId="77777777" w:rsidR="00690DEF" w:rsidRDefault="00690DEF" w:rsidP="00C51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ED1D6" w14:textId="77777777" w:rsidR="00690DEF" w:rsidRDefault="00690DEF" w:rsidP="00C51F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CB45" w14:textId="77777777" w:rsidR="00690DEF" w:rsidRDefault="00690DEF" w:rsidP="00C51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96A">
      <w:rPr>
        <w:rStyle w:val="PageNumber"/>
        <w:noProof/>
      </w:rPr>
      <w:t>4</w:t>
    </w:r>
    <w:r>
      <w:rPr>
        <w:rStyle w:val="PageNumber"/>
      </w:rPr>
      <w:fldChar w:fldCharType="end"/>
    </w:r>
  </w:p>
  <w:p w14:paraId="1D61D66F" w14:textId="77777777" w:rsidR="00690DEF" w:rsidRDefault="00690DEF" w:rsidP="00C51F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ECF8" w14:textId="77777777" w:rsidR="009E0A7B" w:rsidRDefault="009E0A7B">
      <w:r>
        <w:separator/>
      </w:r>
    </w:p>
  </w:footnote>
  <w:footnote w:type="continuationSeparator" w:id="0">
    <w:p w14:paraId="407346CA" w14:textId="77777777" w:rsidR="009E0A7B" w:rsidRDefault="009E0A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8F34" w14:textId="77777777" w:rsidR="00690DEF" w:rsidRPr="00204015" w:rsidRDefault="00690DEF" w:rsidP="00C51F24">
    <w:pPr>
      <w:pStyle w:val="Header"/>
    </w:pPr>
  </w:p>
  <w:p w14:paraId="2761A631" w14:textId="77777777" w:rsidR="00690DEF" w:rsidRDefault="00690DEF" w:rsidP="00C51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F0"/>
    <w:rsid w:val="0000012D"/>
    <w:rsid w:val="000606EF"/>
    <w:rsid w:val="000718B5"/>
    <w:rsid w:val="000B2EEB"/>
    <w:rsid w:val="000C0941"/>
    <w:rsid w:val="000D1FCE"/>
    <w:rsid w:val="000D2AFB"/>
    <w:rsid w:val="000F047E"/>
    <w:rsid w:val="00107DED"/>
    <w:rsid w:val="001428D5"/>
    <w:rsid w:val="00154D7C"/>
    <w:rsid w:val="00183760"/>
    <w:rsid w:val="001851D3"/>
    <w:rsid w:val="001900E9"/>
    <w:rsid w:val="001A3262"/>
    <w:rsid w:val="001B1E3F"/>
    <w:rsid w:val="001B57B7"/>
    <w:rsid w:val="00203E3E"/>
    <w:rsid w:val="00252EBD"/>
    <w:rsid w:val="002E09B1"/>
    <w:rsid w:val="002F2010"/>
    <w:rsid w:val="002F4D89"/>
    <w:rsid w:val="00307FBF"/>
    <w:rsid w:val="00320C30"/>
    <w:rsid w:val="00324724"/>
    <w:rsid w:val="003765D8"/>
    <w:rsid w:val="00391C19"/>
    <w:rsid w:val="003A4AD4"/>
    <w:rsid w:val="003B3149"/>
    <w:rsid w:val="003C2A8C"/>
    <w:rsid w:val="003C5FF6"/>
    <w:rsid w:val="00413958"/>
    <w:rsid w:val="00414FE5"/>
    <w:rsid w:val="0042250E"/>
    <w:rsid w:val="00423179"/>
    <w:rsid w:val="00432090"/>
    <w:rsid w:val="00437DD0"/>
    <w:rsid w:val="00443B10"/>
    <w:rsid w:val="00484610"/>
    <w:rsid w:val="004A7975"/>
    <w:rsid w:val="004C4313"/>
    <w:rsid w:val="004E56F0"/>
    <w:rsid w:val="004E6BC3"/>
    <w:rsid w:val="0050243B"/>
    <w:rsid w:val="005347AF"/>
    <w:rsid w:val="00536A16"/>
    <w:rsid w:val="00541DD1"/>
    <w:rsid w:val="0054296E"/>
    <w:rsid w:val="005440D1"/>
    <w:rsid w:val="00582800"/>
    <w:rsid w:val="00586AC5"/>
    <w:rsid w:val="005C5221"/>
    <w:rsid w:val="005D0600"/>
    <w:rsid w:val="005E748A"/>
    <w:rsid w:val="00604E31"/>
    <w:rsid w:val="006207DE"/>
    <w:rsid w:val="00632FC9"/>
    <w:rsid w:val="00644047"/>
    <w:rsid w:val="006473B5"/>
    <w:rsid w:val="006710F9"/>
    <w:rsid w:val="00674B25"/>
    <w:rsid w:val="00683F85"/>
    <w:rsid w:val="00690DEF"/>
    <w:rsid w:val="0069457E"/>
    <w:rsid w:val="006A21F4"/>
    <w:rsid w:val="006A2B7C"/>
    <w:rsid w:val="007215B0"/>
    <w:rsid w:val="00740BF8"/>
    <w:rsid w:val="0075284D"/>
    <w:rsid w:val="0078596A"/>
    <w:rsid w:val="007C3E85"/>
    <w:rsid w:val="008722E6"/>
    <w:rsid w:val="008725FF"/>
    <w:rsid w:val="00873C5F"/>
    <w:rsid w:val="008B526B"/>
    <w:rsid w:val="008D5BDC"/>
    <w:rsid w:val="009062D2"/>
    <w:rsid w:val="00920352"/>
    <w:rsid w:val="009534D8"/>
    <w:rsid w:val="00975319"/>
    <w:rsid w:val="009A5D5D"/>
    <w:rsid w:val="009C4529"/>
    <w:rsid w:val="009D30CA"/>
    <w:rsid w:val="009E0A7B"/>
    <w:rsid w:val="009E47F8"/>
    <w:rsid w:val="00A06747"/>
    <w:rsid w:val="00A174E0"/>
    <w:rsid w:val="00A2418A"/>
    <w:rsid w:val="00A510F0"/>
    <w:rsid w:val="00A51B10"/>
    <w:rsid w:val="00A64BD5"/>
    <w:rsid w:val="00A71E5A"/>
    <w:rsid w:val="00AA612F"/>
    <w:rsid w:val="00AB74C4"/>
    <w:rsid w:val="00AD499A"/>
    <w:rsid w:val="00AE175F"/>
    <w:rsid w:val="00AF1349"/>
    <w:rsid w:val="00B2002B"/>
    <w:rsid w:val="00B3745F"/>
    <w:rsid w:val="00B74570"/>
    <w:rsid w:val="00B75F4C"/>
    <w:rsid w:val="00B8220C"/>
    <w:rsid w:val="00B9584E"/>
    <w:rsid w:val="00BB4C56"/>
    <w:rsid w:val="00BF179B"/>
    <w:rsid w:val="00C3045C"/>
    <w:rsid w:val="00C51F24"/>
    <w:rsid w:val="00C76D40"/>
    <w:rsid w:val="00CC5739"/>
    <w:rsid w:val="00D05A75"/>
    <w:rsid w:val="00D358F9"/>
    <w:rsid w:val="00D45234"/>
    <w:rsid w:val="00D6298E"/>
    <w:rsid w:val="00DB2160"/>
    <w:rsid w:val="00DB3A07"/>
    <w:rsid w:val="00DB4144"/>
    <w:rsid w:val="00DD16B4"/>
    <w:rsid w:val="00DD44E9"/>
    <w:rsid w:val="00DD4698"/>
    <w:rsid w:val="00DF5AAF"/>
    <w:rsid w:val="00E0581E"/>
    <w:rsid w:val="00E06D69"/>
    <w:rsid w:val="00E60191"/>
    <w:rsid w:val="00E964B1"/>
    <w:rsid w:val="00EC5D1C"/>
    <w:rsid w:val="00EC65E3"/>
    <w:rsid w:val="00EE7EE9"/>
    <w:rsid w:val="00F01B6C"/>
    <w:rsid w:val="00F926DC"/>
    <w:rsid w:val="00F97785"/>
    <w:rsid w:val="00FC3C4C"/>
    <w:rsid w:val="00FE58C7"/>
    <w:rsid w:val="00FF35C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2FC9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0F0"/>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10F0"/>
    <w:pPr>
      <w:spacing w:before="120"/>
      <w:ind w:firstLine="720"/>
    </w:pPr>
    <w:rPr>
      <w:rFonts w:eastAsia="Times New Roman"/>
      <w:sz w:val="24"/>
      <w:szCs w:val="24"/>
    </w:rPr>
  </w:style>
  <w:style w:type="paragraph" w:styleId="Footer">
    <w:name w:val="footer"/>
    <w:basedOn w:val="Normal"/>
    <w:link w:val="FooterChar"/>
    <w:uiPriority w:val="99"/>
    <w:rsid w:val="00A510F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A510F0"/>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A510F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A510F0"/>
    <w:rPr>
      <w:rFonts w:ascii="Times New Roman" w:eastAsia="Times New Roman" w:hAnsi="Times New Roman" w:cs="Times New Roman"/>
      <w:sz w:val="20"/>
      <w:szCs w:val="20"/>
      <w:lang w:eastAsia="en-US"/>
    </w:rPr>
  </w:style>
  <w:style w:type="character" w:styleId="PageNumber">
    <w:name w:val="page number"/>
    <w:basedOn w:val="DefaultParagraphFont"/>
    <w:rsid w:val="00A510F0"/>
  </w:style>
  <w:style w:type="paragraph" w:customStyle="1" w:styleId="SOMHead">
    <w:name w:val="SOMHead"/>
    <w:basedOn w:val="Normal"/>
    <w:rsid w:val="00A510F0"/>
    <w:pPr>
      <w:keepNext/>
      <w:spacing w:before="240"/>
      <w:outlineLvl w:val="0"/>
    </w:pPr>
    <w:rPr>
      <w:rFonts w:eastAsia="Times New Roman"/>
      <w:b/>
      <w:kern w:val="28"/>
      <w:sz w:val="24"/>
      <w:szCs w:val="24"/>
    </w:rPr>
  </w:style>
  <w:style w:type="paragraph" w:styleId="BalloonText">
    <w:name w:val="Balloon Text"/>
    <w:basedOn w:val="Normal"/>
    <w:link w:val="BalloonTextChar"/>
    <w:uiPriority w:val="99"/>
    <w:semiHidden/>
    <w:unhideWhenUsed/>
    <w:rsid w:val="00A51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0F0"/>
    <w:rPr>
      <w:rFonts w:ascii="Lucida Grande" w:eastAsia="Calibri" w:hAnsi="Lucida Grande" w:cs="Lucida Grande"/>
      <w:sz w:val="18"/>
      <w:szCs w:val="18"/>
      <w:lang w:eastAsia="en-US"/>
    </w:rPr>
  </w:style>
  <w:style w:type="paragraph" w:customStyle="1" w:styleId="Acknowledgement">
    <w:name w:val="Acknowledgement"/>
    <w:basedOn w:val="Normal"/>
    <w:rsid w:val="00154D7C"/>
    <w:pPr>
      <w:spacing w:before="120"/>
      <w:ind w:left="720" w:hanging="720"/>
    </w:pPr>
    <w:rPr>
      <w:rFonts w:eastAsia="Times New Roman"/>
      <w:sz w:val="24"/>
      <w:szCs w:val="24"/>
    </w:rPr>
  </w:style>
  <w:style w:type="paragraph" w:customStyle="1" w:styleId="Head">
    <w:name w:val="Head"/>
    <w:basedOn w:val="Normal"/>
    <w:rsid w:val="006473B5"/>
    <w:pPr>
      <w:keepNext/>
      <w:spacing w:before="120" w:after="120"/>
      <w:jc w:val="center"/>
      <w:outlineLvl w:val="0"/>
    </w:pPr>
    <w:rPr>
      <w:rFonts w:eastAsia="Times New Roman"/>
      <w:b/>
      <w:bCs/>
      <w:kern w:val="28"/>
      <w:sz w:val="28"/>
      <w:szCs w:val="28"/>
    </w:rPr>
  </w:style>
  <w:style w:type="character" w:styleId="CommentReference">
    <w:name w:val="annotation reference"/>
    <w:basedOn w:val="DefaultParagraphFont"/>
    <w:uiPriority w:val="99"/>
    <w:semiHidden/>
    <w:unhideWhenUsed/>
    <w:rsid w:val="008722E6"/>
    <w:rPr>
      <w:sz w:val="16"/>
      <w:szCs w:val="16"/>
    </w:rPr>
  </w:style>
  <w:style w:type="paragraph" w:styleId="CommentText">
    <w:name w:val="annotation text"/>
    <w:basedOn w:val="Normal"/>
    <w:link w:val="CommentTextChar"/>
    <w:uiPriority w:val="99"/>
    <w:semiHidden/>
    <w:unhideWhenUsed/>
    <w:rsid w:val="008722E6"/>
  </w:style>
  <w:style w:type="character" w:customStyle="1" w:styleId="CommentTextChar">
    <w:name w:val="Comment Text Char"/>
    <w:basedOn w:val="DefaultParagraphFont"/>
    <w:link w:val="CommentText"/>
    <w:uiPriority w:val="99"/>
    <w:semiHidden/>
    <w:rsid w:val="008722E6"/>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722E6"/>
    <w:rPr>
      <w:b/>
      <w:bCs/>
    </w:rPr>
  </w:style>
  <w:style w:type="character" w:customStyle="1" w:styleId="CommentSubjectChar">
    <w:name w:val="Comment Subject Char"/>
    <w:basedOn w:val="CommentTextChar"/>
    <w:link w:val="CommentSubject"/>
    <w:uiPriority w:val="99"/>
    <w:semiHidden/>
    <w:rsid w:val="008722E6"/>
    <w:rPr>
      <w:rFonts w:ascii="Times New Roman" w:eastAsia="Calibri" w:hAnsi="Times New Roman" w:cs="Times New Roman"/>
      <w:b/>
      <w:bCs/>
      <w:sz w:val="20"/>
      <w:szCs w:val="20"/>
      <w:lang w:eastAsia="en-US"/>
    </w:rPr>
  </w:style>
  <w:style w:type="paragraph" w:styleId="DocumentMap">
    <w:name w:val="Document Map"/>
    <w:basedOn w:val="Normal"/>
    <w:link w:val="DocumentMapChar"/>
    <w:uiPriority w:val="99"/>
    <w:semiHidden/>
    <w:unhideWhenUsed/>
    <w:rsid w:val="00A71E5A"/>
    <w:rPr>
      <w:sz w:val="24"/>
      <w:szCs w:val="24"/>
    </w:rPr>
  </w:style>
  <w:style w:type="character" w:customStyle="1" w:styleId="DocumentMapChar">
    <w:name w:val="Document Map Char"/>
    <w:basedOn w:val="DefaultParagraphFont"/>
    <w:link w:val="DocumentMap"/>
    <w:uiPriority w:val="99"/>
    <w:semiHidden/>
    <w:rsid w:val="00A71E5A"/>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9DE2057-2FDB-2E4E-B18F-00F62007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2064</Words>
  <Characters>11768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LIMM Leeds</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Kiltie</dc:creator>
  <cp:keywords/>
  <dc:description/>
  <cp:lastModifiedBy>Microsoft Office User</cp:lastModifiedBy>
  <cp:revision>3</cp:revision>
  <cp:lastPrinted>2016-01-28T09:04:00Z</cp:lastPrinted>
  <dcterms:created xsi:type="dcterms:W3CDTF">2017-07-19T07:24:00Z</dcterms:created>
  <dcterms:modified xsi:type="dcterms:W3CDTF">2017-07-19T07:25:00Z</dcterms:modified>
</cp:coreProperties>
</file>