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22" w:rsidRDefault="0039430B" w:rsidP="00C50C22">
      <w:pPr>
        <w:rPr>
          <w:b/>
          <w:i/>
          <w:lang w:val="en-US"/>
        </w:rPr>
      </w:pPr>
      <w:r>
        <w:rPr>
          <w:b/>
          <w:i/>
          <w:noProof/>
          <w:lang w:eastAsia="it-IT"/>
        </w:rPr>
        <w:drawing>
          <wp:inline distT="0" distB="0" distL="0" distR="0">
            <wp:extent cx="6120130" cy="52552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6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5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C22" w:rsidRDefault="00C50C22" w:rsidP="00C50C22">
      <w:pPr>
        <w:rPr>
          <w:b/>
          <w:i/>
          <w:lang w:val="en-US"/>
        </w:rPr>
      </w:pPr>
    </w:p>
    <w:p w:rsidR="00C50C22" w:rsidRDefault="00C50C22" w:rsidP="00C50C22">
      <w:pPr>
        <w:rPr>
          <w:b/>
          <w:i/>
          <w:lang w:val="en-US"/>
        </w:rPr>
      </w:pPr>
    </w:p>
    <w:p w:rsidR="00813FF8" w:rsidRPr="00C50C22" w:rsidRDefault="0039430B" w:rsidP="00F93FBD">
      <w:pPr>
        <w:jc w:val="both"/>
        <w:rPr>
          <w:lang w:val="en-US"/>
        </w:rPr>
      </w:pPr>
      <w:r w:rsidRPr="002C076C">
        <w:rPr>
          <w:rFonts w:cstheme="minorHAnsi"/>
          <w:b/>
          <w:i/>
          <w:lang w:val="en-US"/>
        </w:rPr>
        <w:t>Figure S</w:t>
      </w:r>
      <w:r>
        <w:rPr>
          <w:rFonts w:cstheme="minorHAnsi"/>
          <w:b/>
          <w:i/>
          <w:lang w:val="en-US"/>
        </w:rPr>
        <w:t>6</w:t>
      </w:r>
      <w:r w:rsidRPr="002C076C">
        <w:rPr>
          <w:rFonts w:cstheme="minorHAnsi"/>
          <w:b/>
          <w:i/>
          <w:lang w:val="en-US"/>
        </w:rPr>
        <w:t xml:space="preserve">: </w:t>
      </w:r>
      <w:r w:rsidRPr="002C076C">
        <w:rPr>
          <w:rFonts w:cstheme="minorHAnsi"/>
          <w:i/>
          <w:color w:val="131413"/>
          <w:lang w:val="en-US"/>
        </w:rPr>
        <w:t>Effect of IAA on apoptosis in GB CSCs</w:t>
      </w:r>
      <w:r w:rsidRPr="002C076C">
        <w:rPr>
          <w:rFonts w:cstheme="minorHAnsi"/>
          <w:b/>
          <w:i/>
          <w:color w:val="131413"/>
          <w:lang w:val="en-US"/>
        </w:rPr>
        <w:t>.</w:t>
      </w:r>
      <w:r w:rsidRPr="002C076C">
        <w:rPr>
          <w:rFonts w:cstheme="minorHAnsi"/>
          <w:b/>
          <w:i/>
          <w:lang w:val="en-US"/>
        </w:rPr>
        <w:t xml:space="preserve"> </w:t>
      </w:r>
      <w:r w:rsidRPr="002C076C">
        <w:rPr>
          <w:rFonts w:cstheme="minorHAnsi"/>
          <w:i/>
          <w:color w:val="131413"/>
          <w:lang w:val="en-US"/>
        </w:rPr>
        <w:t>Cells (</w:t>
      </w:r>
      <w:r w:rsidRPr="002C076C">
        <w:rPr>
          <w:rFonts w:cstheme="minorHAnsi"/>
          <w:i/>
          <w:lang w:val="en-US"/>
        </w:rPr>
        <w:t xml:space="preserve">GB3, GB23) </w:t>
      </w:r>
      <w:r w:rsidRPr="002C076C">
        <w:rPr>
          <w:rFonts w:cstheme="minorHAnsi"/>
          <w:i/>
          <w:color w:val="131413"/>
          <w:lang w:val="en-US"/>
        </w:rPr>
        <w:t xml:space="preserve">were treated with vehicle or IAA94 for 24 h and 48 h and stained with </w:t>
      </w:r>
      <w:proofErr w:type="spellStart"/>
      <w:r w:rsidRPr="002C076C">
        <w:rPr>
          <w:rFonts w:cstheme="minorHAnsi"/>
          <w:i/>
          <w:color w:val="131413"/>
          <w:lang w:val="en-US"/>
        </w:rPr>
        <w:t>Annexin</w:t>
      </w:r>
      <w:proofErr w:type="spellEnd"/>
      <w:r w:rsidRPr="002C076C">
        <w:rPr>
          <w:rFonts w:cstheme="minorHAnsi"/>
          <w:i/>
          <w:color w:val="131413"/>
          <w:lang w:val="en-US"/>
        </w:rPr>
        <w:t xml:space="preserve"> V</w:t>
      </w:r>
      <w:r w:rsidRPr="002C076C">
        <w:rPr>
          <w:rFonts w:cstheme="minorHAnsi"/>
          <w:i/>
          <w:lang w:val="en-US"/>
        </w:rPr>
        <w:t xml:space="preserve"> </w:t>
      </w:r>
      <w:r w:rsidRPr="002C076C">
        <w:rPr>
          <w:rFonts w:cstheme="minorHAnsi"/>
          <w:i/>
          <w:color w:val="131413"/>
          <w:lang w:val="en-US"/>
        </w:rPr>
        <w:t xml:space="preserve">conjugated to fluorescein </w:t>
      </w:r>
      <w:proofErr w:type="spellStart"/>
      <w:r w:rsidRPr="002C076C">
        <w:rPr>
          <w:rFonts w:cstheme="minorHAnsi"/>
          <w:i/>
          <w:color w:val="131413"/>
          <w:lang w:val="en-US"/>
        </w:rPr>
        <w:t>isothiocyanate</w:t>
      </w:r>
      <w:proofErr w:type="spellEnd"/>
      <w:r w:rsidRPr="002C076C">
        <w:rPr>
          <w:rFonts w:cstheme="minorHAnsi"/>
          <w:i/>
          <w:color w:val="131413"/>
          <w:lang w:val="en-US"/>
        </w:rPr>
        <w:t xml:space="preserve"> (FITC) to observe apoptotic cells, and counterstained with propidium iodide (PI) to determine the proportion of necrotic cells using the Apoptosis Detection Kit (</w:t>
      </w:r>
      <w:proofErr w:type="spellStart"/>
      <w:r w:rsidRPr="002C076C">
        <w:rPr>
          <w:rFonts w:cstheme="minorHAnsi"/>
          <w:i/>
          <w:color w:val="131413"/>
          <w:lang w:val="en-US"/>
        </w:rPr>
        <w:t>eBioscience</w:t>
      </w:r>
      <w:proofErr w:type="spellEnd"/>
      <w:r w:rsidRPr="002C076C">
        <w:rPr>
          <w:rFonts w:cstheme="minorHAnsi"/>
          <w:i/>
          <w:color w:val="131413"/>
          <w:lang w:val="en-US"/>
        </w:rPr>
        <w:t xml:space="preserve">) according to the manufacturer's instructions. </w:t>
      </w:r>
      <w:r w:rsidRPr="002C076C">
        <w:rPr>
          <w:rFonts w:cstheme="minorHAnsi"/>
          <w:i/>
          <w:lang w:val="en-US"/>
        </w:rPr>
        <w:t xml:space="preserve">Each sample was analyzed with flow cytometry using a </w:t>
      </w:r>
      <w:proofErr w:type="spellStart"/>
      <w:r w:rsidRPr="002C076C">
        <w:rPr>
          <w:rFonts w:cstheme="minorHAnsi"/>
          <w:i/>
          <w:lang w:val="en-US"/>
        </w:rPr>
        <w:t>FACScalibur</w:t>
      </w:r>
      <w:proofErr w:type="spellEnd"/>
      <w:r w:rsidRPr="002C076C">
        <w:rPr>
          <w:rFonts w:cstheme="minorHAnsi"/>
          <w:i/>
          <w:lang w:val="en-US"/>
        </w:rPr>
        <w:t xml:space="preserve"> (BD Bioscience) recording at least 10,000 events per sample. </w:t>
      </w:r>
      <w:r w:rsidRPr="002C076C">
        <w:rPr>
          <w:rFonts w:cstheme="minorHAnsi"/>
          <w:i/>
          <w:color w:val="131413"/>
          <w:lang w:val="en-US"/>
        </w:rPr>
        <w:t>The percentage of cell death was the sum of the percentages of early and late apoptosis.</w:t>
      </w:r>
      <w:r w:rsidRPr="002C076C">
        <w:rPr>
          <w:rFonts w:cstheme="minorHAnsi"/>
          <w:i/>
          <w:lang w:val="en-US"/>
        </w:rPr>
        <w:t xml:space="preserve"> Forty-eight hours of treatment with IAA induced a statistically significant increase in the percentage of apoptotic cells (9.2%) compared with vehicle-treated controls (2.4%) in GBM3 cells, while IAA-induced apoptosis was less evident in GBM23 cells (5.4% after 48h) and did not reach statistical significance.</w:t>
      </w:r>
      <w:r w:rsidRPr="002C076C">
        <w:rPr>
          <w:rFonts w:cstheme="minorHAnsi"/>
          <w:i/>
          <w:color w:val="131413"/>
          <w:lang w:val="en-US"/>
        </w:rPr>
        <w:t xml:space="preserve"> Data are the mean ± S.E.M. of percentages of </w:t>
      </w:r>
      <w:proofErr w:type="spellStart"/>
      <w:r w:rsidRPr="002C076C">
        <w:rPr>
          <w:rFonts w:cstheme="minorHAnsi"/>
          <w:i/>
          <w:color w:val="131413"/>
          <w:lang w:val="en-US"/>
        </w:rPr>
        <w:t>Annexin</w:t>
      </w:r>
      <w:proofErr w:type="spellEnd"/>
      <w:r w:rsidRPr="002C076C">
        <w:rPr>
          <w:rFonts w:cstheme="minorHAnsi"/>
          <w:i/>
          <w:color w:val="131413"/>
          <w:lang w:val="en-US"/>
        </w:rPr>
        <w:t xml:space="preserve"> V-positive cells. (</w:t>
      </w:r>
      <w:r w:rsidRPr="002C076C">
        <w:rPr>
          <w:rFonts w:cstheme="minorHAnsi"/>
          <w:i/>
          <w:lang w:val="en-US"/>
        </w:rPr>
        <w:t>* p &lt; 0.05).</w:t>
      </w:r>
    </w:p>
    <w:sectPr w:rsidR="00813FF8" w:rsidRPr="00C50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2"/>
    <w:rsid w:val="000667EE"/>
    <w:rsid w:val="00354CA0"/>
    <w:rsid w:val="0039430B"/>
    <w:rsid w:val="00813FF8"/>
    <w:rsid w:val="00A93176"/>
    <w:rsid w:val="00C50C22"/>
    <w:rsid w:val="00D95D0D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6B1F"/>
  <w15:chartTrackingRefBased/>
  <w15:docId w15:val="{BA5BF5A0-D380-4409-8C0C-778CD1A4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Mazzanti</dc:creator>
  <cp:keywords/>
  <dc:description/>
  <cp:lastModifiedBy>Michele Mazzanti</cp:lastModifiedBy>
  <cp:revision>2</cp:revision>
  <dcterms:created xsi:type="dcterms:W3CDTF">2018-05-16T07:59:00Z</dcterms:created>
  <dcterms:modified xsi:type="dcterms:W3CDTF">2018-05-16T07:59:00Z</dcterms:modified>
</cp:coreProperties>
</file>