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2B90" w14:textId="53AEF5F0" w:rsidR="009E185E" w:rsidRDefault="009E185E" w:rsidP="009E185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SUPPLEMENTARY DATA</w:t>
      </w:r>
    </w:p>
    <w:p w14:paraId="3AB61671" w14:textId="77777777" w:rsidR="009E185E" w:rsidRDefault="009E185E" w:rsidP="009E185E">
      <w:pPr>
        <w:rPr>
          <w:rFonts w:cs="Arial"/>
          <w:b/>
          <w:szCs w:val="22"/>
        </w:rPr>
      </w:pPr>
    </w:p>
    <w:p w14:paraId="0B1D51B6" w14:textId="77777777" w:rsidR="00896D46" w:rsidRDefault="00896D46" w:rsidP="009E185E">
      <w:pPr>
        <w:rPr>
          <w:rFonts w:cs="Arial"/>
          <w:b/>
          <w:szCs w:val="22"/>
        </w:rPr>
      </w:pPr>
    </w:p>
    <w:p w14:paraId="7ED46949" w14:textId="77777777" w:rsidR="00896D46" w:rsidRDefault="00896D46" w:rsidP="009E185E">
      <w:pPr>
        <w:rPr>
          <w:rFonts w:cs="Arial"/>
          <w:b/>
          <w:szCs w:val="22"/>
        </w:rPr>
      </w:pPr>
    </w:p>
    <w:p w14:paraId="35D8223C" w14:textId="7C84DD63" w:rsidR="00896D46" w:rsidRDefault="00B15907" w:rsidP="009E185E">
      <w:pPr>
        <w:rPr>
          <w:rFonts w:cs="Arial"/>
          <w:szCs w:val="22"/>
        </w:rPr>
      </w:pPr>
      <w:r>
        <w:rPr>
          <w:rFonts w:cs="Arial"/>
          <w:szCs w:val="22"/>
        </w:rPr>
        <w:t xml:space="preserve">Supplementary Table </w:t>
      </w:r>
      <w:r w:rsidR="00896D46">
        <w:rPr>
          <w:rFonts w:cs="Arial"/>
          <w:szCs w:val="22"/>
        </w:rPr>
        <w:t xml:space="preserve">1: </w:t>
      </w:r>
      <w:r w:rsidR="00896D46">
        <w:rPr>
          <w:rFonts w:cs="Arial"/>
          <w:szCs w:val="22"/>
        </w:rPr>
        <w:tab/>
        <w:t>List of Antibodies used for Western and IHC</w:t>
      </w:r>
    </w:p>
    <w:p w14:paraId="277F6B9D" w14:textId="77777777" w:rsidR="00602338" w:rsidRDefault="00602338" w:rsidP="009E185E">
      <w:pPr>
        <w:rPr>
          <w:rFonts w:cs="Arial"/>
          <w:szCs w:val="22"/>
        </w:rPr>
      </w:pPr>
    </w:p>
    <w:p w14:paraId="717463A6" w14:textId="77777777" w:rsidR="00602338" w:rsidRDefault="00602338" w:rsidP="00602338">
      <w:pPr>
        <w:rPr>
          <w:bCs/>
        </w:rPr>
      </w:pPr>
      <w:r>
        <w:rPr>
          <w:bCs/>
        </w:rPr>
        <w:t>Supplementary Table 2:</w:t>
      </w:r>
      <w:r>
        <w:rPr>
          <w:bCs/>
        </w:rPr>
        <w:tab/>
        <w:t>Plating efficiency (</w:t>
      </w:r>
      <w:proofErr w:type="spellStart"/>
      <w:r>
        <w:rPr>
          <w:bCs/>
        </w:rPr>
        <w:t>clonogenic</w:t>
      </w:r>
      <w:proofErr w:type="spellEnd"/>
      <w:r>
        <w:rPr>
          <w:bCs/>
        </w:rPr>
        <w:t xml:space="preserve"> assay)</w:t>
      </w:r>
    </w:p>
    <w:p w14:paraId="5E503BD4" w14:textId="77777777" w:rsidR="00602338" w:rsidRDefault="00602338" w:rsidP="00602338">
      <w:pPr>
        <w:rPr>
          <w:bCs/>
        </w:rPr>
      </w:pPr>
    </w:p>
    <w:p w14:paraId="489252FB" w14:textId="77777777" w:rsidR="00602338" w:rsidRPr="00896D46" w:rsidRDefault="00602338" w:rsidP="00602338">
      <w:pPr>
        <w:rPr>
          <w:rFonts w:cs="Arial"/>
          <w:szCs w:val="22"/>
        </w:rPr>
      </w:pPr>
      <w:r>
        <w:t>Supplementary Table 3:</w:t>
      </w:r>
      <w:r>
        <w:tab/>
        <w:t xml:space="preserve">Statistical analysis of tumor growth rates in xenograft experiments </w:t>
      </w:r>
      <w:r>
        <w:tab/>
      </w:r>
      <w:r>
        <w:tab/>
      </w:r>
      <w:r>
        <w:tab/>
      </w:r>
      <w:r>
        <w:tab/>
      </w:r>
      <w:r>
        <w:tab/>
        <w:t xml:space="preserve">(linear mixed effects model </w:t>
      </w:r>
      <w:r w:rsidRPr="006F0FA1">
        <w:t>with animal-specific random effects</w:t>
      </w:r>
      <w:r>
        <w:t>)</w:t>
      </w:r>
    </w:p>
    <w:p w14:paraId="308633D6" w14:textId="77777777" w:rsidR="00602338" w:rsidRDefault="00602338" w:rsidP="00602338">
      <w:pPr>
        <w:rPr>
          <w:rFonts w:cs="Arial"/>
          <w:b/>
          <w:szCs w:val="22"/>
        </w:rPr>
      </w:pPr>
    </w:p>
    <w:p w14:paraId="5F2DDA60" w14:textId="5A24B77E" w:rsidR="00896D46" w:rsidRDefault="00B15907" w:rsidP="009E185E">
      <w:pPr>
        <w:rPr>
          <w:bCs/>
        </w:rPr>
      </w:pPr>
      <w:r>
        <w:rPr>
          <w:rFonts w:cs="Arial"/>
          <w:szCs w:val="22"/>
        </w:rPr>
        <w:t>Supplementary Figure 1</w:t>
      </w:r>
      <w:r w:rsidR="00896D46">
        <w:rPr>
          <w:rFonts w:cs="Arial"/>
          <w:szCs w:val="22"/>
        </w:rPr>
        <w:t xml:space="preserve">: </w:t>
      </w:r>
      <w:r w:rsidR="00896D46">
        <w:rPr>
          <w:rFonts w:cs="Arial"/>
          <w:szCs w:val="22"/>
        </w:rPr>
        <w:tab/>
      </w:r>
      <w:r w:rsidR="00896D46">
        <w:rPr>
          <w:bCs/>
        </w:rPr>
        <w:t>CLR127 effect on cell viability (MTT Assay)</w:t>
      </w:r>
    </w:p>
    <w:p w14:paraId="36C0E2F8" w14:textId="77777777" w:rsidR="002164D6" w:rsidRDefault="002164D6" w:rsidP="009E185E">
      <w:pPr>
        <w:rPr>
          <w:bCs/>
        </w:rPr>
      </w:pPr>
    </w:p>
    <w:p w14:paraId="0FAC5558" w14:textId="3B345244" w:rsidR="00896D46" w:rsidRDefault="00B15907" w:rsidP="009E185E">
      <w:pPr>
        <w:rPr>
          <w:bCs/>
        </w:rPr>
      </w:pPr>
      <w:r>
        <w:rPr>
          <w:bCs/>
        </w:rPr>
        <w:t>Supplementary Figure 2</w:t>
      </w:r>
      <w:r w:rsidR="00896D46">
        <w:rPr>
          <w:bCs/>
        </w:rPr>
        <w:t xml:space="preserve">: </w:t>
      </w:r>
      <w:r w:rsidR="00896D46">
        <w:rPr>
          <w:bCs/>
        </w:rPr>
        <w:tab/>
      </w:r>
      <w:r w:rsidR="00896D46" w:rsidRPr="0051207E">
        <w:rPr>
          <w:bCs/>
        </w:rPr>
        <w:t>Effect of CLR</w:t>
      </w:r>
      <w:r w:rsidR="00896D46">
        <w:rPr>
          <w:bCs/>
        </w:rPr>
        <w:t>127</w:t>
      </w:r>
      <w:r w:rsidR="00896D46" w:rsidRPr="0051207E">
        <w:rPr>
          <w:bCs/>
        </w:rPr>
        <w:t xml:space="preserve"> </w:t>
      </w:r>
      <w:r w:rsidR="00896D46">
        <w:rPr>
          <w:bCs/>
        </w:rPr>
        <w:t xml:space="preserve">(CLR) </w:t>
      </w:r>
      <w:r w:rsidR="00896D46" w:rsidRPr="0051207E">
        <w:rPr>
          <w:bCs/>
        </w:rPr>
        <w:t>and radiation on DNA damage repair</w:t>
      </w:r>
      <w:r w:rsidR="00896D46">
        <w:rPr>
          <w:bCs/>
        </w:rPr>
        <w:t xml:space="preserve"> by </w:t>
      </w:r>
      <w:r w:rsidR="00896D46">
        <w:rPr>
          <w:bCs/>
        </w:rPr>
        <w:tab/>
      </w:r>
      <w:r w:rsidR="00896D46">
        <w:rPr>
          <w:bCs/>
        </w:rPr>
        <w:tab/>
      </w:r>
      <w:r w:rsidR="00896D46">
        <w:rPr>
          <w:bCs/>
        </w:rPr>
        <w:tab/>
      </w:r>
      <w:r w:rsidR="00896D46">
        <w:rPr>
          <w:bCs/>
        </w:rPr>
        <w:tab/>
      </w:r>
      <w:r w:rsidR="00896D46">
        <w:rPr>
          <w:bCs/>
        </w:rPr>
        <w:tab/>
        <w:t>western blot</w:t>
      </w:r>
      <w:r w:rsidR="00896D46">
        <w:rPr>
          <w:bCs/>
        </w:rPr>
        <w:tab/>
      </w:r>
    </w:p>
    <w:p w14:paraId="20D002BC" w14:textId="77777777" w:rsidR="002164D6" w:rsidRDefault="002164D6" w:rsidP="009E185E">
      <w:pPr>
        <w:rPr>
          <w:bCs/>
        </w:rPr>
      </w:pPr>
    </w:p>
    <w:p w14:paraId="57DF05F6" w14:textId="4B413F8E" w:rsidR="00896D46" w:rsidRDefault="00B15907" w:rsidP="009E185E">
      <w:r>
        <w:rPr>
          <w:bCs/>
        </w:rPr>
        <w:t>Supplementary Figure 3</w:t>
      </w:r>
      <w:r w:rsidR="00896D46">
        <w:rPr>
          <w:bCs/>
        </w:rPr>
        <w:t>:</w:t>
      </w:r>
      <w:r w:rsidR="00896D46">
        <w:rPr>
          <w:bCs/>
        </w:rPr>
        <w:tab/>
      </w:r>
      <w:r w:rsidR="00896D46" w:rsidRPr="006F0FA1">
        <w:t>Tumor growth rates</w:t>
      </w:r>
      <w:r w:rsidR="00896D46">
        <w:t xml:space="preserve"> of flank xenografts after treatment with </w:t>
      </w:r>
      <w:r w:rsidR="00896D46">
        <w:tab/>
      </w:r>
      <w:r w:rsidR="00896D46">
        <w:tab/>
      </w:r>
      <w:r w:rsidR="00896D46">
        <w:tab/>
      </w:r>
      <w:r w:rsidR="00896D46">
        <w:tab/>
      </w:r>
      <w:r w:rsidR="00896D46">
        <w:tab/>
        <w:t>radiation, CLR127 or combination therapy</w:t>
      </w:r>
    </w:p>
    <w:p w14:paraId="6705BA70" w14:textId="77777777" w:rsidR="002164D6" w:rsidRDefault="002164D6" w:rsidP="009E185E"/>
    <w:p w14:paraId="6683039C" w14:textId="77777777" w:rsidR="00896D46" w:rsidRDefault="00896D46" w:rsidP="009E185E">
      <w:pPr>
        <w:rPr>
          <w:rFonts w:cs="Arial"/>
          <w:b/>
          <w:szCs w:val="22"/>
        </w:rPr>
      </w:pPr>
    </w:p>
    <w:p w14:paraId="4B2E55DB" w14:textId="77777777" w:rsidR="00896D46" w:rsidRDefault="00896D46" w:rsidP="009E185E">
      <w:pPr>
        <w:rPr>
          <w:rFonts w:cs="Arial"/>
          <w:b/>
          <w:szCs w:val="22"/>
        </w:rPr>
      </w:pPr>
    </w:p>
    <w:p w14:paraId="4BA098C3" w14:textId="77777777" w:rsidR="00896D46" w:rsidRDefault="00896D46" w:rsidP="009E185E">
      <w:pPr>
        <w:rPr>
          <w:rFonts w:cs="Arial"/>
          <w:b/>
          <w:szCs w:val="22"/>
        </w:rPr>
      </w:pPr>
    </w:p>
    <w:p w14:paraId="6B114163" w14:textId="77777777" w:rsidR="00896D46" w:rsidRDefault="00896D46" w:rsidP="009E185E">
      <w:pPr>
        <w:rPr>
          <w:rFonts w:cs="Arial"/>
          <w:b/>
          <w:szCs w:val="22"/>
        </w:rPr>
      </w:pPr>
    </w:p>
    <w:p w14:paraId="100656EC" w14:textId="77777777" w:rsidR="00896D46" w:rsidRDefault="00896D46" w:rsidP="009E185E">
      <w:pPr>
        <w:rPr>
          <w:rFonts w:cs="Arial"/>
          <w:b/>
          <w:szCs w:val="22"/>
        </w:rPr>
      </w:pPr>
    </w:p>
    <w:p w14:paraId="5E415B32" w14:textId="77777777" w:rsidR="00896D46" w:rsidRDefault="00896D46" w:rsidP="009E185E">
      <w:pPr>
        <w:rPr>
          <w:rFonts w:cs="Arial"/>
          <w:b/>
          <w:szCs w:val="22"/>
        </w:rPr>
      </w:pPr>
    </w:p>
    <w:p w14:paraId="0C54879A" w14:textId="77777777" w:rsidR="00896D46" w:rsidRDefault="00896D46" w:rsidP="009E185E">
      <w:pPr>
        <w:rPr>
          <w:rFonts w:cs="Arial"/>
          <w:b/>
          <w:szCs w:val="22"/>
        </w:rPr>
      </w:pPr>
    </w:p>
    <w:p w14:paraId="21E2CAC8" w14:textId="77777777" w:rsidR="00896D46" w:rsidRDefault="00896D46" w:rsidP="009E185E">
      <w:pPr>
        <w:rPr>
          <w:rFonts w:cs="Arial"/>
          <w:b/>
          <w:szCs w:val="22"/>
        </w:rPr>
      </w:pPr>
    </w:p>
    <w:p w14:paraId="148A181A" w14:textId="77777777" w:rsidR="00896D46" w:rsidRDefault="00896D46" w:rsidP="009E185E">
      <w:pPr>
        <w:rPr>
          <w:rFonts w:cs="Arial"/>
          <w:b/>
          <w:szCs w:val="22"/>
        </w:rPr>
      </w:pPr>
    </w:p>
    <w:p w14:paraId="10CB4ED4" w14:textId="77777777" w:rsidR="00896D46" w:rsidRDefault="00896D46" w:rsidP="009E185E">
      <w:pPr>
        <w:rPr>
          <w:rFonts w:cs="Arial"/>
          <w:b/>
          <w:szCs w:val="22"/>
        </w:rPr>
      </w:pPr>
    </w:p>
    <w:p w14:paraId="629BC307" w14:textId="77777777" w:rsidR="00896D46" w:rsidRDefault="00896D46" w:rsidP="009E185E">
      <w:pPr>
        <w:rPr>
          <w:rFonts w:cs="Arial"/>
          <w:b/>
          <w:szCs w:val="22"/>
        </w:rPr>
      </w:pPr>
    </w:p>
    <w:p w14:paraId="0C95BD3C" w14:textId="77777777" w:rsidR="00896D46" w:rsidRDefault="00896D46" w:rsidP="009E185E">
      <w:pPr>
        <w:rPr>
          <w:rFonts w:cs="Arial"/>
          <w:b/>
          <w:szCs w:val="22"/>
        </w:rPr>
      </w:pPr>
    </w:p>
    <w:p w14:paraId="67896A88" w14:textId="77777777" w:rsidR="00896D46" w:rsidRDefault="00896D46" w:rsidP="009E185E">
      <w:pPr>
        <w:rPr>
          <w:rFonts w:cs="Arial"/>
          <w:b/>
          <w:szCs w:val="22"/>
        </w:rPr>
      </w:pPr>
    </w:p>
    <w:p w14:paraId="1DC8C50A" w14:textId="77777777" w:rsidR="00896D46" w:rsidRDefault="00896D46" w:rsidP="009E185E">
      <w:pPr>
        <w:rPr>
          <w:rFonts w:cs="Arial"/>
          <w:b/>
          <w:szCs w:val="22"/>
        </w:rPr>
      </w:pPr>
    </w:p>
    <w:p w14:paraId="3A3BDE1C" w14:textId="77777777" w:rsidR="00896D46" w:rsidRDefault="00896D46" w:rsidP="009E185E">
      <w:pPr>
        <w:rPr>
          <w:rFonts w:cs="Arial"/>
          <w:b/>
          <w:szCs w:val="22"/>
        </w:rPr>
      </w:pPr>
    </w:p>
    <w:p w14:paraId="25C4AAF8" w14:textId="77777777" w:rsidR="00896D46" w:rsidRDefault="00896D46" w:rsidP="009E185E">
      <w:pPr>
        <w:rPr>
          <w:rFonts w:cs="Arial"/>
          <w:b/>
          <w:szCs w:val="22"/>
        </w:rPr>
      </w:pPr>
    </w:p>
    <w:p w14:paraId="04DFBAEC" w14:textId="77777777" w:rsidR="00896D46" w:rsidRDefault="00896D46" w:rsidP="009E185E">
      <w:pPr>
        <w:rPr>
          <w:rFonts w:cs="Arial"/>
          <w:b/>
          <w:szCs w:val="22"/>
        </w:rPr>
      </w:pPr>
    </w:p>
    <w:p w14:paraId="1612A683" w14:textId="77777777" w:rsidR="00896D46" w:rsidRDefault="00896D46" w:rsidP="009E185E">
      <w:pPr>
        <w:rPr>
          <w:rFonts w:cs="Arial"/>
          <w:b/>
          <w:szCs w:val="22"/>
        </w:rPr>
      </w:pPr>
    </w:p>
    <w:p w14:paraId="648A9A99" w14:textId="77777777" w:rsidR="00896D46" w:rsidRDefault="00896D46" w:rsidP="009E185E">
      <w:pPr>
        <w:rPr>
          <w:rFonts w:cs="Arial"/>
          <w:b/>
          <w:szCs w:val="22"/>
        </w:rPr>
      </w:pPr>
    </w:p>
    <w:p w14:paraId="3459C376" w14:textId="77777777" w:rsidR="00896D46" w:rsidRDefault="00896D46" w:rsidP="009E185E">
      <w:pPr>
        <w:rPr>
          <w:rFonts w:cs="Arial"/>
          <w:b/>
          <w:szCs w:val="22"/>
        </w:rPr>
      </w:pPr>
    </w:p>
    <w:p w14:paraId="72AC6493" w14:textId="77777777" w:rsidR="00896D46" w:rsidRDefault="00896D46" w:rsidP="009E185E">
      <w:pPr>
        <w:rPr>
          <w:rFonts w:cs="Arial"/>
          <w:b/>
          <w:szCs w:val="22"/>
        </w:rPr>
      </w:pPr>
    </w:p>
    <w:p w14:paraId="5A9B4C05" w14:textId="77777777" w:rsidR="00896D46" w:rsidRDefault="00896D46" w:rsidP="009E185E">
      <w:pPr>
        <w:rPr>
          <w:rFonts w:cs="Arial"/>
          <w:b/>
          <w:szCs w:val="22"/>
        </w:rPr>
      </w:pPr>
    </w:p>
    <w:p w14:paraId="12C035F5" w14:textId="77777777" w:rsidR="00896D46" w:rsidRDefault="00896D46" w:rsidP="009E185E">
      <w:pPr>
        <w:rPr>
          <w:rFonts w:cs="Arial"/>
          <w:b/>
          <w:szCs w:val="22"/>
        </w:rPr>
      </w:pPr>
    </w:p>
    <w:p w14:paraId="72E2BF2F" w14:textId="77777777" w:rsidR="00896D46" w:rsidRDefault="00896D46" w:rsidP="009E185E">
      <w:pPr>
        <w:rPr>
          <w:rFonts w:cs="Arial"/>
          <w:b/>
          <w:szCs w:val="22"/>
        </w:rPr>
      </w:pPr>
    </w:p>
    <w:p w14:paraId="7FCD5D57" w14:textId="77777777" w:rsidR="00896D46" w:rsidRDefault="00896D46" w:rsidP="009E185E">
      <w:pPr>
        <w:rPr>
          <w:rFonts w:cs="Arial"/>
          <w:b/>
          <w:szCs w:val="22"/>
        </w:rPr>
      </w:pPr>
    </w:p>
    <w:p w14:paraId="0482C8C5" w14:textId="77777777" w:rsidR="00896D46" w:rsidRDefault="00896D46" w:rsidP="009E185E">
      <w:pPr>
        <w:rPr>
          <w:rFonts w:cs="Arial"/>
          <w:b/>
          <w:szCs w:val="22"/>
        </w:rPr>
      </w:pPr>
    </w:p>
    <w:p w14:paraId="285CF247" w14:textId="77777777" w:rsidR="00896D46" w:rsidRDefault="00896D46" w:rsidP="009E185E">
      <w:pPr>
        <w:rPr>
          <w:rFonts w:cs="Arial"/>
          <w:b/>
          <w:szCs w:val="22"/>
        </w:rPr>
      </w:pPr>
    </w:p>
    <w:p w14:paraId="10C756ED" w14:textId="77777777" w:rsidR="00896D46" w:rsidRDefault="00896D46" w:rsidP="009E185E">
      <w:pPr>
        <w:rPr>
          <w:rFonts w:cs="Arial"/>
          <w:b/>
          <w:szCs w:val="22"/>
        </w:rPr>
      </w:pPr>
    </w:p>
    <w:p w14:paraId="4A5E805D" w14:textId="77777777" w:rsidR="00896D46" w:rsidRDefault="00896D46" w:rsidP="009E185E">
      <w:pPr>
        <w:rPr>
          <w:rFonts w:cs="Arial"/>
          <w:b/>
          <w:szCs w:val="22"/>
        </w:rPr>
      </w:pPr>
    </w:p>
    <w:p w14:paraId="266F4774" w14:textId="77777777" w:rsidR="00896D46" w:rsidRDefault="00896D46" w:rsidP="009E185E">
      <w:pPr>
        <w:rPr>
          <w:rFonts w:cs="Arial"/>
          <w:b/>
          <w:szCs w:val="22"/>
        </w:rPr>
      </w:pPr>
    </w:p>
    <w:p w14:paraId="1614F48D" w14:textId="77777777" w:rsidR="00896D46" w:rsidRDefault="00896D46" w:rsidP="009E185E">
      <w:pPr>
        <w:rPr>
          <w:rFonts w:cs="Arial"/>
          <w:b/>
          <w:szCs w:val="22"/>
        </w:rPr>
      </w:pPr>
    </w:p>
    <w:p w14:paraId="3CF67CAC" w14:textId="77777777" w:rsidR="00896D46" w:rsidRDefault="00896D46" w:rsidP="009E185E">
      <w:pPr>
        <w:rPr>
          <w:rFonts w:cs="Arial"/>
          <w:b/>
          <w:szCs w:val="22"/>
        </w:rPr>
      </w:pPr>
    </w:p>
    <w:p w14:paraId="45C35B4A" w14:textId="77777777" w:rsidR="00974A07" w:rsidRDefault="00974A07"/>
    <w:p w14:paraId="6C2F851A" w14:textId="77777777" w:rsidR="00602338" w:rsidRPr="006F0FA1" w:rsidRDefault="00602338"/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2250"/>
        <w:gridCol w:w="1620"/>
        <w:gridCol w:w="1260"/>
      </w:tblGrid>
      <w:tr w:rsidR="005570A6" w:rsidRPr="006F0FA1" w14:paraId="3A520C1A" w14:textId="77777777" w:rsidTr="005570A6">
        <w:tc>
          <w:tcPr>
            <w:tcW w:w="2245" w:type="dxa"/>
          </w:tcPr>
          <w:p w14:paraId="7292129A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6F0FA1">
              <w:rPr>
                <w:rFonts w:ascii="Arial" w:hAnsi="Arial" w:cs="Arial"/>
                <w:b/>
                <w:sz w:val="22"/>
              </w:rPr>
              <w:t>Specificity</w:t>
            </w:r>
          </w:p>
        </w:tc>
        <w:tc>
          <w:tcPr>
            <w:tcW w:w="1890" w:type="dxa"/>
          </w:tcPr>
          <w:p w14:paraId="68E08D49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6F0FA1">
              <w:rPr>
                <w:rFonts w:ascii="Arial" w:hAnsi="Arial" w:cs="Arial"/>
                <w:b/>
                <w:sz w:val="22"/>
              </w:rPr>
              <w:t>Source</w:t>
            </w:r>
          </w:p>
        </w:tc>
        <w:tc>
          <w:tcPr>
            <w:tcW w:w="2250" w:type="dxa"/>
          </w:tcPr>
          <w:p w14:paraId="099926BA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6F0FA1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1620" w:type="dxa"/>
          </w:tcPr>
          <w:p w14:paraId="536F750D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6F0FA1">
              <w:rPr>
                <w:rFonts w:ascii="Arial" w:hAnsi="Arial" w:cs="Arial"/>
                <w:b/>
                <w:sz w:val="22"/>
              </w:rPr>
              <w:t>Catalog no.</w:t>
            </w:r>
          </w:p>
        </w:tc>
        <w:tc>
          <w:tcPr>
            <w:tcW w:w="1260" w:type="dxa"/>
          </w:tcPr>
          <w:p w14:paraId="75EA5880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6F0FA1">
              <w:rPr>
                <w:rFonts w:ascii="Arial" w:hAnsi="Arial" w:cs="Arial"/>
                <w:b/>
                <w:sz w:val="22"/>
              </w:rPr>
              <w:t>Dilutions</w:t>
            </w:r>
          </w:p>
        </w:tc>
      </w:tr>
      <w:tr w:rsidR="005570A6" w:rsidRPr="006F0FA1" w14:paraId="01A6F924" w14:textId="77777777" w:rsidTr="005570A6">
        <w:tc>
          <w:tcPr>
            <w:tcW w:w="2245" w:type="dxa"/>
          </w:tcPr>
          <w:p w14:paraId="78A726F8" w14:textId="381499A7" w:rsidR="005570A6" w:rsidRPr="006F0FA1" w:rsidRDefault="0076096E" w:rsidP="005570A6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Phospho-</w:t>
            </w:r>
            <w:r w:rsidR="005570A6" w:rsidRPr="006F0FA1">
              <w:rPr>
                <w:rFonts w:ascii="Arial" w:hAnsi="Arial" w:cs="Arial"/>
                <w:sz w:val="22"/>
              </w:rPr>
              <w:t>BRCA1 (Ser1524)</w:t>
            </w:r>
          </w:p>
        </w:tc>
        <w:tc>
          <w:tcPr>
            <w:tcW w:w="1890" w:type="dxa"/>
          </w:tcPr>
          <w:p w14:paraId="3F8EFD04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Rabbit polyclonal</w:t>
            </w:r>
          </w:p>
        </w:tc>
        <w:tc>
          <w:tcPr>
            <w:tcW w:w="2250" w:type="dxa"/>
          </w:tcPr>
          <w:p w14:paraId="6B8D6548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Cell Signaling Technology</w:t>
            </w:r>
          </w:p>
        </w:tc>
        <w:tc>
          <w:tcPr>
            <w:tcW w:w="1620" w:type="dxa"/>
          </w:tcPr>
          <w:p w14:paraId="2A736B67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9009</w:t>
            </w:r>
          </w:p>
        </w:tc>
        <w:tc>
          <w:tcPr>
            <w:tcW w:w="1260" w:type="dxa"/>
          </w:tcPr>
          <w:p w14:paraId="28EC05CB" w14:textId="7D0C4295" w:rsidR="005570A6" w:rsidRPr="006F0FA1" w:rsidRDefault="008C50E2" w:rsidP="007A758F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1:1,0</w:t>
            </w:r>
            <w:r w:rsidR="005570A6" w:rsidRPr="006F0FA1">
              <w:rPr>
                <w:rFonts w:ascii="Arial" w:hAnsi="Arial" w:cs="Arial"/>
                <w:sz w:val="22"/>
              </w:rPr>
              <w:t>00</w:t>
            </w:r>
          </w:p>
        </w:tc>
      </w:tr>
      <w:tr w:rsidR="005570A6" w:rsidRPr="006F0FA1" w14:paraId="6C54762A" w14:textId="77777777" w:rsidTr="005570A6">
        <w:tc>
          <w:tcPr>
            <w:tcW w:w="2245" w:type="dxa"/>
          </w:tcPr>
          <w:p w14:paraId="10E123DA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γ-H2AX</w:t>
            </w:r>
          </w:p>
        </w:tc>
        <w:tc>
          <w:tcPr>
            <w:tcW w:w="1890" w:type="dxa"/>
          </w:tcPr>
          <w:p w14:paraId="28292961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Mouse monoclonal</w:t>
            </w:r>
          </w:p>
        </w:tc>
        <w:tc>
          <w:tcPr>
            <w:tcW w:w="2250" w:type="dxa"/>
          </w:tcPr>
          <w:p w14:paraId="4E253725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Millipore</w:t>
            </w:r>
          </w:p>
        </w:tc>
        <w:tc>
          <w:tcPr>
            <w:tcW w:w="1620" w:type="dxa"/>
          </w:tcPr>
          <w:p w14:paraId="04C1562B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05-636</w:t>
            </w:r>
          </w:p>
        </w:tc>
        <w:tc>
          <w:tcPr>
            <w:tcW w:w="1260" w:type="dxa"/>
          </w:tcPr>
          <w:p w14:paraId="08136D4A" w14:textId="3A57568D" w:rsidR="005570A6" w:rsidRPr="006F0FA1" w:rsidRDefault="008C50E2" w:rsidP="007A758F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1:1,0</w:t>
            </w:r>
            <w:r w:rsidR="005570A6" w:rsidRPr="006F0FA1">
              <w:rPr>
                <w:rFonts w:ascii="Arial" w:hAnsi="Arial" w:cs="Arial"/>
                <w:sz w:val="22"/>
              </w:rPr>
              <w:t>00</w:t>
            </w:r>
          </w:p>
        </w:tc>
      </w:tr>
      <w:tr w:rsidR="005570A6" w:rsidRPr="006F0FA1" w14:paraId="76DD0A91" w14:textId="77777777" w:rsidTr="005570A6">
        <w:tc>
          <w:tcPr>
            <w:tcW w:w="2245" w:type="dxa"/>
          </w:tcPr>
          <w:p w14:paraId="7F4611A1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XLF</w:t>
            </w:r>
          </w:p>
        </w:tc>
        <w:tc>
          <w:tcPr>
            <w:tcW w:w="1890" w:type="dxa"/>
          </w:tcPr>
          <w:p w14:paraId="3E1F4EBD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Rabbit polyclonal</w:t>
            </w:r>
          </w:p>
        </w:tc>
        <w:tc>
          <w:tcPr>
            <w:tcW w:w="2250" w:type="dxa"/>
          </w:tcPr>
          <w:p w14:paraId="521C8F3C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Cell Signaling Technology</w:t>
            </w:r>
          </w:p>
        </w:tc>
        <w:tc>
          <w:tcPr>
            <w:tcW w:w="1620" w:type="dxa"/>
          </w:tcPr>
          <w:p w14:paraId="2CAFE430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2854</w:t>
            </w:r>
          </w:p>
        </w:tc>
        <w:tc>
          <w:tcPr>
            <w:tcW w:w="1260" w:type="dxa"/>
          </w:tcPr>
          <w:p w14:paraId="72D1D4C9" w14:textId="5D9BE3AC" w:rsidR="005570A6" w:rsidRPr="006F0FA1" w:rsidRDefault="008C50E2" w:rsidP="007A758F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1:1,00</w:t>
            </w:r>
            <w:r w:rsidR="005570A6" w:rsidRPr="006F0FA1">
              <w:rPr>
                <w:rFonts w:ascii="Arial" w:hAnsi="Arial" w:cs="Arial"/>
                <w:sz w:val="22"/>
              </w:rPr>
              <w:t>0</w:t>
            </w:r>
          </w:p>
        </w:tc>
      </w:tr>
      <w:tr w:rsidR="005570A6" w:rsidRPr="006F0FA1" w14:paraId="43B935C5" w14:textId="77777777" w:rsidTr="005570A6">
        <w:tc>
          <w:tcPr>
            <w:tcW w:w="2245" w:type="dxa"/>
          </w:tcPr>
          <w:p w14:paraId="257275C3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Vinculin</w:t>
            </w:r>
          </w:p>
        </w:tc>
        <w:tc>
          <w:tcPr>
            <w:tcW w:w="1890" w:type="dxa"/>
          </w:tcPr>
          <w:p w14:paraId="331C7A81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Rabbit monoclonal</w:t>
            </w:r>
          </w:p>
        </w:tc>
        <w:tc>
          <w:tcPr>
            <w:tcW w:w="2250" w:type="dxa"/>
          </w:tcPr>
          <w:p w14:paraId="66947756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Cell Signaling Technology</w:t>
            </w:r>
          </w:p>
        </w:tc>
        <w:tc>
          <w:tcPr>
            <w:tcW w:w="1620" w:type="dxa"/>
          </w:tcPr>
          <w:p w14:paraId="68B2FB3A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13901</w:t>
            </w:r>
          </w:p>
        </w:tc>
        <w:tc>
          <w:tcPr>
            <w:tcW w:w="1260" w:type="dxa"/>
          </w:tcPr>
          <w:p w14:paraId="355CC9DF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1:2,000</w:t>
            </w:r>
          </w:p>
        </w:tc>
      </w:tr>
      <w:tr w:rsidR="005570A6" w:rsidRPr="006F0FA1" w14:paraId="11753525" w14:textId="77777777" w:rsidTr="005570A6">
        <w:tc>
          <w:tcPr>
            <w:tcW w:w="2245" w:type="dxa"/>
          </w:tcPr>
          <w:p w14:paraId="3350A487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β-Actin</w:t>
            </w:r>
          </w:p>
        </w:tc>
        <w:tc>
          <w:tcPr>
            <w:tcW w:w="1890" w:type="dxa"/>
          </w:tcPr>
          <w:p w14:paraId="37C4A057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Rabbit monoclonal</w:t>
            </w:r>
          </w:p>
        </w:tc>
        <w:tc>
          <w:tcPr>
            <w:tcW w:w="2250" w:type="dxa"/>
          </w:tcPr>
          <w:p w14:paraId="0D480685" w14:textId="77777777" w:rsidR="005570A6" w:rsidRPr="006F0FA1" w:rsidRDefault="005570A6" w:rsidP="005570A6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Cell Signaling Technology</w:t>
            </w:r>
          </w:p>
        </w:tc>
        <w:tc>
          <w:tcPr>
            <w:tcW w:w="1620" w:type="dxa"/>
          </w:tcPr>
          <w:p w14:paraId="1F2ED8C9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4970</w:t>
            </w:r>
          </w:p>
        </w:tc>
        <w:tc>
          <w:tcPr>
            <w:tcW w:w="1260" w:type="dxa"/>
          </w:tcPr>
          <w:p w14:paraId="633F60E6" w14:textId="77777777" w:rsidR="005570A6" w:rsidRPr="006F0FA1" w:rsidRDefault="005570A6" w:rsidP="007A758F">
            <w:pPr>
              <w:pStyle w:val="NormalWeb"/>
              <w:rPr>
                <w:rFonts w:ascii="Arial" w:hAnsi="Arial" w:cs="Arial"/>
                <w:sz w:val="22"/>
              </w:rPr>
            </w:pPr>
            <w:r w:rsidRPr="006F0FA1">
              <w:rPr>
                <w:rFonts w:ascii="Arial" w:hAnsi="Arial" w:cs="Arial"/>
                <w:sz w:val="22"/>
              </w:rPr>
              <w:t>1:2,000</w:t>
            </w:r>
          </w:p>
        </w:tc>
      </w:tr>
    </w:tbl>
    <w:p w14:paraId="09F7BC6F" w14:textId="77777777" w:rsidR="005570A6" w:rsidRPr="006F0FA1" w:rsidRDefault="005570A6" w:rsidP="005570A6">
      <w:pPr>
        <w:rPr>
          <w:rFonts w:cs="Arial"/>
          <w:szCs w:val="22"/>
        </w:rPr>
      </w:pPr>
    </w:p>
    <w:p w14:paraId="0004A207" w14:textId="41943570" w:rsidR="005570A6" w:rsidRPr="006F0FA1" w:rsidRDefault="00B55DB2" w:rsidP="005570A6">
      <w:pPr>
        <w:rPr>
          <w:rFonts w:cs="Arial"/>
          <w:b/>
          <w:szCs w:val="22"/>
        </w:rPr>
      </w:pPr>
      <w:r w:rsidRPr="006F0FA1">
        <w:rPr>
          <w:rFonts w:cs="Arial"/>
          <w:b/>
          <w:szCs w:val="22"/>
        </w:rPr>
        <w:t xml:space="preserve">Supplementary </w:t>
      </w:r>
      <w:r w:rsidR="00B15907">
        <w:rPr>
          <w:rFonts w:cs="Arial"/>
          <w:b/>
          <w:szCs w:val="22"/>
        </w:rPr>
        <w:t xml:space="preserve">Table </w:t>
      </w:r>
      <w:r w:rsidR="005570A6" w:rsidRPr="006F0FA1">
        <w:rPr>
          <w:rFonts w:cs="Arial"/>
          <w:b/>
          <w:szCs w:val="22"/>
        </w:rPr>
        <w:t xml:space="preserve">1. </w:t>
      </w:r>
    </w:p>
    <w:p w14:paraId="4CC8A6C2" w14:textId="77777777" w:rsidR="005570A6" w:rsidRPr="006F0FA1" w:rsidRDefault="005570A6" w:rsidP="005570A6">
      <w:pPr>
        <w:rPr>
          <w:rFonts w:cs="Arial"/>
          <w:szCs w:val="22"/>
        </w:rPr>
      </w:pPr>
      <w:r w:rsidRPr="006F0FA1">
        <w:rPr>
          <w:rFonts w:cs="Arial"/>
          <w:szCs w:val="22"/>
        </w:rPr>
        <w:t>Table depicts the detailed information on the antibodies used in this study.</w:t>
      </w:r>
    </w:p>
    <w:p w14:paraId="48B22D81" w14:textId="77777777" w:rsidR="005570A6" w:rsidRPr="006F0FA1" w:rsidRDefault="005570A6"/>
    <w:p w14:paraId="76888B12" w14:textId="77777777" w:rsidR="00974A07" w:rsidRPr="006F0FA1" w:rsidRDefault="00974A07"/>
    <w:p w14:paraId="6F4C303E" w14:textId="77777777" w:rsidR="00974A07" w:rsidRPr="006F0FA1" w:rsidRDefault="00974A07"/>
    <w:p w14:paraId="7D846C03" w14:textId="77777777" w:rsidR="00602338" w:rsidRDefault="00602338" w:rsidP="00602338">
      <w:pPr>
        <w:jc w:val="both"/>
      </w:pPr>
    </w:p>
    <w:p w14:paraId="7BD52FBA" w14:textId="77777777" w:rsidR="00602338" w:rsidRDefault="00602338" w:rsidP="00602338">
      <w:pPr>
        <w:jc w:val="both"/>
      </w:pPr>
    </w:p>
    <w:p w14:paraId="3C94E2E3" w14:textId="77777777" w:rsidR="00602338" w:rsidRDefault="00602338" w:rsidP="00602338">
      <w:pPr>
        <w:jc w:val="both"/>
      </w:pPr>
    </w:p>
    <w:p w14:paraId="36D10318" w14:textId="77777777" w:rsidR="00602338" w:rsidRDefault="00602338" w:rsidP="00602338">
      <w:pPr>
        <w:jc w:val="both"/>
      </w:pPr>
    </w:p>
    <w:p w14:paraId="0B708763" w14:textId="77777777" w:rsidR="00602338" w:rsidRDefault="00602338" w:rsidP="00602338">
      <w:pPr>
        <w:jc w:val="both"/>
      </w:pPr>
    </w:p>
    <w:p w14:paraId="7706A85E" w14:textId="77777777" w:rsidR="00602338" w:rsidRDefault="00602338" w:rsidP="00602338">
      <w:pPr>
        <w:jc w:val="both"/>
      </w:pPr>
    </w:p>
    <w:p w14:paraId="55762252" w14:textId="77777777" w:rsidR="00602338" w:rsidRDefault="00602338" w:rsidP="00602338">
      <w:pPr>
        <w:jc w:val="both"/>
      </w:pPr>
    </w:p>
    <w:p w14:paraId="300F8D84" w14:textId="77777777" w:rsidR="00602338" w:rsidRDefault="00602338" w:rsidP="00602338">
      <w:pPr>
        <w:jc w:val="both"/>
      </w:pPr>
    </w:p>
    <w:p w14:paraId="5FB4BFBE" w14:textId="77777777" w:rsidR="00602338" w:rsidRDefault="00602338" w:rsidP="00602338">
      <w:pPr>
        <w:jc w:val="both"/>
      </w:pPr>
    </w:p>
    <w:p w14:paraId="342CBE1B" w14:textId="77777777" w:rsidR="00602338" w:rsidRDefault="00602338" w:rsidP="00602338">
      <w:pPr>
        <w:jc w:val="both"/>
      </w:pPr>
    </w:p>
    <w:p w14:paraId="3385E2BB" w14:textId="77777777" w:rsidR="00602338" w:rsidRDefault="00602338" w:rsidP="00602338">
      <w:pPr>
        <w:jc w:val="both"/>
      </w:pPr>
    </w:p>
    <w:p w14:paraId="3258005E" w14:textId="77777777" w:rsidR="00602338" w:rsidRDefault="00602338" w:rsidP="00602338">
      <w:pPr>
        <w:jc w:val="both"/>
      </w:pPr>
    </w:p>
    <w:p w14:paraId="7512E738" w14:textId="77777777" w:rsidR="00602338" w:rsidRDefault="00602338" w:rsidP="00602338">
      <w:pPr>
        <w:jc w:val="both"/>
      </w:pPr>
    </w:p>
    <w:p w14:paraId="713D3DB6" w14:textId="77777777" w:rsidR="00602338" w:rsidRDefault="00602338" w:rsidP="00602338">
      <w:pPr>
        <w:jc w:val="both"/>
      </w:pPr>
    </w:p>
    <w:p w14:paraId="55755E62" w14:textId="77777777" w:rsidR="00602338" w:rsidRDefault="00602338" w:rsidP="00602338">
      <w:pPr>
        <w:jc w:val="both"/>
      </w:pPr>
    </w:p>
    <w:p w14:paraId="12B2CBC4" w14:textId="77777777" w:rsidR="00602338" w:rsidRDefault="00602338" w:rsidP="00602338">
      <w:pPr>
        <w:jc w:val="both"/>
      </w:pPr>
    </w:p>
    <w:p w14:paraId="703FE2D6" w14:textId="77777777" w:rsidR="00602338" w:rsidRDefault="00602338" w:rsidP="00602338">
      <w:pPr>
        <w:jc w:val="both"/>
      </w:pPr>
    </w:p>
    <w:p w14:paraId="5DEE1444" w14:textId="77777777" w:rsidR="00602338" w:rsidRDefault="00602338" w:rsidP="00602338">
      <w:pPr>
        <w:jc w:val="both"/>
      </w:pPr>
    </w:p>
    <w:p w14:paraId="118C5D88" w14:textId="77777777" w:rsidR="00602338" w:rsidRDefault="00602338" w:rsidP="00602338">
      <w:pPr>
        <w:jc w:val="both"/>
      </w:pPr>
    </w:p>
    <w:p w14:paraId="50ECE24D" w14:textId="77777777" w:rsidR="00602338" w:rsidRDefault="00602338" w:rsidP="00602338">
      <w:pPr>
        <w:jc w:val="both"/>
      </w:pPr>
    </w:p>
    <w:p w14:paraId="2AB29125" w14:textId="77777777" w:rsidR="00602338" w:rsidRDefault="00602338" w:rsidP="00602338">
      <w:pPr>
        <w:jc w:val="both"/>
      </w:pPr>
    </w:p>
    <w:p w14:paraId="1F7704DF" w14:textId="77777777" w:rsidR="00602338" w:rsidRDefault="00602338" w:rsidP="00602338">
      <w:pPr>
        <w:jc w:val="both"/>
      </w:pPr>
    </w:p>
    <w:p w14:paraId="34029CFA" w14:textId="77777777" w:rsidR="00602338" w:rsidRDefault="00602338" w:rsidP="00602338">
      <w:pPr>
        <w:jc w:val="both"/>
      </w:pPr>
    </w:p>
    <w:p w14:paraId="634D04F9" w14:textId="77777777" w:rsidR="00602338" w:rsidRDefault="00602338" w:rsidP="00602338">
      <w:pPr>
        <w:jc w:val="both"/>
      </w:pPr>
    </w:p>
    <w:p w14:paraId="1CC4C2B7" w14:textId="77777777" w:rsidR="00602338" w:rsidRDefault="00602338" w:rsidP="00602338">
      <w:pPr>
        <w:jc w:val="both"/>
      </w:pPr>
    </w:p>
    <w:p w14:paraId="436E9C6E" w14:textId="77777777" w:rsidR="00602338" w:rsidRDefault="00602338" w:rsidP="00602338">
      <w:pPr>
        <w:jc w:val="both"/>
      </w:pPr>
    </w:p>
    <w:p w14:paraId="0573F969" w14:textId="77777777" w:rsidR="00602338" w:rsidRDefault="00602338" w:rsidP="00602338">
      <w:pPr>
        <w:jc w:val="both"/>
      </w:pPr>
    </w:p>
    <w:p w14:paraId="4D33F5A1" w14:textId="77777777" w:rsidR="00602338" w:rsidRDefault="00602338" w:rsidP="00602338">
      <w:pPr>
        <w:jc w:val="both"/>
      </w:pPr>
    </w:p>
    <w:p w14:paraId="5D62FC13" w14:textId="77777777" w:rsidR="00602338" w:rsidRDefault="00602338" w:rsidP="00602338">
      <w:pPr>
        <w:jc w:val="both"/>
      </w:pPr>
    </w:p>
    <w:p w14:paraId="396D55E5" w14:textId="77777777" w:rsidR="00602338" w:rsidRDefault="00602338" w:rsidP="00602338">
      <w:pPr>
        <w:jc w:val="both"/>
      </w:pPr>
    </w:p>
    <w:p w14:paraId="328508BC" w14:textId="77777777" w:rsidR="00602338" w:rsidRDefault="00602338" w:rsidP="00602338">
      <w:pPr>
        <w:jc w:val="both"/>
      </w:pPr>
    </w:p>
    <w:p w14:paraId="34ACE645" w14:textId="77777777" w:rsidR="00602338" w:rsidRDefault="00602338" w:rsidP="00602338">
      <w:pPr>
        <w:jc w:val="both"/>
      </w:pPr>
    </w:p>
    <w:p w14:paraId="5C30A001" w14:textId="77777777" w:rsidR="00602338" w:rsidRDefault="00602338" w:rsidP="0060233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30"/>
        <w:gridCol w:w="2330"/>
        <w:gridCol w:w="2330"/>
      </w:tblGrid>
      <w:tr w:rsidR="00602338" w:rsidRPr="006D5406" w14:paraId="44D539F8" w14:textId="77777777" w:rsidTr="00965DDA">
        <w:tc>
          <w:tcPr>
            <w:tcW w:w="2394" w:type="dxa"/>
          </w:tcPr>
          <w:p w14:paraId="50773C60" w14:textId="77777777" w:rsidR="00602338" w:rsidRPr="006D5406" w:rsidRDefault="00602338" w:rsidP="00965DDA">
            <w:pPr>
              <w:rPr>
                <w:rFonts w:ascii="Arial" w:hAnsi="Arial"/>
                <w:szCs w:val="24"/>
                <w:u w:val="single"/>
              </w:rPr>
            </w:pPr>
            <w:r w:rsidRPr="006D5406">
              <w:rPr>
                <w:rFonts w:ascii="Arial" w:hAnsi="Arial"/>
                <w:szCs w:val="24"/>
                <w:u w:val="single"/>
              </w:rPr>
              <w:t>CLR127 Concentration</w:t>
            </w:r>
          </w:p>
          <w:p w14:paraId="09540BF1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Cell Line</w:t>
            </w:r>
          </w:p>
        </w:tc>
        <w:tc>
          <w:tcPr>
            <w:tcW w:w="2394" w:type="dxa"/>
          </w:tcPr>
          <w:p w14:paraId="785AC097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5 µM</w:t>
            </w:r>
          </w:p>
        </w:tc>
        <w:tc>
          <w:tcPr>
            <w:tcW w:w="2394" w:type="dxa"/>
          </w:tcPr>
          <w:p w14:paraId="4C9B48DB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7.5 µM</w:t>
            </w:r>
          </w:p>
        </w:tc>
        <w:tc>
          <w:tcPr>
            <w:tcW w:w="2394" w:type="dxa"/>
          </w:tcPr>
          <w:p w14:paraId="7C46D7E4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10 µM</w:t>
            </w:r>
          </w:p>
        </w:tc>
      </w:tr>
      <w:tr w:rsidR="00602338" w:rsidRPr="006D5406" w14:paraId="5C9D4536" w14:textId="77777777" w:rsidTr="00965DDA">
        <w:tc>
          <w:tcPr>
            <w:tcW w:w="2394" w:type="dxa"/>
          </w:tcPr>
          <w:p w14:paraId="431DA78D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Rh30</w:t>
            </w:r>
          </w:p>
        </w:tc>
        <w:tc>
          <w:tcPr>
            <w:tcW w:w="2394" w:type="dxa"/>
          </w:tcPr>
          <w:p w14:paraId="63B1987F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85.2% (1.6)</w:t>
            </w:r>
          </w:p>
        </w:tc>
        <w:tc>
          <w:tcPr>
            <w:tcW w:w="2394" w:type="dxa"/>
          </w:tcPr>
          <w:p w14:paraId="2F343CE5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79.8% (4.7)</w:t>
            </w:r>
          </w:p>
        </w:tc>
        <w:tc>
          <w:tcPr>
            <w:tcW w:w="2394" w:type="dxa"/>
          </w:tcPr>
          <w:p w14:paraId="0210E13B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62.4% (4.4)</w:t>
            </w:r>
          </w:p>
        </w:tc>
      </w:tr>
      <w:tr w:rsidR="00602338" w:rsidRPr="006D5406" w14:paraId="6B476954" w14:textId="77777777" w:rsidTr="00965DDA">
        <w:tc>
          <w:tcPr>
            <w:tcW w:w="2394" w:type="dxa"/>
          </w:tcPr>
          <w:p w14:paraId="18750BFA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PC-3</w:t>
            </w:r>
          </w:p>
        </w:tc>
        <w:tc>
          <w:tcPr>
            <w:tcW w:w="2394" w:type="dxa"/>
          </w:tcPr>
          <w:p w14:paraId="5D593AC1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92.6% (4.9)</w:t>
            </w:r>
          </w:p>
        </w:tc>
        <w:tc>
          <w:tcPr>
            <w:tcW w:w="2394" w:type="dxa"/>
          </w:tcPr>
          <w:p w14:paraId="432FDC26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59.3% (1.5)</w:t>
            </w:r>
          </w:p>
        </w:tc>
        <w:tc>
          <w:tcPr>
            <w:tcW w:w="2394" w:type="dxa"/>
          </w:tcPr>
          <w:p w14:paraId="1E1D7613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46.6% (4.6)</w:t>
            </w:r>
          </w:p>
        </w:tc>
      </w:tr>
      <w:tr w:rsidR="00602338" w:rsidRPr="006D5406" w14:paraId="19EF041E" w14:textId="77777777" w:rsidTr="00965DDA">
        <w:tc>
          <w:tcPr>
            <w:tcW w:w="2394" w:type="dxa"/>
          </w:tcPr>
          <w:p w14:paraId="2DA09EB9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CHLA-20</w:t>
            </w:r>
          </w:p>
        </w:tc>
        <w:tc>
          <w:tcPr>
            <w:tcW w:w="2394" w:type="dxa"/>
          </w:tcPr>
          <w:p w14:paraId="05F5E592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88.3% (7.6)</w:t>
            </w:r>
          </w:p>
        </w:tc>
        <w:tc>
          <w:tcPr>
            <w:tcW w:w="2394" w:type="dxa"/>
          </w:tcPr>
          <w:p w14:paraId="4574B4A8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65.1% (5.9)</w:t>
            </w:r>
          </w:p>
        </w:tc>
        <w:tc>
          <w:tcPr>
            <w:tcW w:w="2394" w:type="dxa"/>
          </w:tcPr>
          <w:p w14:paraId="294367BA" w14:textId="77777777" w:rsidR="00602338" w:rsidRPr="006D5406" w:rsidRDefault="00602338" w:rsidP="00965DDA">
            <w:pPr>
              <w:rPr>
                <w:rFonts w:ascii="Arial" w:hAnsi="Arial"/>
                <w:szCs w:val="24"/>
              </w:rPr>
            </w:pPr>
            <w:r w:rsidRPr="006D5406">
              <w:rPr>
                <w:rFonts w:ascii="Arial" w:hAnsi="Arial"/>
                <w:szCs w:val="24"/>
              </w:rPr>
              <w:t>61.6% (10)</w:t>
            </w:r>
          </w:p>
        </w:tc>
      </w:tr>
    </w:tbl>
    <w:p w14:paraId="017DB98F" w14:textId="77777777" w:rsidR="00602338" w:rsidRDefault="00602338" w:rsidP="00602338">
      <w:pPr>
        <w:jc w:val="both"/>
      </w:pPr>
    </w:p>
    <w:p w14:paraId="4F446170" w14:textId="77777777" w:rsidR="00602338" w:rsidRDefault="00602338" w:rsidP="00602338">
      <w:pPr>
        <w:jc w:val="both"/>
      </w:pPr>
    </w:p>
    <w:p w14:paraId="0D5AF243" w14:textId="77777777" w:rsidR="00602338" w:rsidRPr="006D5406" w:rsidRDefault="00602338" w:rsidP="00602338"/>
    <w:p w14:paraId="750CBAD8" w14:textId="77777777" w:rsidR="00602338" w:rsidRPr="006D5406" w:rsidRDefault="00602338" w:rsidP="00602338">
      <w:r w:rsidRPr="006D5406">
        <w:rPr>
          <w:b/>
        </w:rPr>
        <w:t xml:space="preserve">Supplementary Table </w:t>
      </w:r>
      <w:r>
        <w:rPr>
          <w:b/>
        </w:rPr>
        <w:t>2</w:t>
      </w:r>
      <w:r w:rsidRPr="006D5406">
        <w:rPr>
          <w:b/>
        </w:rPr>
        <w:t>:</w:t>
      </w:r>
      <w:r w:rsidRPr="006D5406">
        <w:t xml:space="preserve"> In vitro cytotoxicity of CLR127 relative to plating efficiency (PE). Numbers represent average percentage PE of treated cells relative to PE of control (excipient) of 3 independent experiments, where PE of control cells is set to 100%. Standard Deviation shown in parentheses.</w:t>
      </w:r>
    </w:p>
    <w:p w14:paraId="0468EDC1" w14:textId="77777777" w:rsidR="00602338" w:rsidRPr="00A15775" w:rsidRDefault="00602338" w:rsidP="00602338"/>
    <w:p w14:paraId="4875AD33" w14:textId="77777777" w:rsidR="00602338" w:rsidRDefault="00602338" w:rsidP="00602338">
      <w:pPr>
        <w:jc w:val="both"/>
      </w:pPr>
    </w:p>
    <w:p w14:paraId="65825E2F" w14:textId="77777777" w:rsidR="00602338" w:rsidRDefault="00602338" w:rsidP="00602338">
      <w:pPr>
        <w:jc w:val="both"/>
      </w:pPr>
    </w:p>
    <w:p w14:paraId="5564170D" w14:textId="77777777" w:rsidR="00602338" w:rsidRDefault="00602338" w:rsidP="00602338">
      <w:pPr>
        <w:jc w:val="both"/>
      </w:pPr>
    </w:p>
    <w:p w14:paraId="58E39A5B" w14:textId="77777777" w:rsidR="00974A07" w:rsidRPr="006F0FA1" w:rsidRDefault="00974A07">
      <w:r w:rsidRPr="006F0FA1">
        <w:br w:type="page"/>
      </w:r>
    </w:p>
    <w:p w14:paraId="05593B04" w14:textId="77777777" w:rsidR="00602338" w:rsidRDefault="00602338" w:rsidP="00602338"/>
    <w:p w14:paraId="4B39ADEB" w14:textId="77777777" w:rsidR="00602338" w:rsidRPr="006F0FA1" w:rsidRDefault="00602338" w:rsidP="006023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949"/>
        <w:gridCol w:w="1198"/>
      </w:tblGrid>
      <w:tr w:rsidR="00602338" w:rsidRPr="006F0FA1" w14:paraId="325BEBBE" w14:textId="77777777" w:rsidTr="00965DDA">
        <w:tc>
          <w:tcPr>
            <w:tcW w:w="0" w:type="auto"/>
          </w:tcPr>
          <w:p w14:paraId="7ED1E35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br w:type="page"/>
            </w:r>
            <w:r w:rsidRPr="006F0FA1">
              <w:rPr>
                <w:rFonts w:ascii="Arial" w:hAnsi="Arial" w:cs="Arial"/>
              </w:rPr>
              <w:t>Xenograft</w:t>
            </w:r>
          </w:p>
        </w:tc>
        <w:tc>
          <w:tcPr>
            <w:tcW w:w="3949" w:type="dxa"/>
          </w:tcPr>
          <w:p w14:paraId="550A773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Comparison</w:t>
            </w:r>
          </w:p>
        </w:tc>
        <w:tc>
          <w:tcPr>
            <w:tcW w:w="1198" w:type="dxa"/>
          </w:tcPr>
          <w:p w14:paraId="0D8B417C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p-value</w:t>
            </w:r>
          </w:p>
        </w:tc>
      </w:tr>
      <w:tr w:rsidR="00602338" w:rsidRPr="006F0FA1" w14:paraId="60996EB9" w14:textId="77777777" w:rsidTr="00965DDA">
        <w:tc>
          <w:tcPr>
            <w:tcW w:w="0" w:type="auto"/>
            <w:vMerge w:val="restart"/>
          </w:tcPr>
          <w:p w14:paraId="0B6FAC9F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SK-N-AS</w:t>
            </w:r>
          </w:p>
        </w:tc>
        <w:tc>
          <w:tcPr>
            <w:tcW w:w="3949" w:type="dxa"/>
          </w:tcPr>
          <w:p w14:paraId="563E0602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Excipient / +XRT</w:t>
            </w:r>
          </w:p>
        </w:tc>
        <w:tc>
          <w:tcPr>
            <w:tcW w:w="1198" w:type="dxa"/>
          </w:tcPr>
          <w:p w14:paraId="2479680D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0F33AEEC" w14:textId="77777777" w:rsidTr="00965DDA">
        <w:tc>
          <w:tcPr>
            <w:tcW w:w="0" w:type="auto"/>
            <w:vMerge/>
          </w:tcPr>
          <w:p w14:paraId="79398B4A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2FA19F27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-XRT</w:t>
            </w:r>
          </w:p>
        </w:tc>
        <w:tc>
          <w:tcPr>
            <w:tcW w:w="1198" w:type="dxa"/>
          </w:tcPr>
          <w:p w14:paraId="66636C03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0.7173</w:t>
            </w:r>
          </w:p>
        </w:tc>
      </w:tr>
      <w:tr w:rsidR="00602338" w:rsidRPr="006F0FA1" w14:paraId="4AC96315" w14:textId="77777777" w:rsidTr="00965DDA">
        <w:tc>
          <w:tcPr>
            <w:tcW w:w="0" w:type="auto"/>
            <w:vMerge/>
          </w:tcPr>
          <w:p w14:paraId="4CCA429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06687C5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+XRT</w:t>
            </w:r>
          </w:p>
        </w:tc>
        <w:tc>
          <w:tcPr>
            <w:tcW w:w="1198" w:type="dxa"/>
          </w:tcPr>
          <w:p w14:paraId="7175AF0C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2C4E6E03" w14:textId="77777777" w:rsidTr="00965DDA">
        <w:tc>
          <w:tcPr>
            <w:tcW w:w="0" w:type="auto"/>
            <w:vMerge/>
          </w:tcPr>
          <w:p w14:paraId="2AEB030F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14E1158B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 / +XRT vs. Drug / -XRT</w:t>
            </w:r>
          </w:p>
        </w:tc>
        <w:tc>
          <w:tcPr>
            <w:tcW w:w="1198" w:type="dxa"/>
          </w:tcPr>
          <w:p w14:paraId="1A0426BA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178EE855" w14:textId="77777777" w:rsidTr="00965DDA">
        <w:tc>
          <w:tcPr>
            <w:tcW w:w="0" w:type="auto"/>
            <w:vMerge/>
          </w:tcPr>
          <w:p w14:paraId="57DF24A8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268E2A62" w14:textId="77777777" w:rsidR="00602338" w:rsidRPr="006F0FA1" w:rsidRDefault="00602338" w:rsidP="00965DDA">
            <w:pPr>
              <w:rPr>
                <w:rFonts w:ascii="Arial" w:hAnsi="Arial" w:cs="Arial"/>
                <w:b/>
                <w:i/>
              </w:rPr>
            </w:pPr>
            <w:r w:rsidRPr="006F0FA1">
              <w:rPr>
                <w:rFonts w:ascii="Arial" w:hAnsi="Arial" w:cs="Arial"/>
                <w:b/>
                <w:i/>
              </w:rPr>
              <w:t>Excipient / +XRT vs. Drug / +XRT</w:t>
            </w:r>
          </w:p>
        </w:tc>
        <w:tc>
          <w:tcPr>
            <w:tcW w:w="1198" w:type="dxa"/>
          </w:tcPr>
          <w:p w14:paraId="36FCB3EA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152B3800" w14:textId="77777777" w:rsidTr="00965DDA">
        <w:tc>
          <w:tcPr>
            <w:tcW w:w="0" w:type="auto"/>
            <w:vMerge/>
          </w:tcPr>
          <w:p w14:paraId="6073D3ED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56961D23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Drug / -XRT vs. Drug / +XRT</w:t>
            </w:r>
          </w:p>
        </w:tc>
        <w:tc>
          <w:tcPr>
            <w:tcW w:w="1198" w:type="dxa"/>
          </w:tcPr>
          <w:p w14:paraId="57E8B316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205AF593" w14:textId="77777777" w:rsidTr="00965DDA">
        <w:tc>
          <w:tcPr>
            <w:tcW w:w="0" w:type="auto"/>
            <w:vMerge w:val="restart"/>
          </w:tcPr>
          <w:p w14:paraId="361005C8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Rh30</w:t>
            </w:r>
          </w:p>
        </w:tc>
        <w:tc>
          <w:tcPr>
            <w:tcW w:w="3949" w:type="dxa"/>
          </w:tcPr>
          <w:p w14:paraId="1FBAA2D3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Excipient / +XRT</w:t>
            </w:r>
          </w:p>
        </w:tc>
        <w:tc>
          <w:tcPr>
            <w:tcW w:w="1198" w:type="dxa"/>
          </w:tcPr>
          <w:p w14:paraId="560531F9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3B246E55" w14:textId="77777777" w:rsidTr="00965DDA">
        <w:tc>
          <w:tcPr>
            <w:tcW w:w="0" w:type="auto"/>
            <w:vMerge/>
          </w:tcPr>
          <w:p w14:paraId="5C8BD341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7B34500F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-XRT</w:t>
            </w:r>
          </w:p>
        </w:tc>
        <w:tc>
          <w:tcPr>
            <w:tcW w:w="1198" w:type="dxa"/>
          </w:tcPr>
          <w:p w14:paraId="20F03B6C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0.0908</w:t>
            </w:r>
          </w:p>
        </w:tc>
      </w:tr>
      <w:tr w:rsidR="00602338" w:rsidRPr="006F0FA1" w14:paraId="0B9F7D1D" w14:textId="77777777" w:rsidTr="00965DDA">
        <w:tc>
          <w:tcPr>
            <w:tcW w:w="0" w:type="auto"/>
            <w:vMerge/>
          </w:tcPr>
          <w:p w14:paraId="7FA99362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27881502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+XRT</w:t>
            </w:r>
          </w:p>
        </w:tc>
        <w:tc>
          <w:tcPr>
            <w:tcW w:w="1198" w:type="dxa"/>
          </w:tcPr>
          <w:p w14:paraId="2A9AB1B0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5A1EED10" w14:textId="77777777" w:rsidTr="00965DDA">
        <w:tc>
          <w:tcPr>
            <w:tcW w:w="0" w:type="auto"/>
            <w:vMerge/>
          </w:tcPr>
          <w:p w14:paraId="008F82A7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1C93EE3A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 / +XRT vs. Drug / -XRT</w:t>
            </w:r>
          </w:p>
        </w:tc>
        <w:tc>
          <w:tcPr>
            <w:tcW w:w="1198" w:type="dxa"/>
          </w:tcPr>
          <w:p w14:paraId="7226EB54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3F8CEEE6" w14:textId="77777777" w:rsidTr="00965DDA">
        <w:tc>
          <w:tcPr>
            <w:tcW w:w="0" w:type="auto"/>
            <w:vMerge/>
          </w:tcPr>
          <w:p w14:paraId="6F79647D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1F10FBE9" w14:textId="77777777" w:rsidR="00602338" w:rsidRPr="006F0FA1" w:rsidRDefault="00602338" w:rsidP="00965DDA">
            <w:pPr>
              <w:rPr>
                <w:rFonts w:ascii="Arial" w:hAnsi="Arial" w:cs="Arial"/>
                <w:b/>
                <w:i/>
              </w:rPr>
            </w:pPr>
            <w:r w:rsidRPr="006F0FA1">
              <w:rPr>
                <w:rFonts w:ascii="Arial" w:hAnsi="Arial" w:cs="Arial"/>
                <w:b/>
                <w:i/>
              </w:rPr>
              <w:t>Excipient / +XRT vs. Drug / +XRT</w:t>
            </w:r>
          </w:p>
        </w:tc>
        <w:tc>
          <w:tcPr>
            <w:tcW w:w="1198" w:type="dxa"/>
          </w:tcPr>
          <w:p w14:paraId="699CCDB8" w14:textId="77777777" w:rsidR="00602338" w:rsidRPr="006F0FA1" w:rsidRDefault="00602338" w:rsidP="00965DDA">
            <w:pPr>
              <w:jc w:val="center"/>
              <w:rPr>
                <w:rFonts w:ascii="Arial" w:hAnsi="Arial" w:cs="Arial"/>
                <w:i/>
              </w:rPr>
            </w:pPr>
            <w:r w:rsidRPr="006F0FA1">
              <w:rPr>
                <w:rFonts w:ascii="Arial" w:hAnsi="Arial" w:cs="Arial"/>
                <w:i/>
              </w:rPr>
              <w:t>&lt;0.0001</w:t>
            </w:r>
          </w:p>
        </w:tc>
      </w:tr>
      <w:tr w:rsidR="00602338" w:rsidRPr="006F0FA1" w14:paraId="576CB5F4" w14:textId="77777777" w:rsidTr="00965DDA">
        <w:tc>
          <w:tcPr>
            <w:tcW w:w="0" w:type="auto"/>
            <w:vMerge/>
          </w:tcPr>
          <w:p w14:paraId="1CB5CC57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056CF6D5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Drug / -XRT vs. Drug / +XRT</w:t>
            </w:r>
          </w:p>
        </w:tc>
        <w:tc>
          <w:tcPr>
            <w:tcW w:w="1198" w:type="dxa"/>
          </w:tcPr>
          <w:p w14:paraId="4045F8F5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06EC5415" w14:textId="77777777" w:rsidTr="00965DDA">
        <w:tc>
          <w:tcPr>
            <w:tcW w:w="0" w:type="auto"/>
            <w:vMerge w:val="restart"/>
          </w:tcPr>
          <w:p w14:paraId="008D4183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TC-71</w:t>
            </w:r>
          </w:p>
        </w:tc>
        <w:tc>
          <w:tcPr>
            <w:tcW w:w="3949" w:type="dxa"/>
          </w:tcPr>
          <w:p w14:paraId="4616F955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Excipient / +XRT</w:t>
            </w:r>
          </w:p>
        </w:tc>
        <w:tc>
          <w:tcPr>
            <w:tcW w:w="1198" w:type="dxa"/>
          </w:tcPr>
          <w:p w14:paraId="7A681B4D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13DD528D" w14:textId="77777777" w:rsidTr="00965DDA">
        <w:tc>
          <w:tcPr>
            <w:tcW w:w="0" w:type="auto"/>
            <w:vMerge/>
          </w:tcPr>
          <w:p w14:paraId="33626DE4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621E8982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-XRT</w:t>
            </w:r>
          </w:p>
        </w:tc>
        <w:tc>
          <w:tcPr>
            <w:tcW w:w="1198" w:type="dxa"/>
          </w:tcPr>
          <w:p w14:paraId="488E3D95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0.0350</w:t>
            </w:r>
          </w:p>
        </w:tc>
      </w:tr>
      <w:tr w:rsidR="00602338" w:rsidRPr="006F0FA1" w14:paraId="79F47465" w14:textId="77777777" w:rsidTr="00965DDA">
        <w:tc>
          <w:tcPr>
            <w:tcW w:w="0" w:type="auto"/>
            <w:vMerge/>
          </w:tcPr>
          <w:p w14:paraId="2CB4A166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28A0860C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+XRT</w:t>
            </w:r>
          </w:p>
        </w:tc>
        <w:tc>
          <w:tcPr>
            <w:tcW w:w="1198" w:type="dxa"/>
          </w:tcPr>
          <w:p w14:paraId="3143327B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42B52A36" w14:textId="77777777" w:rsidTr="00965DDA">
        <w:tc>
          <w:tcPr>
            <w:tcW w:w="0" w:type="auto"/>
            <w:vMerge/>
          </w:tcPr>
          <w:p w14:paraId="32222D1F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6429BD6D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 / +XRT vs. Drug / -XRT</w:t>
            </w:r>
          </w:p>
        </w:tc>
        <w:tc>
          <w:tcPr>
            <w:tcW w:w="1198" w:type="dxa"/>
          </w:tcPr>
          <w:p w14:paraId="3054DD29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48250BCC" w14:textId="77777777" w:rsidTr="00965DDA">
        <w:tc>
          <w:tcPr>
            <w:tcW w:w="0" w:type="auto"/>
            <w:vMerge/>
          </w:tcPr>
          <w:p w14:paraId="3B213BEC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0504B291" w14:textId="77777777" w:rsidR="00602338" w:rsidRPr="006F0FA1" w:rsidRDefault="00602338" w:rsidP="00965DDA">
            <w:pPr>
              <w:rPr>
                <w:rFonts w:ascii="Arial" w:hAnsi="Arial" w:cs="Arial"/>
                <w:b/>
                <w:i/>
              </w:rPr>
            </w:pPr>
            <w:r w:rsidRPr="006F0FA1">
              <w:rPr>
                <w:rFonts w:ascii="Arial" w:hAnsi="Arial" w:cs="Arial"/>
                <w:b/>
                <w:i/>
              </w:rPr>
              <w:t>Excipient / +XRT vs. Drug / +XRT</w:t>
            </w:r>
          </w:p>
        </w:tc>
        <w:tc>
          <w:tcPr>
            <w:tcW w:w="1198" w:type="dxa"/>
          </w:tcPr>
          <w:p w14:paraId="20431262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0BF5D551" w14:textId="77777777" w:rsidTr="00965DDA">
        <w:tc>
          <w:tcPr>
            <w:tcW w:w="0" w:type="auto"/>
            <w:vMerge/>
          </w:tcPr>
          <w:p w14:paraId="504274EA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208C0CC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Drug / -XRT vs. Drug / +XRT</w:t>
            </w:r>
          </w:p>
        </w:tc>
        <w:tc>
          <w:tcPr>
            <w:tcW w:w="1198" w:type="dxa"/>
          </w:tcPr>
          <w:p w14:paraId="37D1F020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520BA70F" w14:textId="77777777" w:rsidTr="00965DDA">
        <w:tc>
          <w:tcPr>
            <w:tcW w:w="0" w:type="auto"/>
            <w:vMerge w:val="restart"/>
          </w:tcPr>
          <w:p w14:paraId="71054829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PC-3</w:t>
            </w:r>
          </w:p>
        </w:tc>
        <w:tc>
          <w:tcPr>
            <w:tcW w:w="3949" w:type="dxa"/>
          </w:tcPr>
          <w:p w14:paraId="72AE2E86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Excipient / +XRT</w:t>
            </w:r>
          </w:p>
        </w:tc>
        <w:tc>
          <w:tcPr>
            <w:tcW w:w="1198" w:type="dxa"/>
          </w:tcPr>
          <w:p w14:paraId="1F3BBE99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1D6EBAF2" w14:textId="77777777" w:rsidTr="00965DDA">
        <w:tc>
          <w:tcPr>
            <w:tcW w:w="0" w:type="auto"/>
            <w:vMerge/>
          </w:tcPr>
          <w:p w14:paraId="2414BC2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4A81CAA7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-XRT</w:t>
            </w:r>
          </w:p>
        </w:tc>
        <w:tc>
          <w:tcPr>
            <w:tcW w:w="1198" w:type="dxa"/>
          </w:tcPr>
          <w:p w14:paraId="704836E4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44D6CD10" w14:textId="77777777" w:rsidTr="00965DDA">
        <w:tc>
          <w:tcPr>
            <w:tcW w:w="0" w:type="auto"/>
            <w:vMerge/>
          </w:tcPr>
          <w:p w14:paraId="3C06A1F8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65806894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Excipient/ -XRT vs. Drug / +XRT</w:t>
            </w:r>
          </w:p>
        </w:tc>
        <w:tc>
          <w:tcPr>
            <w:tcW w:w="1198" w:type="dxa"/>
          </w:tcPr>
          <w:p w14:paraId="0A38EC88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2CFA9D21" w14:textId="77777777" w:rsidTr="00965DDA">
        <w:tc>
          <w:tcPr>
            <w:tcW w:w="0" w:type="auto"/>
            <w:vMerge/>
          </w:tcPr>
          <w:p w14:paraId="7F85A65E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454C4FE5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Excipient / +XRT vs. Drug / -XRT</w:t>
            </w:r>
          </w:p>
        </w:tc>
        <w:tc>
          <w:tcPr>
            <w:tcW w:w="1198" w:type="dxa"/>
          </w:tcPr>
          <w:p w14:paraId="1BA1E5D3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2C3F90AF" w14:textId="77777777" w:rsidTr="00965DDA">
        <w:tc>
          <w:tcPr>
            <w:tcW w:w="0" w:type="auto"/>
            <w:vMerge/>
          </w:tcPr>
          <w:p w14:paraId="256ACDC9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0D6566D9" w14:textId="77777777" w:rsidR="00602338" w:rsidRPr="006F0FA1" w:rsidRDefault="00602338" w:rsidP="00965DDA">
            <w:pPr>
              <w:rPr>
                <w:rFonts w:ascii="Arial" w:hAnsi="Arial" w:cs="Arial"/>
                <w:b/>
                <w:i/>
              </w:rPr>
            </w:pPr>
            <w:r w:rsidRPr="006F0FA1">
              <w:rPr>
                <w:rFonts w:ascii="Arial" w:hAnsi="Arial" w:cs="Arial"/>
                <w:b/>
                <w:i/>
              </w:rPr>
              <w:t>Excipient / +XRT vs. Drug / +XRT</w:t>
            </w:r>
          </w:p>
        </w:tc>
        <w:tc>
          <w:tcPr>
            <w:tcW w:w="1198" w:type="dxa"/>
          </w:tcPr>
          <w:p w14:paraId="0627499C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  <w:tr w:rsidR="00602338" w:rsidRPr="006F0FA1" w14:paraId="319F9007" w14:textId="77777777" w:rsidTr="00965DDA">
        <w:tc>
          <w:tcPr>
            <w:tcW w:w="0" w:type="auto"/>
            <w:vMerge/>
          </w:tcPr>
          <w:p w14:paraId="1D9E4718" w14:textId="77777777" w:rsidR="00602338" w:rsidRPr="006F0FA1" w:rsidRDefault="00602338" w:rsidP="00965DDA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14:paraId="5C1A1C10" w14:textId="77777777" w:rsidR="00602338" w:rsidRPr="006F0FA1" w:rsidRDefault="00602338" w:rsidP="00965DDA">
            <w:pPr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Drug / -XRT vs. Drug / +XRT</w:t>
            </w:r>
          </w:p>
        </w:tc>
        <w:tc>
          <w:tcPr>
            <w:tcW w:w="1198" w:type="dxa"/>
          </w:tcPr>
          <w:p w14:paraId="70B3826D" w14:textId="77777777" w:rsidR="00602338" w:rsidRPr="006F0FA1" w:rsidRDefault="00602338" w:rsidP="00965DDA">
            <w:pPr>
              <w:jc w:val="center"/>
              <w:rPr>
                <w:rFonts w:ascii="Arial" w:hAnsi="Arial" w:cs="Arial"/>
              </w:rPr>
            </w:pPr>
            <w:r w:rsidRPr="006F0FA1">
              <w:rPr>
                <w:rFonts w:ascii="Arial" w:hAnsi="Arial" w:cs="Arial"/>
              </w:rPr>
              <w:t>&lt;0.0001</w:t>
            </w:r>
          </w:p>
        </w:tc>
      </w:tr>
    </w:tbl>
    <w:p w14:paraId="51651CE8" w14:textId="77777777" w:rsidR="00602338" w:rsidRPr="006F0FA1" w:rsidRDefault="00602338" w:rsidP="00602338">
      <w:pPr>
        <w:jc w:val="both"/>
      </w:pPr>
    </w:p>
    <w:p w14:paraId="2F12CB3F" w14:textId="77777777" w:rsidR="00602338" w:rsidRPr="006F0FA1" w:rsidRDefault="00602338" w:rsidP="00602338"/>
    <w:p w14:paraId="7F0BF6FD" w14:textId="77777777" w:rsidR="00602338" w:rsidRPr="006F0FA1" w:rsidRDefault="00602338" w:rsidP="00602338">
      <w:pPr>
        <w:rPr>
          <w:b/>
        </w:rPr>
      </w:pPr>
      <w:r>
        <w:rPr>
          <w:b/>
        </w:rPr>
        <w:t>Supplementary Table 3:</w:t>
      </w:r>
      <w:r w:rsidRPr="006F0FA1">
        <w:rPr>
          <w:b/>
        </w:rPr>
        <w:t xml:space="preserve"> </w:t>
      </w:r>
    </w:p>
    <w:p w14:paraId="090F5694" w14:textId="77777777" w:rsidR="00602338" w:rsidRDefault="00602338" w:rsidP="00602338">
      <w:r>
        <w:t xml:space="preserve">Statistical significances of the </w:t>
      </w:r>
      <w:r w:rsidRPr="006F0FA1">
        <w:t xml:space="preserve">linear mixed effects model with animal-specific random effects </w:t>
      </w:r>
      <w:r>
        <w:t xml:space="preserve">that </w:t>
      </w:r>
      <w:r w:rsidRPr="006F0FA1">
        <w:t xml:space="preserve">was used to evaluate and compare log tumor growth rates between the four treatment groups. </w:t>
      </w:r>
      <w:r>
        <w:t xml:space="preserve">Drug, CLR127. </w:t>
      </w:r>
    </w:p>
    <w:p w14:paraId="2EA57B30" w14:textId="77777777" w:rsidR="00974A07" w:rsidRPr="006F0FA1" w:rsidRDefault="00974A07"/>
    <w:p w14:paraId="1D73AA05" w14:textId="77777777" w:rsidR="00974A07" w:rsidRPr="006F0FA1" w:rsidRDefault="00974A07"/>
    <w:p w14:paraId="4A817758" w14:textId="77777777" w:rsidR="00974A07" w:rsidRPr="006F0FA1" w:rsidRDefault="00974A07"/>
    <w:p w14:paraId="63CC5AFC" w14:textId="77777777" w:rsidR="00974A07" w:rsidRPr="006F0FA1" w:rsidRDefault="00974A07"/>
    <w:p w14:paraId="31CB6497" w14:textId="77777777" w:rsidR="00974A07" w:rsidRPr="006F0FA1" w:rsidRDefault="00974A07"/>
    <w:p w14:paraId="62DED609" w14:textId="77777777" w:rsidR="00974A07" w:rsidRPr="006F0FA1" w:rsidRDefault="00974A07"/>
    <w:p w14:paraId="19C607AA" w14:textId="77777777" w:rsidR="00974A07" w:rsidRDefault="00974A07"/>
    <w:p w14:paraId="2C791940" w14:textId="77777777" w:rsidR="00602338" w:rsidRDefault="00602338"/>
    <w:p w14:paraId="3CCA698B" w14:textId="77777777" w:rsidR="00602338" w:rsidRDefault="00602338"/>
    <w:p w14:paraId="3C3FC34D" w14:textId="77777777" w:rsidR="00602338" w:rsidRDefault="00602338"/>
    <w:p w14:paraId="75343796" w14:textId="77777777" w:rsidR="00602338" w:rsidRDefault="00602338"/>
    <w:p w14:paraId="6F4574CB" w14:textId="77777777" w:rsidR="00602338" w:rsidRDefault="00602338"/>
    <w:p w14:paraId="569E80F6" w14:textId="77777777" w:rsidR="00602338" w:rsidRDefault="00602338"/>
    <w:p w14:paraId="19C648E4" w14:textId="77777777" w:rsidR="00602338" w:rsidRDefault="00602338"/>
    <w:p w14:paraId="66E71F67" w14:textId="77777777" w:rsidR="00602338" w:rsidRDefault="00602338"/>
    <w:p w14:paraId="4BACA4AF" w14:textId="77777777" w:rsidR="00602338" w:rsidRDefault="00602338"/>
    <w:p w14:paraId="3936A77D" w14:textId="77777777" w:rsidR="00602338" w:rsidRDefault="00602338"/>
    <w:p w14:paraId="00C43F0E" w14:textId="77777777" w:rsidR="00602338" w:rsidRDefault="00602338"/>
    <w:p w14:paraId="03B3AAFF" w14:textId="77777777" w:rsidR="00602338" w:rsidRDefault="00602338"/>
    <w:p w14:paraId="1EB3A0E0" w14:textId="77777777" w:rsidR="00602338" w:rsidRPr="006F0FA1" w:rsidRDefault="00602338"/>
    <w:p w14:paraId="5D20C9EA" w14:textId="7281BE7A" w:rsidR="00A208CB" w:rsidRPr="006F0FA1" w:rsidRDefault="00CF4E8E">
      <w:r>
        <w:rPr>
          <w:noProof/>
        </w:rPr>
        <w:drawing>
          <wp:inline distT="0" distB="0" distL="0" distR="0" wp14:anchorId="76754FF1" wp14:editId="677C1BB8">
            <wp:extent cx="5401056" cy="25450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08F3" w14:textId="77777777" w:rsidR="00974A07" w:rsidRPr="006F0FA1" w:rsidRDefault="00974A07"/>
    <w:p w14:paraId="66371E2D" w14:textId="77777777" w:rsidR="00974A07" w:rsidRPr="006F0FA1" w:rsidRDefault="00974A07"/>
    <w:p w14:paraId="6B8DA49F" w14:textId="095265B6" w:rsidR="00974A07" w:rsidRPr="006F0FA1" w:rsidRDefault="00C8768A" w:rsidP="005570A6">
      <w:pPr>
        <w:outlineLvl w:val="0"/>
        <w:rPr>
          <w:b/>
          <w:bCs/>
        </w:rPr>
      </w:pPr>
      <w:r>
        <w:rPr>
          <w:b/>
          <w:bCs/>
        </w:rPr>
        <w:t>Supplementary Figure 1</w:t>
      </w:r>
      <w:r w:rsidR="00974A07" w:rsidRPr="006F0FA1">
        <w:rPr>
          <w:b/>
          <w:bCs/>
        </w:rPr>
        <w:t xml:space="preserve">. </w:t>
      </w:r>
    </w:p>
    <w:p w14:paraId="33F166C4" w14:textId="07DD035E" w:rsidR="00974A07" w:rsidRPr="006F0FA1" w:rsidRDefault="009638CB" w:rsidP="00B55DB2">
      <w:pPr>
        <w:jc w:val="both"/>
      </w:pPr>
      <w:r>
        <w:rPr>
          <w:bCs/>
        </w:rPr>
        <w:t>CLR127</w:t>
      </w:r>
      <w:r w:rsidR="00974A07" w:rsidRPr="006F0FA1">
        <w:rPr>
          <w:bCs/>
        </w:rPr>
        <w:t xml:space="preserve"> effect on cell viability.</w:t>
      </w:r>
      <w:r w:rsidR="00974A07" w:rsidRPr="006F0FA1">
        <w:t xml:space="preserve"> Cell survival of </w:t>
      </w:r>
      <w:r>
        <w:t>CLR127</w:t>
      </w:r>
      <w:r w:rsidR="00974A07" w:rsidRPr="006F0FA1">
        <w:t xml:space="preserve">-treated cells was examined </w:t>
      </w:r>
      <w:r w:rsidR="001325C3">
        <w:t>by</w:t>
      </w:r>
      <w:r w:rsidR="00974A07" w:rsidRPr="006F0FA1">
        <w:t xml:space="preserve"> MTT assay.  2x10</w:t>
      </w:r>
      <w:r w:rsidR="00974A07" w:rsidRPr="006F0FA1">
        <w:rPr>
          <w:b/>
          <w:bCs/>
          <w:vertAlign w:val="superscript"/>
        </w:rPr>
        <w:t>6</w:t>
      </w:r>
      <w:r w:rsidR="00974A07" w:rsidRPr="006F0FA1">
        <w:t xml:space="preserve"> cells/ well were seeded in 96-well plates and treated with 5, 7.5, 10, 15 or 30 </w:t>
      </w:r>
      <w:proofErr w:type="spellStart"/>
      <w:r w:rsidR="00974A07" w:rsidRPr="006F0FA1">
        <w:t>μM</w:t>
      </w:r>
      <w:proofErr w:type="spellEnd"/>
      <w:r w:rsidR="00974A07" w:rsidRPr="006F0FA1">
        <w:t xml:space="preserve"> </w:t>
      </w:r>
      <w:r>
        <w:t>CLR127</w:t>
      </w:r>
      <w:r w:rsidR="00974A07" w:rsidRPr="006F0FA1">
        <w:t xml:space="preserve"> for 20 hours. Excipient was present at the same concentration in all samples. 0.8% formaldehyde was used as positive control of cell death. Percent viability was calculated as live cells equivalents determined from standard curves, and calculated as percentage from 100% cell growth of the wells with excipient alone. Averages ± SE of 3 separate experiments are shown. *P &lt; 0.05 and **P </w:t>
      </w:r>
      <w:r w:rsidR="006734C2">
        <w:rPr>
          <w:rFonts w:cs="Arial"/>
        </w:rPr>
        <w:t>≤</w:t>
      </w:r>
      <w:r w:rsidR="00974A07" w:rsidRPr="006F0FA1">
        <w:t xml:space="preserve"> 0.005 of </w:t>
      </w:r>
      <w:r>
        <w:t>CLR127</w:t>
      </w:r>
      <w:r w:rsidR="00974A07" w:rsidRPr="006F0FA1">
        <w:t>-treated versus excipient-only cells.</w:t>
      </w:r>
    </w:p>
    <w:p w14:paraId="4F00428C" w14:textId="77777777" w:rsidR="00974A07" w:rsidRPr="006F0FA1" w:rsidRDefault="00974A07" w:rsidP="00B55DB2">
      <w:pPr>
        <w:jc w:val="both"/>
      </w:pPr>
      <w:r w:rsidRPr="006F0FA1">
        <w:br w:type="page"/>
      </w:r>
    </w:p>
    <w:p w14:paraId="73777A9C" w14:textId="779226EF" w:rsidR="006734C2" w:rsidRDefault="00957273" w:rsidP="00B55DB2">
      <w:pPr>
        <w:jc w:val="both"/>
      </w:pPr>
      <w:r>
        <w:rPr>
          <w:noProof/>
        </w:rPr>
        <w:lastRenderedPageBreak/>
        <w:drawing>
          <wp:inline distT="0" distB="0" distL="0" distR="0" wp14:anchorId="3CEC9D74" wp14:editId="1944EA12">
            <wp:extent cx="5943600" cy="3833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H2AX font size 10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BA21" w14:textId="77777777" w:rsidR="006734C2" w:rsidRDefault="006734C2" w:rsidP="00B55DB2">
      <w:pPr>
        <w:jc w:val="both"/>
      </w:pPr>
    </w:p>
    <w:p w14:paraId="66FA4CAB" w14:textId="77777777" w:rsidR="006734C2" w:rsidRDefault="006734C2" w:rsidP="00B55DB2">
      <w:pPr>
        <w:jc w:val="both"/>
      </w:pPr>
    </w:p>
    <w:p w14:paraId="0EA1FFB5" w14:textId="07AFCF93" w:rsidR="007207E9" w:rsidRDefault="00C8768A" w:rsidP="007207E9">
      <w:pPr>
        <w:rPr>
          <w:bCs/>
        </w:rPr>
      </w:pPr>
      <w:r>
        <w:rPr>
          <w:b/>
          <w:bCs/>
        </w:rPr>
        <w:t>Supplementary Figure 2</w:t>
      </w:r>
      <w:r w:rsidR="007207E9" w:rsidRPr="007207E9">
        <w:rPr>
          <w:b/>
          <w:bCs/>
        </w:rPr>
        <w:t>:</w:t>
      </w:r>
      <w:r w:rsidR="007207E9">
        <w:rPr>
          <w:bCs/>
        </w:rPr>
        <w:t xml:space="preserve"> </w:t>
      </w:r>
      <w:r w:rsidR="007207E9" w:rsidRPr="0051207E">
        <w:rPr>
          <w:bCs/>
        </w:rPr>
        <w:t>Effect of CLR</w:t>
      </w:r>
      <w:r w:rsidR="007207E9">
        <w:rPr>
          <w:bCs/>
        </w:rPr>
        <w:t>127</w:t>
      </w:r>
      <w:r w:rsidR="007207E9" w:rsidRPr="0051207E">
        <w:rPr>
          <w:bCs/>
        </w:rPr>
        <w:t xml:space="preserve"> </w:t>
      </w:r>
      <w:r w:rsidR="007207E9">
        <w:rPr>
          <w:bCs/>
        </w:rPr>
        <w:t xml:space="preserve">(CLR) </w:t>
      </w:r>
      <w:r w:rsidR="007207E9" w:rsidRPr="0051207E">
        <w:rPr>
          <w:bCs/>
        </w:rPr>
        <w:t>and radiation on DNA damage repair in vitro</w:t>
      </w:r>
      <w:r w:rsidR="007207E9">
        <w:rPr>
          <w:bCs/>
        </w:rPr>
        <w:t xml:space="preserve"> assessed by Western blot</w:t>
      </w:r>
      <w:r w:rsidR="00787297">
        <w:rPr>
          <w:bCs/>
        </w:rPr>
        <w:t xml:space="preserve"> and</w:t>
      </w:r>
      <w:r w:rsidR="007207E9">
        <w:rPr>
          <w:bCs/>
        </w:rPr>
        <w:t xml:space="preserve"> shown as relative expression of </w:t>
      </w:r>
      <w:r w:rsidR="007207E9">
        <w:rPr>
          <w:rFonts w:cs="Arial"/>
          <w:bCs/>
        </w:rPr>
        <w:t>γ</w:t>
      </w:r>
      <w:r w:rsidR="007207E9">
        <w:rPr>
          <w:bCs/>
        </w:rPr>
        <w:t>H2AX</w:t>
      </w:r>
      <w:r w:rsidR="007207E9" w:rsidRPr="0051207E">
        <w:rPr>
          <w:bCs/>
        </w:rPr>
        <w:t xml:space="preserve">. Cells were treated with 7.5 </w:t>
      </w:r>
      <w:r w:rsidR="007207E9" w:rsidRPr="00A357CB">
        <w:rPr>
          <w:bCs/>
          <w:lang w:val="el-GR"/>
        </w:rPr>
        <w:t>μ</w:t>
      </w:r>
      <w:r w:rsidR="007207E9" w:rsidRPr="00A357CB">
        <w:rPr>
          <w:bCs/>
        </w:rPr>
        <w:t xml:space="preserve">M CLR </w:t>
      </w:r>
      <w:r w:rsidR="007207E9">
        <w:rPr>
          <w:bCs/>
        </w:rPr>
        <w:t>127 or excipient</w:t>
      </w:r>
      <w:r w:rsidR="007207E9" w:rsidRPr="00A357CB">
        <w:rPr>
          <w:bCs/>
        </w:rPr>
        <w:t xml:space="preserve"> </w:t>
      </w:r>
      <w:r w:rsidR="007207E9">
        <w:rPr>
          <w:bCs/>
        </w:rPr>
        <w:t xml:space="preserve">for 16 hours, and exposed to 5 </w:t>
      </w:r>
      <w:proofErr w:type="spellStart"/>
      <w:r w:rsidR="007207E9">
        <w:rPr>
          <w:bCs/>
        </w:rPr>
        <w:t>Gy</w:t>
      </w:r>
      <w:proofErr w:type="spellEnd"/>
      <w:r w:rsidR="007207E9">
        <w:rPr>
          <w:bCs/>
        </w:rPr>
        <w:t xml:space="preserve"> radiation. Cells were collected immediately prior to radiation </w:t>
      </w:r>
      <w:r w:rsidR="007207E9" w:rsidRPr="00F05CF7">
        <w:rPr>
          <w:bCs/>
        </w:rPr>
        <w:t>(0) and at 1</w:t>
      </w:r>
      <w:r w:rsidR="00787297">
        <w:rPr>
          <w:bCs/>
        </w:rPr>
        <w:t>, 6</w:t>
      </w:r>
      <w:r w:rsidR="007207E9" w:rsidRPr="00F05CF7">
        <w:rPr>
          <w:bCs/>
        </w:rPr>
        <w:t xml:space="preserve"> and 24 hours </w:t>
      </w:r>
      <w:r w:rsidR="007207E9" w:rsidRPr="00A357CB">
        <w:rPr>
          <w:bCs/>
        </w:rPr>
        <w:t xml:space="preserve">(h) </w:t>
      </w:r>
      <w:r w:rsidR="007207E9">
        <w:rPr>
          <w:bCs/>
        </w:rPr>
        <w:t xml:space="preserve">after radiation </w:t>
      </w:r>
      <w:r w:rsidR="003B1417">
        <w:rPr>
          <w:bCs/>
        </w:rPr>
        <w:t>and subjected to W</w:t>
      </w:r>
      <w:r w:rsidR="007207E9" w:rsidRPr="00A357CB">
        <w:rPr>
          <w:bCs/>
        </w:rPr>
        <w:t xml:space="preserve">estern blotting. </w:t>
      </w:r>
      <w:r w:rsidR="007207E9" w:rsidRPr="00A357CB">
        <w:t>γH2AX</w:t>
      </w:r>
      <w:r w:rsidR="007207E9" w:rsidRPr="00A357CB">
        <w:rPr>
          <w:bCs/>
        </w:rPr>
        <w:t xml:space="preserve"> </w:t>
      </w:r>
      <w:r w:rsidR="007207E9">
        <w:rPr>
          <w:bCs/>
        </w:rPr>
        <w:t xml:space="preserve">bands were quantified relative to </w:t>
      </w:r>
      <w:r w:rsidR="007207E9" w:rsidRPr="00A357CB">
        <w:rPr>
          <w:bCs/>
        </w:rPr>
        <w:t xml:space="preserve">β-actin </w:t>
      </w:r>
      <w:r w:rsidR="007207E9" w:rsidRPr="00A357CB">
        <w:t>loading control</w:t>
      </w:r>
      <w:r w:rsidR="007207E9">
        <w:rPr>
          <w:bCs/>
        </w:rPr>
        <w:t xml:space="preserve"> using </w:t>
      </w:r>
      <w:proofErr w:type="spellStart"/>
      <w:r w:rsidR="007207E9">
        <w:rPr>
          <w:bCs/>
        </w:rPr>
        <w:t>ImageJ</w:t>
      </w:r>
      <w:proofErr w:type="spellEnd"/>
      <w:r w:rsidR="007207E9">
        <w:rPr>
          <w:bCs/>
        </w:rPr>
        <w:t xml:space="preserve"> software. </w:t>
      </w:r>
      <w:r w:rsidR="00787297">
        <w:rPr>
          <w:bCs/>
        </w:rPr>
        <w:t xml:space="preserve">Left row: representative western blots. Right row: </w:t>
      </w:r>
      <w:r w:rsidR="003B1417">
        <w:rPr>
          <w:bCs/>
        </w:rPr>
        <w:t>B</w:t>
      </w:r>
      <w:r w:rsidR="00F05CF7">
        <w:rPr>
          <w:bCs/>
        </w:rPr>
        <w:t>ar</w:t>
      </w:r>
      <w:r w:rsidR="00787297">
        <w:rPr>
          <w:bCs/>
        </w:rPr>
        <w:t xml:space="preserve"> graph</w:t>
      </w:r>
      <w:r w:rsidR="007207E9">
        <w:rPr>
          <w:bCs/>
        </w:rPr>
        <w:t xml:space="preserve"> show</w:t>
      </w:r>
      <w:r w:rsidR="00787297">
        <w:rPr>
          <w:bCs/>
        </w:rPr>
        <w:t>ing</w:t>
      </w:r>
      <w:r w:rsidR="007207E9">
        <w:rPr>
          <w:bCs/>
        </w:rPr>
        <w:t xml:space="preserve"> mean relative </w:t>
      </w:r>
      <w:r w:rsidR="007207E9" w:rsidRPr="00A357CB">
        <w:t>γH2AX</w:t>
      </w:r>
      <w:r w:rsidR="007207E9">
        <w:t xml:space="preserve"> expression of three independent experiments, </w:t>
      </w:r>
      <w:r w:rsidR="00F05CF7">
        <w:t xml:space="preserve">small </w:t>
      </w:r>
      <w:r w:rsidR="007207E9">
        <w:t>bars depict</w:t>
      </w:r>
      <w:r w:rsidR="00787297">
        <w:t>ing</w:t>
      </w:r>
      <w:r w:rsidR="007207E9">
        <w:t xml:space="preserve"> standard error. Statistical differences were calculated with Student’s </w:t>
      </w:r>
      <w:r w:rsidR="00F05CF7">
        <w:t xml:space="preserve">two-tailed </w:t>
      </w:r>
      <w:r w:rsidR="007207E9">
        <w:t>t</w:t>
      </w:r>
      <w:r w:rsidR="00F05CF7">
        <w:t>-</w:t>
      </w:r>
      <w:r w:rsidR="007207E9">
        <w:t>test</w:t>
      </w:r>
      <w:r w:rsidR="00F05CF7">
        <w:t xml:space="preserve"> (*p</w:t>
      </w:r>
      <w:r w:rsidR="00F05CF7">
        <w:rPr>
          <w:rFonts w:cs="Arial"/>
        </w:rPr>
        <w:t>≤</w:t>
      </w:r>
      <w:r w:rsidR="00F05CF7">
        <w:t>0.05; **p</w:t>
      </w:r>
      <w:r w:rsidR="00F05CF7">
        <w:rPr>
          <w:rFonts w:cs="Arial"/>
        </w:rPr>
        <w:t>≤</w:t>
      </w:r>
      <w:r w:rsidR="00F05CF7">
        <w:t>0.01).</w:t>
      </w:r>
    </w:p>
    <w:p w14:paraId="3ACC162A" w14:textId="77777777" w:rsidR="007207E9" w:rsidRDefault="007207E9" w:rsidP="007207E9">
      <w:pPr>
        <w:rPr>
          <w:bCs/>
        </w:rPr>
      </w:pPr>
    </w:p>
    <w:p w14:paraId="514C1FCD" w14:textId="7045170C" w:rsidR="00974A07" w:rsidRDefault="00974A07" w:rsidP="00B55DB2">
      <w:pPr>
        <w:jc w:val="both"/>
      </w:pPr>
      <w:r w:rsidRPr="006F0FA1">
        <w:br w:type="page"/>
      </w:r>
    </w:p>
    <w:p w14:paraId="706CDF0D" w14:textId="51749AC6" w:rsidR="00974A07" w:rsidRPr="006F0FA1" w:rsidRDefault="0044485F" w:rsidP="00974A07">
      <w:r>
        <w:rPr>
          <w:noProof/>
        </w:rPr>
        <w:lastRenderedPageBreak/>
        <w:drawing>
          <wp:inline distT="0" distB="0" distL="0" distR="0" wp14:anchorId="01628376" wp14:editId="5F9B9818">
            <wp:extent cx="3936186" cy="43604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452" cy="43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DEED" w14:textId="77777777" w:rsidR="00974A07" w:rsidRPr="006F0FA1" w:rsidRDefault="00974A07"/>
    <w:p w14:paraId="2B35DE79" w14:textId="77777777" w:rsidR="00974A07" w:rsidRPr="006F0FA1" w:rsidRDefault="00974A07"/>
    <w:p w14:paraId="62AF02FA" w14:textId="77777777" w:rsidR="00974A07" w:rsidRPr="006F0FA1" w:rsidRDefault="00974A07"/>
    <w:p w14:paraId="6F1229E7" w14:textId="132D42EA" w:rsidR="00974A07" w:rsidRPr="006F0FA1" w:rsidRDefault="00C8768A" w:rsidP="005570A6">
      <w:pPr>
        <w:outlineLvl w:val="0"/>
        <w:rPr>
          <w:b/>
        </w:rPr>
      </w:pPr>
      <w:r>
        <w:rPr>
          <w:b/>
        </w:rPr>
        <w:t>Supplementary Figure 3</w:t>
      </w:r>
      <w:r w:rsidR="00974A07" w:rsidRPr="006F0FA1">
        <w:rPr>
          <w:b/>
        </w:rPr>
        <w:t>:</w:t>
      </w:r>
    </w:p>
    <w:p w14:paraId="13A27957" w14:textId="75049A9A" w:rsidR="009E185E" w:rsidRDefault="00974A07" w:rsidP="003C34C6">
      <w:pPr>
        <w:jc w:val="both"/>
      </w:pPr>
      <w:r w:rsidRPr="006F0FA1">
        <w:t xml:space="preserve">Tumor growth rates were analyzed and compared between the four experimental groups by a linear mixed effects model, with the group as the fixed effect and the animal as random effect and using log-transformed tumor volume as the outcome measure. The tumor growth rates of mice that received XRT plus </w:t>
      </w:r>
      <w:r w:rsidR="009638CB">
        <w:t>CLR127</w:t>
      </w:r>
      <w:r w:rsidRPr="006F0FA1">
        <w:t xml:space="preserve"> were significantly reduced when compared to mice treated with radiotherapy alone. See supplementary table </w:t>
      </w:r>
      <w:r w:rsidR="00C8768A">
        <w:t>3</w:t>
      </w:r>
      <w:r w:rsidRPr="006F0FA1">
        <w:t xml:space="preserve"> for detail</w:t>
      </w:r>
      <w:r w:rsidR="002164D6">
        <w:t>ed statistical analysis</w:t>
      </w:r>
      <w:r w:rsidRPr="006F0FA1">
        <w:t>.</w:t>
      </w:r>
      <w:bookmarkStart w:id="0" w:name="_GoBack"/>
      <w:bookmarkEnd w:id="0"/>
    </w:p>
    <w:p w14:paraId="5B15BF91" w14:textId="77777777" w:rsidR="009E185E" w:rsidRDefault="009E185E"/>
    <w:p w14:paraId="1B208DB7" w14:textId="77777777" w:rsidR="002164D6" w:rsidRDefault="002164D6"/>
    <w:p w14:paraId="4AE95CED" w14:textId="77777777" w:rsidR="002164D6" w:rsidRDefault="002164D6"/>
    <w:p w14:paraId="759ED9D2" w14:textId="77777777" w:rsidR="002164D6" w:rsidRDefault="002164D6"/>
    <w:p w14:paraId="6A173271" w14:textId="77777777" w:rsidR="002164D6" w:rsidRDefault="002164D6"/>
    <w:p w14:paraId="16F6FB49" w14:textId="77777777" w:rsidR="002164D6" w:rsidRDefault="002164D6"/>
    <w:p w14:paraId="1C12D805" w14:textId="77777777" w:rsidR="002164D6" w:rsidRDefault="002164D6"/>
    <w:p w14:paraId="6C630A05" w14:textId="77777777" w:rsidR="009E185E" w:rsidRDefault="009E185E"/>
    <w:p w14:paraId="2E8454AF" w14:textId="77777777" w:rsidR="009E185E" w:rsidRDefault="009E185E"/>
    <w:p w14:paraId="25B18296" w14:textId="77777777" w:rsidR="009E185E" w:rsidRDefault="009E185E"/>
    <w:p w14:paraId="25EB7322" w14:textId="77777777" w:rsidR="009E185E" w:rsidRDefault="009E185E"/>
    <w:p w14:paraId="09B611F6" w14:textId="77777777" w:rsidR="00626055" w:rsidRDefault="00626055"/>
    <w:p w14:paraId="28DBB2D5" w14:textId="77777777" w:rsidR="00626055" w:rsidRDefault="00626055"/>
    <w:p w14:paraId="0F684C28" w14:textId="77777777" w:rsidR="00626055" w:rsidRDefault="00626055"/>
    <w:p w14:paraId="2F3E458B" w14:textId="77777777" w:rsidR="00626055" w:rsidRDefault="00626055"/>
    <w:sectPr w:rsidR="00626055" w:rsidSect="00EC06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27FB" w14:textId="77777777" w:rsidR="002164D6" w:rsidRDefault="002164D6" w:rsidP="002164D6">
      <w:r>
        <w:separator/>
      </w:r>
    </w:p>
  </w:endnote>
  <w:endnote w:type="continuationSeparator" w:id="0">
    <w:p w14:paraId="6821EADC" w14:textId="77777777" w:rsidR="002164D6" w:rsidRDefault="002164D6" w:rsidP="002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824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C023D" w14:textId="52225CBF" w:rsidR="002164D6" w:rsidRDefault="0021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522F66" w14:textId="77777777" w:rsidR="002164D6" w:rsidRDefault="0021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96B7" w14:textId="77777777" w:rsidR="002164D6" w:rsidRDefault="002164D6" w:rsidP="002164D6">
      <w:r>
        <w:separator/>
      </w:r>
    </w:p>
  </w:footnote>
  <w:footnote w:type="continuationSeparator" w:id="0">
    <w:p w14:paraId="663EAEF8" w14:textId="77777777" w:rsidR="002164D6" w:rsidRDefault="002164D6" w:rsidP="0021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07"/>
    <w:rsid w:val="00005EE3"/>
    <w:rsid w:val="00057259"/>
    <w:rsid w:val="0006062D"/>
    <w:rsid w:val="00060D7D"/>
    <w:rsid w:val="00064A41"/>
    <w:rsid w:val="00085180"/>
    <w:rsid w:val="000A29C9"/>
    <w:rsid w:val="000B029C"/>
    <w:rsid w:val="000E1B42"/>
    <w:rsid w:val="000F5B28"/>
    <w:rsid w:val="00126D99"/>
    <w:rsid w:val="001325C3"/>
    <w:rsid w:val="001562EA"/>
    <w:rsid w:val="002164D6"/>
    <w:rsid w:val="0028776F"/>
    <w:rsid w:val="0029320D"/>
    <w:rsid w:val="002A6639"/>
    <w:rsid w:val="002D1C8B"/>
    <w:rsid w:val="002D4F2D"/>
    <w:rsid w:val="002E5362"/>
    <w:rsid w:val="0030473C"/>
    <w:rsid w:val="003236CE"/>
    <w:rsid w:val="00324B6B"/>
    <w:rsid w:val="00337AB5"/>
    <w:rsid w:val="00343B58"/>
    <w:rsid w:val="003A2ED7"/>
    <w:rsid w:val="003B1417"/>
    <w:rsid w:val="003B1D7F"/>
    <w:rsid w:val="003C0F68"/>
    <w:rsid w:val="003C34C6"/>
    <w:rsid w:val="003E32EA"/>
    <w:rsid w:val="0044485F"/>
    <w:rsid w:val="00466CD3"/>
    <w:rsid w:val="00475548"/>
    <w:rsid w:val="00476C3E"/>
    <w:rsid w:val="004801B6"/>
    <w:rsid w:val="004824AC"/>
    <w:rsid w:val="004B33A5"/>
    <w:rsid w:val="004C1ED7"/>
    <w:rsid w:val="004F1F1F"/>
    <w:rsid w:val="0050103F"/>
    <w:rsid w:val="00521452"/>
    <w:rsid w:val="00537DF1"/>
    <w:rsid w:val="00550D29"/>
    <w:rsid w:val="005570A6"/>
    <w:rsid w:val="00561F19"/>
    <w:rsid w:val="005727D0"/>
    <w:rsid w:val="00576BBC"/>
    <w:rsid w:val="00591D0A"/>
    <w:rsid w:val="005A7284"/>
    <w:rsid w:val="005B43CC"/>
    <w:rsid w:val="005B516D"/>
    <w:rsid w:val="00602338"/>
    <w:rsid w:val="00626055"/>
    <w:rsid w:val="006343C2"/>
    <w:rsid w:val="00640CD1"/>
    <w:rsid w:val="006734C2"/>
    <w:rsid w:val="00684D67"/>
    <w:rsid w:val="006D5406"/>
    <w:rsid w:val="006D6C88"/>
    <w:rsid w:val="006F0FA1"/>
    <w:rsid w:val="007207E9"/>
    <w:rsid w:val="00745FC8"/>
    <w:rsid w:val="007471F9"/>
    <w:rsid w:val="0076096E"/>
    <w:rsid w:val="00774C29"/>
    <w:rsid w:val="00787297"/>
    <w:rsid w:val="007A10C7"/>
    <w:rsid w:val="007A59C4"/>
    <w:rsid w:val="007B43AE"/>
    <w:rsid w:val="007D2201"/>
    <w:rsid w:val="007D7E14"/>
    <w:rsid w:val="007E301F"/>
    <w:rsid w:val="007F5DB4"/>
    <w:rsid w:val="0087073E"/>
    <w:rsid w:val="0087667B"/>
    <w:rsid w:val="00896D46"/>
    <w:rsid w:val="008C50E2"/>
    <w:rsid w:val="008C7206"/>
    <w:rsid w:val="008F1E6C"/>
    <w:rsid w:val="00907B3A"/>
    <w:rsid w:val="0091587C"/>
    <w:rsid w:val="009474AE"/>
    <w:rsid w:val="00957273"/>
    <w:rsid w:val="009638CB"/>
    <w:rsid w:val="00974A07"/>
    <w:rsid w:val="0098272F"/>
    <w:rsid w:val="009A60EB"/>
    <w:rsid w:val="009C1824"/>
    <w:rsid w:val="009E185E"/>
    <w:rsid w:val="00A208CB"/>
    <w:rsid w:val="00A30137"/>
    <w:rsid w:val="00A31EFA"/>
    <w:rsid w:val="00A451D5"/>
    <w:rsid w:val="00A5027E"/>
    <w:rsid w:val="00A73660"/>
    <w:rsid w:val="00A84DFD"/>
    <w:rsid w:val="00A94E83"/>
    <w:rsid w:val="00B15907"/>
    <w:rsid w:val="00B217B2"/>
    <w:rsid w:val="00B4547B"/>
    <w:rsid w:val="00B50A0C"/>
    <w:rsid w:val="00B53A1D"/>
    <w:rsid w:val="00B55DB2"/>
    <w:rsid w:val="00B679AA"/>
    <w:rsid w:val="00B95635"/>
    <w:rsid w:val="00BD170B"/>
    <w:rsid w:val="00BD34AD"/>
    <w:rsid w:val="00BF201E"/>
    <w:rsid w:val="00BF3948"/>
    <w:rsid w:val="00C044AB"/>
    <w:rsid w:val="00C221C2"/>
    <w:rsid w:val="00C350EB"/>
    <w:rsid w:val="00C41B49"/>
    <w:rsid w:val="00C65680"/>
    <w:rsid w:val="00C724B5"/>
    <w:rsid w:val="00C77368"/>
    <w:rsid w:val="00C8768A"/>
    <w:rsid w:val="00CE3999"/>
    <w:rsid w:val="00CF204C"/>
    <w:rsid w:val="00CF4E8E"/>
    <w:rsid w:val="00D05A92"/>
    <w:rsid w:val="00D15727"/>
    <w:rsid w:val="00D57343"/>
    <w:rsid w:val="00D96CD3"/>
    <w:rsid w:val="00DC12D4"/>
    <w:rsid w:val="00DC1406"/>
    <w:rsid w:val="00DF7A17"/>
    <w:rsid w:val="00E335CF"/>
    <w:rsid w:val="00E708BE"/>
    <w:rsid w:val="00E80A15"/>
    <w:rsid w:val="00E9288E"/>
    <w:rsid w:val="00EA5528"/>
    <w:rsid w:val="00EB471A"/>
    <w:rsid w:val="00EC062D"/>
    <w:rsid w:val="00ED6799"/>
    <w:rsid w:val="00F05CF7"/>
    <w:rsid w:val="00F22BD2"/>
    <w:rsid w:val="00F24F83"/>
    <w:rsid w:val="00F608D0"/>
    <w:rsid w:val="00F63B06"/>
    <w:rsid w:val="00F63C79"/>
    <w:rsid w:val="00F767A5"/>
    <w:rsid w:val="00FA6B9F"/>
    <w:rsid w:val="00FD14CE"/>
    <w:rsid w:val="00FD7EAD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23F"/>
  <w14:defaultImageDpi w14:val="32767"/>
  <w15:docId w15:val="{333A892F-3771-467E-BD8C-A7D62B2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7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7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D6"/>
  </w:style>
  <w:style w:type="paragraph" w:styleId="Footer">
    <w:name w:val="footer"/>
    <w:basedOn w:val="Normal"/>
    <w:link w:val="FooterChar"/>
    <w:uiPriority w:val="99"/>
    <w:unhideWhenUsed/>
    <w:rsid w:val="00216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Baiu</dc:creator>
  <cp:lastModifiedBy>Mario Otto, MD, PhD</cp:lastModifiedBy>
  <cp:revision>3</cp:revision>
  <cp:lastPrinted>2018-05-06T22:28:00Z</cp:lastPrinted>
  <dcterms:created xsi:type="dcterms:W3CDTF">2018-05-08T17:30:00Z</dcterms:created>
  <dcterms:modified xsi:type="dcterms:W3CDTF">2018-07-03T20:42:00Z</dcterms:modified>
</cp:coreProperties>
</file>