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F31" w:rsidRPr="00F75E32" w:rsidRDefault="00407F31" w:rsidP="00407F31">
      <w:pPr>
        <w:spacing w:after="240"/>
        <w:jc w:val="both"/>
        <w:rPr>
          <w:rFonts w:ascii="Arial" w:hAnsi="Arial" w:cs="Arial"/>
          <w:b/>
          <w:sz w:val="24"/>
          <w:szCs w:val="24"/>
        </w:rPr>
      </w:pPr>
      <w:r>
        <w:rPr>
          <w:rFonts w:ascii="Arial" w:hAnsi="Arial" w:cs="Arial"/>
          <w:b/>
          <w:sz w:val="24"/>
          <w:szCs w:val="24"/>
        </w:rPr>
        <w:t>Targeted t</w:t>
      </w:r>
      <w:r w:rsidRPr="00F75E32">
        <w:rPr>
          <w:rFonts w:ascii="Arial" w:hAnsi="Arial" w:cs="Arial"/>
          <w:b/>
          <w:sz w:val="24"/>
          <w:szCs w:val="24"/>
        </w:rPr>
        <w:t xml:space="preserve">reatment of metastatic breast cancer </w:t>
      </w:r>
      <w:r>
        <w:rPr>
          <w:rFonts w:ascii="Arial" w:hAnsi="Arial" w:cs="Arial"/>
          <w:b/>
          <w:sz w:val="24"/>
          <w:szCs w:val="24"/>
        </w:rPr>
        <w:t>by PLK1 siRNA delivered by an antioxidant nanoparticle platform</w:t>
      </w:r>
    </w:p>
    <w:p w:rsidR="00407F31" w:rsidRPr="00F75E32" w:rsidRDefault="00407F31" w:rsidP="00407F31">
      <w:pPr>
        <w:spacing w:after="0"/>
        <w:contextualSpacing/>
        <w:jc w:val="both"/>
        <w:rPr>
          <w:rFonts w:ascii="Arial" w:hAnsi="Arial" w:cs="Arial"/>
          <w:iCs/>
          <w:sz w:val="24"/>
          <w:szCs w:val="24"/>
          <w:vertAlign w:val="superscript"/>
        </w:rPr>
      </w:pPr>
      <w:r w:rsidRPr="00F75E32">
        <w:rPr>
          <w:rFonts w:ascii="Arial" w:hAnsi="Arial" w:cs="Arial"/>
          <w:iCs/>
          <w:sz w:val="24"/>
          <w:szCs w:val="24"/>
        </w:rPr>
        <w:t>Jingga Morry</w:t>
      </w:r>
      <w:r w:rsidRPr="00F75E32">
        <w:rPr>
          <w:rFonts w:ascii="Arial" w:hAnsi="Arial" w:cs="Arial"/>
          <w:iCs/>
          <w:sz w:val="24"/>
          <w:szCs w:val="24"/>
          <w:vertAlign w:val="superscript"/>
        </w:rPr>
        <w:t>*,1</w:t>
      </w:r>
      <w:r w:rsidRPr="00F75E32">
        <w:rPr>
          <w:rFonts w:ascii="Arial" w:hAnsi="Arial" w:cs="Arial"/>
          <w:iCs/>
          <w:sz w:val="24"/>
          <w:szCs w:val="24"/>
        </w:rPr>
        <w:t>, Worapol Ngamcherdtrakul</w:t>
      </w:r>
      <w:r w:rsidRPr="00F75E32">
        <w:rPr>
          <w:rFonts w:ascii="Arial" w:hAnsi="Arial" w:cs="Arial"/>
          <w:iCs/>
          <w:sz w:val="24"/>
          <w:szCs w:val="24"/>
          <w:vertAlign w:val="superscript"/>
        </w:rPr>
        <w:t>*,1,2</w:t>
      </w:r>
      <w:r w:rsidRPr="00F75E32">
        <w:rPr>
          <w:rFonts w:ascii="Arial" w:hAnsi="Arial" w:cs="Arial"/>
          <w:iCs/>
          <w:sz w:val="24"/>
          <w:szCs w:val="24"/>
        </w:rPr>
        <w:t>, Shenda Gu</w:t>
      </w:r>
      <w:r w:rsidRPr="00F75E32">
        <w:rPr>
          <w:rFonts w:ascii="Arial" w:hAnsi="Arial" w:cs="Arial"/>
          <w:iCs/>
          <w:sz w:val="24"/>
          <w:szCs w:val="24"/>
          <w:vertAlign w:val="superscript"/>
        </w:rPr>
        <w:t>1</w:t>
      </w:r>
      <w:r w:rsidRPr="00F75E32">
        <w:rPr>
          <w:rFonts w:ascii="Arial" w:hAnsi="Arial" w:cs="Arial"/>
          <w:iCs/>
          <w:sz w:val="24"/>
          <w:szCs w:val="24"/>
        </w:rPr>
        <w:t>, Moataz Reda</w:t>
      </w:r>
      <w:r w:rsidRPr="00F75E32">
        <w:rPr>
          <w:rFonts w:ascii="Arial" w:hAnsi="Arial" w:cs="Arial"/>
          <w:iCs/>
          <w:sz w:val="24"/>
          <w:szCs w:val="24"/>
          <w:vertAlign w:val="superscript"/>
        </w:rPr>
        <w:t>1</w:t>
      </w:r>
      <w:r w:rsidRPr="00F75E32">
        <w:rPr>
          <w:rFonts w:ascii="Arial" w:hAnsi="Arial" w:cs="Arial"/>
          <w:iCs/>
          <w:sz w:val="24"/>
          <w:szCs w:val="24"/>
        </w:rPr>
        <w:t>, David J. Castro</w:t>
      </w:r>
      <w:r w:rsidRPr="00F75E32">
        <w:rPr>
          <w:rFonts w:ascii="Arial" w:hAnsi="Arial" w:cs="Arial"/>
          <w:iCs/>
          <w:sz w:val="24"/>
          <w:szCs w:val="24"/>
          <w:vertAlign w:val="superscript"/>
        </w:rPr>
        <w:t>1,2</w:t>
      </w:r>
      <w:r w:rsidRPr="00F75E32">
        <w:rPr>
          <w:rFonts w:ascii="Arial" w:hAnsi="Arial" w:cs="Arial"/>
          <w:iCs/>
          <w:sz w:val="24"/>
          <w:szCs w:val="24"/>
        </w:rPr>
        <w:t>, Thanapon Sangvanich</w:t>
      </w:r>
      <w:r w:rsidRPr="00F75E32">
        <w:rPr>
          <w:rFonts w:ascii="Arial" w:hAnsi="Arial" w:cs="Arial"/>
          <w:iCs/>
          <w:sz w:val="24"/>
          <w:szCs w:val="24"/>
          <w:vertAlign w:val="superscript"/>
        </w:rPr>
        <w:t>1</w:t>
      </w:r>
      <w:r w:rsidRPr="00F75E32">
        <w:rPr>
          <w:rFonts w:ascii="Arial" w:hAnsi="Arial" w:cs="Arial"/>
          <w:iCs/>
          <w:sz w:val="24"/>
          <w:szCs w:val="24"/>
        </w:rPr>
        <w:t>, Joe W. Gray</w:t>
      </w:r>
      <w:r w:rsidRPr="00F75E32">
        <w:rPr>
          <w:rFonts w:ascii="Arial" w:hAnsi="Arial" w:cs="Arial"/>
          <w:iCs/>
          <w:sz w:val="24"/>
          <w:szCs w:val="24"/>
          <w:vertAlign w:val="superscript"/>
        </w:rPr>
        <w:t>#,1</w:t>
      </w:r>
      <w:r w:rsidRPr="00F75E32">
        <w:rPr>
          <w:rFonts w:ascii="Arial" w:hAnsi="Arial" w:cs="Arial"/>
          <w:iCs/>
          <w:sz w:val="24"/>
          <w:szCs w:val="24"/>
        </w:rPr>
        <w:t>, Wassana Yantasee</w:t>
      </w:r>
      <w:r w:rsidRPr="00F75E32">
        <w:rPr>
          <w:rFonts w:ascii="Arial" w:hAnsi="Arial" w:cs="Arial"/>
          <w:iCs/>
          <w:sz w:val="24"/>
          <w:szCs w:val="24"/>
          <w:vertAlign w:val="superscript"/>
        </w:rPr>
        <w:t>#,1,2</w:t>
      </w:r>
    </w:p>
    <w:p w:rsidR="00407F31" w:rsidRPr="00F75E32" w:rsidRDefault="00407F31" w:rsidP="00407F31">
      <w:pPr>
        <w:spacing w:after="0"/>
        <w:contextualSpacing/>
        <w:jc w:val="both"/>
        <w:rPr>
          <w:rFonts w:ascii="Arial" w:hAnsi="Arial" w:cs="Arial"/>
          <w:iCs/>
          <w:sz w:val="24"/>
          <w:szCs w:val="24"/>
          <w:vertAlign w:val="superscript"/>
        </w:rPr>
      </w:pPr>
    </w:p>
    <w:p w:rsidR="00407F31" w:rsidRPr="00F75E32" w:rsidRDefault="00407F31" w:rsidP="00407F31">
      <w:pPr>
        <w:spacing w:after="0"/>
        <w:contextualSpacing/>
        <w:jc w:val="both"/>
        <w:rPr>
          <w:rFonts w:ascii="Arial" w:hAnsi="Arial" w:cs="Arial"/>
          <w:sz w:val="24"/>
          <w:szCs w:val="24"/>
        </w:rPr>
      </w:pPr>
      <w:r w:rsidRPr="00F75E32">
        <w:rPr>
          <w:rFonts w:ascii="Arial" w:hAnsi="Arial" w:cs="Arial"/>
          <w:sz w:val="24"/>
          <w:szCs w:val="24"/>
          <w:vertAlign w:val="superscript"/>
        </w:rPr>
        <w:t>1</w:t>
      </w:r>
      <w:r w:rsidRPr="00F75E32">
        <w:rPr>
          <w:rFonts w:ascii="Arial" w:hAnsi="Arial" w:cs="Arial"/>
          <w:sz w:val="24"/>
          <w:szCs w:val="24"/>
        </w:rPr>
        <w:t>Department of Biomedical Engineering, Oregon Health and Science University</w:t>
      </w:r>
    </w:p>
    <w:p w:rsidR="00407F31" w:rsidRPr="00F75E32" w:rsidRDefault="00407F31" w:rsidP="00407F31">
      <w:pPr>
        <w:spacing w:after="0"/>
        <w:contextualSpacing/>
        <w:jc w:val="both"/>
        <w:rPr>
          <w:rFonts w:ascii="Arial" w:hAnsi="Arial" w:cs="Arial"/>
          <w:sz w:val="24"/>
          <w:szCs w:val="24"/>
        </w:rPr>
      </w:pPr>
      <w:r w:rsidRPr="00F75E32">
        <w:rPr>
          <w:rFonts w:ascii="Arial" w:hAnsi="Arial" w:cs="Arial"/>
          <w:sz w:val="24"/>
          <w:szCs w:val="24"/>
        </w:rPr>
        <w:t>3303 SW Bond Ave, Portland, OR 97239, USA</w:t>
      </w:r>
    </w:p>
    <w:p w:rsidR="00407F31" w:rsidRPr="00F75E32" w:rsidRDefault="00407F31" w:rsidP="00407F31">
      <w:pPr>
        <w:spacing w:after="0"/>
        <w:contextualSpacing/>
        <w:jc w:val="both"/>
        <w:rPr>
          <w:rFonts w:ascii="Arial" w:hAnsi="Arial" w:cs="Arial"/>
          <w:sz w:val="24"/>
          <w:szCs w:val="24"/>
        </w:rPr>
      </w:pPr>
      <w:r w:rsidRPr="00F75E32">
        <w:rPr>
          <w:rFonts w:ascii="Arial" w:hAnsi="Arial" w:cs="Arial"/>
          <w:sz w:val="24"/>
          <w:szCs w:val="24"/>
          <w:vertAlign w:val="superscript"/>
        </w:rPr>
        <w:t>2</w:t>
      </w:r>
      <w:r w:rsidRPr="00F75E32">
        <w:rPr>
          <w:rFonts w:ascii="Arial" w:hAnsi="Arial" w:cs="Arial"/>
          <w:sz w:val="24"/>
          <w:szCs w:val="24"/>
        </w:rPr>
        <w:t>PDX Pharmaceuticals, LLC</w:t>
      </w:r>
    </w:p>
    <w:p w:rsidR="00407F31" w:rsidRPr="00F75E32" w:rsidRDefault="00407F31" w:rsidP="00407F31">
      <w:pPr>
        <w:spacing w:after="0"/>
        <w:contextualSpacing/>
        <w:jc w:val="both"/>
        <w:rPr>
          <w:rFonts w:ascii="Arial" w:hAnsi="Arial" w:cs="Arial"/>
          <w:sz w:val="24"/>
          <w:szCs w:val="24"/>
        </w:rPr>
      </w:pPr>
      <w:r w:rsidRPr="00F75E32">
        <w:rPr>
          <w:rFonts w:ascii="Arial" w:hAnsi="Arial" w:cs="Arial"/>
          <w:sz w:val="24"/>
          <w:szCs w:val="24"/>
        </w:rPr>
        <w:t>3303 SW Bond Ave, Portland, OR 97239, USA</w:t>
      </w:r>
    </w:p>
    <w:p w:rsidR="00407F31" w:rsidRPr="00F75E32" w:rsidRDefault="00407F31" w:rsidP="00407F31">
      <w:pPr>
        <w:spacing w:after="0"/>
        <w:contextualSpacing/>
        <w:jc w:val="both"/>
        <w:rPr>
          <w:rFonts w:ascii="Arial" w:hAnsi="Arial" w:cs="Arial"/>
          <w:sz w:val="24"/>
          <w:szCs w:val="24"/>
        </w:rPr>
      </w:pPr>
      <w:r w:rsidRPr="00F75E32">
        <w:rPr>
          <w:rFonts w:ascii="Arial" w:hAnsi="Arial" w:cs="Arial"/>
          <w:sz w:val="24"/>
          <w:szCs w:val="24"/>
        </w:rPr>
        <w:t xml:space="preserve"> </w:t>
      </w:r>
    </w:p>
    <w:p w:rsidR="00407F31" w:rsidRPr="00F75E32" w:rsidRDefault="00407F31" w:rsidP="00407F31">
      <w:pPr>
        <w:spacing w:after="0"/>
        <w:jc w:val="both"/>
        <w:rPr>
          <w:rFonts w:ascii="Arial" w:hAnsi="Arial" w:cs="Arial"/>
          <w:sz w:val="24"/>
          <w:szCs w:val="24"/>
        </w:rPr>
      </w:pPr>
      <w:r w:rsidRPr="00F75E32">
        <w:rPr>
          <w:rFonts w:ascii="Arial" w:hAnsi="Arial" w:cs="Arial"/>
          <w:sz w:val="24"/>
          <w:szCs w:val="24"/>
        </w:rPr>
        <w:t>*Authors with equal contribution</w:t>
      </w:r>
    </w:p>
    <w:p w:rsidR="00407F31" w:rsidRPr="00F75E32" w:rsidRDefault="00407F31" w:rsidP="00407F31">
      <w:pPr>
        <w:jc w:val="both"/>
        <w:rPr>
          <w:rFonts w:ascii="Arial" w:hAnsi="Arial" w:cs="Arial"/>
          <w:sz w:val="24"/>
          <w:szCs w:val="24"/>
        </w:rPr>
      </w:pPr>
      <w:r w:rsidRPr="00F75E32">
        <w:rPr>
          <w:rFonts w:ascii="Arial" w:hAnsi="Arial" w:cs="Arial"/>
          <w:sz w:val="24"/>
          <w:szCs w:val="24"/>
          <w:vertAlign w:val="superscript"/>
        </w:rPr>
        <w:t>#</w:t>
      </w:r>
      <w:proofErr w:type="gramStart"/>
      <w:r w:rsidRPr="00F75E32">
        <w:rPr>
          <w:rFonts w:ascii="Arial" w:hAnsi="Arial" w:cs="Arial"/>
          <w:sz w:val="24"/>
          <w:szCs w:val="24"/>
        </w:rPr>
        <w:t>Corresponding</w:t>
      </w:r>
      <w:proofErr w:type="gramEnd"/>
      <w:r w:rsidRPr="00F75E32">
        <w:rPr>
          <w:rFonts w:ascii="Arial" w:hAnsi="Arial" w:cs="Arial"/>
          <w:sz w:val="24"/>
          <w:szCs w:val="24"/>
        </w:rPr>
        <w:t xml:space="preserve"> authors</w:t>
      </w:r>
    </w:p>
    <w:p w:rsidR="00AA1FA5" w:rsidRDefault="00AA1FA5" w:rsidP="00AA1FA5">
      <w:pPr>
        <w:pStyle w:val="SNSynopsisTOC"/>
        <w:spacing w:after="240"/>
        <w:jc w:val="center"/>
        <w:rPr>
          <w:rFonts w:ascii="Arial" w:hAnsi="Arial" w:cs="Arial"/>
          <w:b/>
          <w:szCs w:val="24"/>
        </w:rPr>
      </w:pPr>
      <w:r>
        <w:rPr>
          <w:rFonts w:ascii="Arial" w:hAnsi="Arial" w:cs="Arial"/>
          <w:b/>
          <w:szCs w:val="24"/>
        </w:rPr>
        <w:t>Supplementary Methods</w:t>
      </w:r>
    </w:p>
    <w:p w:rsidR="00AA1FA5" w:rsidRDefault="00AA1FA5" w:rsidP="00AA1FA5">
      <w:pPr>
        <w:pStyle w:val="SNSynopsisTOC"/>
        <w:spacing w:after="240"/>
        <w:rPr>
          <w:rFonts w:ascii="Arial" w:hAnsi="Arial" w:cs="Arial"/>
          <w:szCs w:val="24"/>
        </w:rPr>
      </w:pPr>
      <w:r w:rsidRPr="00365D2B">
        <w:rPr>
          <w:rFonts w:ascii="Arial" w:hAnsi="Arial" w:cs="Arial"/>
          <w:b/>
          <w:szCs w:val="24"/>
        </w:rPr>
        <w:t>Intracellular ROS assay.</w:t>
      </w:r>
      <w:r w:rsidRPr="00365D2B">
        <w:rPr>
          <w:rFonts w:ascii="Arial" w:hAnsi="Arial" w:cs="Arial"/>
          <w:szCs w:val="24"/>
        </w:rPr>
        <w:t xml:space="preserve"> To measure the impact of nanoparticles on cellular ROS induction, cells were pre-treated with </w:t>
      </w:r>
      <w:proofErr w:type="spellStart"/>
      <w:r w:rsidRPr="00365D2B">
        <w:rPr>
          <w:rFonts w:ascii="Arial" w:hAnsi="Arial" w:cs="Arial"/>
          <w:szCs w:val="24"/>
        </w:rPr>
        <w:t>siSCR</w:t>
      </w:r>
      <w:proofErr w:type="spellEnd"/>
      <w:r w:rsidRPr="00365D2B">
        <w:rPr>
          <w:rFonts w:ascii="Arial" w:hAnsi="Arial" w:cs="Arial"/>
          <w:szCs w:val="24"/>
        </w:rPr>
        <w:t xml:space="preserve">-NP, </w:t>
      </w:r>
      <w:proofErr w:type="spellStart"/>
      <w:r w:rsidRPr="00365D2B">
        <w:rPr>
          <w:rFonts w:ascii="Arial" w:hAnsi="Arial" w:cs="Arial"/>
          <w:szCs w:val="24"/>
        </w:rPr>
        <w:t>siSCR-DharmaFECT</w:t>
      </w:r>
      <w:proofErr w:type="spellEnd"/>
      <w:r>
        <w:rPr>
          <w:rFonts w:ascii="Arial" w:hAnsi="Arial" w:cs="Arial"/>
          <w:szCs w:val="24"/>
        </w:rPr>
        <w:t xml:space="preserve"> (50 </w:t>
      </w:r>
      <w:proofErr w:type="spellStart"/>
      <w:r>
        <w:rPr>
          <w:rFonts w:ascii="Arial" w:hAnsi="Arial" w:cs="Arial"/>
          <w:szCs w:val="24"/>
        </w:rPr>
        <w:t>nM</w:t>
      </w:r>
      <w:proofErr w:type="spellEnd"/>
      <w:r>
        <w:rPr>
          <w:rFonts w:ascii="Arial" w:hAnsi="Arial" w:cs="Arial"/>
          <w:szCs w:val="24"/>
        </w:rPr>
        <w:t xml:space="preserve"> siRNA)</w:t>
      </w:r>
      <w:r w:rsidRPr="00365D2B">
        <w:rPr>
          <w:rFonts w:ascii="Arial" w:hAnsi="Arial" w:cs="Arial"/>
          <w:szCs w:val="24"/>
        </w:rPr>
        <w:t xml:space="preserve">, 5 µM </w:t>
      </w:r>
      <w:proofErr w:type="spellStart"/>
      <w:r w:rsidRPr="00365D2B">
        <w:rPr>
          <w:rFonts w:ascii="Arial" w:hAnsi="Arial" w:cs="Arial"/>
          <w:szCs w:val="24"/>
        </w:rPr>
        <w:t>Diphenyleneiodonium</w:t>
      </w:r>
      <w:proofErr w:type="spellEnd"/>
      <w:r>
        <w:rPr>
          <w:rFonts w:ascii="Arial" w:hAnsi="Arial" w:cs="Arial"/>
          <w:szCs w:val="24"/>
        </w:rPr>
        <w:t xml:space="preserve"> chloride</w:t>
      </w:r>
      <w:r w:rsidRPr="00365D2B">
        <w:rPr>
          <w:rFonts w:ascii="Arial" w:hAnsi="Arial" w:cs="Arial"/>
          <w:szCs w:val="24"/>
        </w:rPr>
        <w:t xml:space="preserve"> (DPI, Sigma Aldrich, St. Louis, MO), or 20 </w:t>
      </w:r>
      <w:proofErr w:type="spellStart"/>
      <w:r w:rsidRPr="00365D2B">
        <w:rPr>
          <w:rFonts w:ascii="Arial" w:hAnsi="Arial" w:cs="Arial"/>
          <w:szCs w:val="24"/>
        </w:rPr>
        <w:t>mM</w:t>
      </w:r>
      <w:proofErr w:type="spellEnd"/>
      <w:r w:rsidRPr="00365D2B">
        <w:rPr>
          <w:rFonts w:ascii="Arial" w:hAnsi="Arial" w:cs="Arial"/>
          <w:szCs w:val="24"/>
        </w:rPr>
        <w:t xml:space="preserve"> of N-acetylcysteine (NAC, Sigma Aldrich) antioxidant for 24 h. After 24 h, 100 µM of </w:t>
      </w:r>
      <w:proofErr w:type="spellStart"/>
      <w:r w:rsidRPr="00365D2B">
        <w:rPr>
          <w:rFonts w:ascii="Arial" w:hAnsi="Arial" w:cs="Arial"/>
          <w:szCs w:val="24"/>
        </w:rPr>
        <w:t>menadione</w:t>
      </w:r>
      <w:proofErr w:type="spellEnd"/>
      <w:r w:rsidRPr="00365D2B">
        <w:rPr>
          <w:rFonts w:ascii="Arial" w:hAnsi="Arial" w:cs="Arial"/>
          <w:szCs w:val="24"/>
        </w:rPr>
        <w:t xml:space="preserve"> was added into each well for 1 h to induce </w:t>
      </w:r>
      <w:proofErr w:type="gramStart"/>
      <w:r w:rsidRPr="00365D2B">
        <w:rPr>
          <w:rFonts w:ascii="Arial" w:hAnsi="Arial" w:cs="Arial"/>
          <w:szCs w:val="24"/>
        </w:rPr>
        <w:t>oxidative</w:t>
      </w:r>
      <w:proofErr w:type="gramEnd"/>
      <w:r w:rsidRPr="00365D2B">
        <w:rPr>
          <w:rFonts w:ascii="Arial" w:hAnsi="Arial" w:cs="Arial"/>
          <w:szCs w:val="24"/>
        </w:rPr>
        <w:t xml:space="preserve"> stress. At the end of the incubation period, cellular ROS was assayed using </w:t>
      </w:r>
      <w:proofErr w:type="spellStart"/>
      <w:r w:rsidRPr="00365D2B">
        <w:rPr>
          <w:rFonts w:ascii="Arial" w:hAnsi="Arial" w:cs="Arial"/>
          <w:szCs w:val="24"/>
        </w:rPr>
        <w:t>CellROX</w:t>
      </w:r>
      <w:proofErr w:type="spellEnd"/>
      <w:r w:rsidRPr="00365D2B">
        <w:rPr>
          <w:rFonts w:ascii="Arial" w:hAnsi="Arial" w:cs="Arial"/>
          <w:szCs w:val="24"/>
        </w:rPr>
        <w:t xml:space="preserve">® </w:t>
      </w:r>
      <w:r>
        <w:rPr>
          <w:rFonts w:ascii="Arial" w:hAnsi="Arial" w:cs="Arial"/>
          <w:szCs w:val="24"/>
        </w:rPr>
        <w:t>deep red</w:t>
      </w:r>
      <w:r w:rsidRPr="00365D2B">
        <w:rPr>
          <w:rFonts w:ascii="Arial" w:hAnsi="Arial" w:cs="Arial"/>
          <w:szCs w:val="24"/>
        </w:rPr>
        <w:t xml:space="preserve"> reagent (</w:t>
      </w:r>
      <w:proofErr w:type="spellStart"/>
      <w:r w:rsidRPr="00365D2B">
        <w:rPr>
          <w:rFonts w:ascii="Arial" w:hAnsi="Arial" w:cs="Arial"/>
          <w:szCs w:val="24"/>
        </w:rPr>
        <w:t>ThermoFisher</w:t>
      </w:r>
      <w:proofErr w:type="spellEnd"/>
      <w:r w:rsidRPr="00365D2B">
        <w:rPr>
          <w:rFonts w:ascii="Arial" w:hAnsi="Arial" w:cs="Arial"/>
          <w:szCs w:val="24"/>
        </w:rPr>
        <w:t xml:space="preserve"> Scientific) following the manufacturer’s protocol</w:t>
      </w:r>
      <w:r w:rsidRPr="0031553E">
        <w:rPr>
          <w:rFonts w:ascii="Arial" w:hAnsi="Arial" w:cs="Arial"/>
          <w:szCs w:val="24"/>
        </w:rPr>
        <w:t xml:space="preserve"> using flow cytometry. </w:t>
      </w:r>
    </w:p>
    <w:p w:rsidR="00AA1FA5" w:rsidRPr="00F75E32" w:rsidRDefault="00AA1FA5" w:rsidP="00AA1FA5">
      <w:pPr>
        <w:pStyle w:val="SNSynopsisTOC"/>
        <w:spacing w:after="240"/>
        <w:rPr>
          <w:rFonts w:ascii="Arial" w:hAnsi="Arial" w:cs="Arial"/>
          <w:szCs w:val="24"/>
        </w:rPr>
      </w:pPr>
      <w:r w:rsidRPr="00F75E32">
        <w:rPr>
          <w:rFonts w:ascii="Arial" w:hAnsi="Arial" w:cs="Arial"/>
          <w:b/>
          <w:szCs w:val="24"/>
        </w:rPr>
        <w:t xml:space="preserve">Cell viability assay. </w:t>
      </w:r>
      <w:r w:rsidRPr="00F75E32">
        <w:rPr>
          <w:rFonts w:ascii="Arial" w:hAnsi="Arial" w:cs="Arial"/>
          <w:szCs w:val="24"/>
        </w:rPr>
        <w:t xml:space="preserve">The viability of treated cells was determined </w:t>
      </w:r>
      <w:r>
        <w:rPr>
          <w:rFonts w:ascii="Arial" w:hAnsi="Arial" w:cs="Arial"/>
          <w:szCs w:val="24"/>
        </w:rPr>
        <w:t>72 h</w:t>
      </w:r>
      <w:r w:rsidRPr="00F75E32">
        <w:rPr>
          <w:rFonts w:ascii="Arial" w:hAnsi="Arial" w:cs="Arial"/>
          <w:szCs w:val="24"/>
        </w:rPr>
        <w:t xml:space="preserve"> post-transfection using </w:t>
      </w:r>
      <w:proofErr w:type="spellStart"/>
      <w:r w:rsidRPr="00F75E32">
        <w:rPr>
          <w:rFonts w:ascii="Arial" w:hAnsi="Arial" w:cs="Arial"/>
          <w:szCs w:val="24"/>
        </w:rPr>
        <w:t>CellTiter-Glo</w:t>
      </w:r>
      <w:proofErr w:type="spellEnd"/>
      <w:r w:rsidRPr="00F75E32">
        <w:rPr>
          <w:rFonts w:ascii="Arial" w:hAnsi="Arial" w:cs="Arial"/>
          <w:szCs w:val="24"/>
        </w:rPr>
        <w:t>® Luminescent Cell Viability Assay (</w:t>
      </w:r>
      <w:proofErr w:type="spellStart"/>
      <w:r w:rsidRPr="00F75E32">
        <w:rPr>
          <w:rFonts w:ascii="Arial" w:hAnsi="Arial" w:cs="Arial"/>
          <w:szCs w:val="24"/>
        </w:rPr>
        <w:t>Promega</w:t>
      </w:r>
      <w:proofErr w:type="spellEnd"/>
      <w:r w:rsidRPr="00F75E32">
        <w:rPr>
          <w:rFonts w:ascii="Arial" w:hAnsi="Arial" w:cs="Arial"/>
          <w:szCs w:val="24"/>
        </w:rPr>
        <w:t xml:space="preserve">, Madison, WI) following the manufacturer’s protocol. The luminescent signal from </w:t>
      </w:r>
      <w:proofErr w:type="spellStart"/>
      <w:r w:rsidRPr="00F75E32">
        <w:rPr>
          <w:rFonts w:ascii="Arial" w:hAnsi="Arial" w:cs="Arial"/>
          <w:szCs w:val="24"/>
        </w:rPr>
        <w:t>CellTiter-Glo</w:t>
      </w:r>
      <w:proofErr w:type="spellEnd"/>
      <w:r w:rsidRPr="00F75E32">
        <w:rPr>
          <w:rFonts w:ascii="Arial" w:hAnsi="Arial" w:cs="Arial"/>
          <w:szCs w:val="24"/>
        </w:rPr>
        <w:t xml:space="preserve">® assay was detected using </w:t>
      </w:r>
      <w:proofErr w:type="spellStart"/>
      <w:r>
        <w:rPr>
          <w:rFonts w:ascii="Arial" w:hAnsi="Arial" w:cs="Arial"/>
          <w:szCs w:val="24"/>
        </w:rPr>
        <w:t>Tecan</w:t>
      </w:r>
      <w:proofErr w:type="spellEnd"/>
      <w:r>
        <w:rPr>
          <w:rFonts w:ascii="Arial" w:hAnsi="Arial" w:cs="Arial"/>
          <w:szCs w:val="24"/>
        </w:rPr>
        <w:t xml:space="preserve"> </w:t>
      </w:r>
      <w:r w:rsidRPr="00F75E32">
        <w:rPr>
          <w:rFonts w:ascii="Arial" w:hAnsi="Arial" w:cs="Arial"/>
          <w:szCs w:val="24"/>
        </w:rPr>
        <w:t>Infinite M200 microplate reader and reported as fold change over the untreated control.</w:t>
      </w:r>
    </w:p>
    <w:p w:rsidR="00AA1FA5" w:rsidRPr="00F75E32" w:rsidRDefault="00AA1FA5" w:rsidP="00AA1FA5">
      <w:pPr>
        <w:pStyle w:val="SNSynopsisTOC"/>
        <w:spacing w:after="240"/>
        <w:rPr>
          <w:rFonts w:ascii="Arial" w:hAnsi="Arial" w:cs="Arial"/>
          <w:szCs w:val="24"/>
        </w:rPr>
      </w:pPr>
      <w:r w:rsidRPr="00F75E32">
        <w:rPr>
          <w:rFonts w:ascii="Arial" w:hAnsi="Arial" w:cs="Arial"/>
          <w:b/>
          <w:szCs w:val="24"/>
        </w:rPr>
        <w:t>Cell-cycle analysis.</w:t>
      </w:r>
      <w:r>
        <w:rPr>
          <w:rFonts w:ascii="Arial" w:hAnsi="Arial" w:cs="Arial"/>
          <w:szCs w:val="24"/>
        </w:rPr>
        <w:t xml:space="preserve"> After 24</w:t>
      </w:r>
      <w:r w:rsidR="006A080D">
        <w:rPr>
          <w:rFonts w:ascii="Arial" w:hAnsi="Arial" w:cs="Arial"/>
          <w:szCs w:val="24"/>
        </w:rPr>
        <w:t>-</w:t>
      </w:r>
      <w:r>
        <w:rPr>
          <w:rFonts w:ascii="Arial" w:hAnsi="Arial" w:cs="Arial"/>
          <w:szCs w:val="24"/>
        </w:rPr>
        <w:t>h</w:t>
      </w:r>
      <w:r w:rsidRPr="00F75E32">
        <w:rPr>
          <w:rFonts w:ascii="Arial" w:hAnsi="Arial" w:cs="Arial"/>
          <w:szCs w:val="24"/>
        </w:rPr>
        <w:t xml:space="preserve"> treatment with </w:t>
      </w:r>
      <w:proofErr w:type="spellStart"/>
      <w:r w:rsidRPr="00F75E32">
        <w:rPr>
          <w:rFonts w:ascii="Arial" w:hAnsi="Arial" w:cs="Arial"/>
          <w:szCs w:val="24"/>
        </w:rPr>
        <w:t>siSCR</w:t>
      </w:r>
      <w:proofErr w:type="spellEnd"/>
      <w:r w:rsidRPr="00F75E32">
        <w:rPr>
          <w:rFonts w:ascii="Arial" w:hAnsi="Arial" w:cs="Arial"/>
          <w:szCs w:val="24"/>
        </w:rPr>
        <w:t xml:space="preserve">-NP, siPLK1-NP, or 10 </w:t>
      </w:r>
      <w:proofErr w:type="spellStart"/>
      <w:r w:rsidRPr="00F75E32">
        <w:rPr>
          <w:rFonts w:ascii="Arial" w:hAnsi="Arial" w:cs="Arial"/>
          <w:szCs w:val="24"/>
        </w:rPr>
        <w:t>nM</w:t>
      </w:r>
      <w:proofErr w:type="spellEnd"/>
      <w:r w:rsidRPr="00F75E32">
        <w:rPr>
          <w:rFonts w:ascii="Arial" w:hAnsi="Arial" w:cs="Arial"/>
          <w:szCs w:val="24"/>
        </w:rPr>
        <w:t xml:space="preserve"> BI2536 (</w:t>
      </w:r>
      <w:proofErr w:type="spellStart"/>
      <w:r w:rsidRPr="00F75E32">
        <w:rPr>
          <w:rFonts w:ascii="Arial" w:hAnsi="Arial" w:cs="Arial"/>
          <w:szCs w:val="24"/>
        </w:rPr>
        <w:t>Selleck</w:t>
      </w:r>
      <w:proofErr w:type="spellEnd"/>
      <w:r w:rsidRPr="00F75E32">
        <w:rPr>
          <w:rFonts w:ascii="Arial" w:hAnsi="Arial" w:cs="Arial"/>
          <w:szCs w:val="24"/>
        </w:rPr>
        <w:t xml:space="preserve"> Chemicals, Houston, TX), cells were washed once with PBS and stained with 10 µg/mL Hoechst 33342 (</w:t>
      </w:r>
      <w:proofErr w:type="spellStart"/>
      <w:r w:rsidRPr="00F75E32">
        <w:rPr>
          <w:rFonts w:ascii="Arial" w:hAnsi="Arial" w:cs="Arial"/>
          <w:szCs w:val="24"/>
        </w:rPr>
        <w:t>ThermoFisher</w:t>
      </w:r>
      <w:proofErr w:type="spellEnd"/>
      <w:r w:rsidRPr="00F75E32">
        <w:rPr>
          <w:rFonts w:ascii="Arial" w:hAnsi="Arial" w:cs="Arial"/>
          <w:szCs w:val="24"/>
        </w:rPr>
        <w:t xml:space="preserve"> Scientific) for 30 min at 37 </w:t>
      </w:r>
      <w:proofErr w:type="spellStart"/>
      <w:r w:rsidRPr="00F75E32">
        <w:rPr>
          <w:rFonts w:ascii="Arial" w:hAnsi="Arial" w:cs="Arial"/>
          <w:szCs w:val="24"/>
          <w:vertAlign w:val="superscript"/>
        </w:rPr>
        <w:t>o</w:t>
      </w:r>
      <w:r w:rsidRPr="00F75E32">
        <w:rPr>
          <w:rFonts w:ascii="Arial" w:hAnsi="Arial" w:cs="Arial"/>
          <w:szCs w:val="24"/>
        </w:rPr>
        <w:t>C.</w:t>
      </w:r>
      <w:proofErr w:type="spellEnd"/>
      <w:r w:rsidRPr="00F75E32">
        <w:rPr>
          <w:rFonts w:ascii="Arial" w:hAnsi="Arial" w:cs="Arial"/>
          <w:szCs w:val="24"/>
        </w:rPr>
        <w:t xml:space="preserve"> The cells were then </w:t>
      </w:r>
      <w:proofErr w:type="spellStart"/>
      <w:r w:rsidRPr="00F75E32">
        <w:rPr>
          <w:rFonts w:ascii="Arial" w:hAnsi="Arial" w:cs="Arial"/>
          <w:szCs w:val="24"/>
        </w:rPr>
        <w:t>trypsinized</w:t>
      </w:r>
      <w:proofErr w:type="spellEnd"/>
      <w:r w:rsidRPr="00F75E32">
        <w:rPr>
          <w:rFonts w:ascii="Arial" w:hAnsi="Arial" w:cs="Arial"/>
          <w:szCs w:val="24"/>
        </w:rPr>
        <w:t xml:space="preserve"> and spun down at 1000 </w:t>
      </w:r>
      <w:r w:rsidRPr="00F75E32">
        <w:rPr>
          <w:rFonts w:ascii="Arial" w:hAnsi="Arial" w:cs="Arial"/>
          <w:szCs w:val="24"/>
        </w:rPr>
        <w:lastRenderedPageBreak/>
        <w:t>rpm for 5 min. Cell pellets were washed twice in PBS and resuspended in 500 µL of FACS buffer (1X PBS (Ca/Mg</w:t>
      </w:r>
      <w:r w:rsidRPr="00F75E32">
        <w:rPr>
          <w:rFonts w:ascii="Arial" w:hAnsi="Arial" w:cs="Arial"/>
          <w:szCs w:val="24"/>
          <w:vertAlign w:val="superscript"/>
        </w:rPr>
        <w:t>2+</w:t>
      </w:r>
      <w:r w:rsidRPr="00F75E32">
        <w:rPr>
          <w:rFonts w:ascii="Arial" w:hAnsi="Arial" w:cs="Arial"/>
          <w:szCs w:val="24"/>
        </w:rPr>
        <w:t xml:space="preserve"> free), 1 </w:t>
      </w:r>
      <w:proofErr w:type="spellStart"/>
      <w:r w:rsidRPr="00F75E32">
        <w:rPr>
          <w:rFonts w:ascii="Arial" w:hAnsi="Arial" w:cs="Arial"/>
          <w:szCs w:val="24"/>
        </w:rPr>
        <w:t>mM</w:t>
      </w:r>
      <w:proofErr w:type="spellEnd"/>
      <w:r w:rsidRPr="00F75E32">
        <w:rPr>
          <w:rFonts w:ascii="Arial" w:hAnsi="Arial" w:cs="Arial"/>
          <w:szCs w:val="24"/>
        </w:rPr>
        <w:t xml:space="preserve"> EDTA, 25 </w:t>
      </w:r>
      <w:proofErr w:type="spellStart"/>
      <w:r w:rsidRPr="00F75E32">
        <w:rPr>
          <w:rFonts w:ascii="Arial" w:hAnsi="Arial" w:cs="Arial"/>
          <w:szCs w:val="24"/>
        </w:rPr>
        <w:t>mM</w:t>
      </w:r>
      <w:proofErr w:type="spellEnd"/>
      <w:r w:rsidRPr="00F75E32">
        <w:rPr>
          <w:rFonts w:ascii="Arial" w:hAnsi="Arial" w:cs="Arial"/>
          <w:szCs w:val="24"/>
        </w:rPr>
        <w:t xml:space="preserve"> HEPES pH 7.0, 1% FBS) and analyzed by flow cytometry (Guava Millipore </w:t>
      </w:r>
      <w:proofErr w:type="spellStart"/>
      <w:r w:rsidRPr="00F75E32">
        <w:rPr>
          <w:rFonts w:ascii="Arial" w:hAnsi="Arial" w:cs="Arial"/>
          <w:szCs w:val="24"/>
        </w:rPr>
        <w:t>Easycyte</w:t>
      </w:r>
      <w:proofErr w:type="spellEnd"/>
      <w:r w:rsidRPr="00F75E32">
        <w:rPr>
          <w:rFonts w:ascii="Arial" w:hAnsi="Arial" w:cs="Arial"/>
          <w:szCs w:val="24"/>
        </w:rPr>
        <w:t>, EMD Millipore, Billerica, MA).</w:t>
      </w:r>
    </w:p>
    <w:p w:rsidR="00AA1FA5" w:rsidRPr="00F75E32" w:rsidRDefault="004F3E0E" w:rsidP="00AA1FA5">
      <w:pPr>
        <w:pStyle w:val="SNSynopsisTOC"/>
        <w:spacing w:after="240"/>
        <w:rPr>
          <w:rFonts w:ascii="Arial" w:hAnsi="Arial" w:cs="Arial"/>
          <w:szCs w:val="24"/>
        </w:rPr>
      </w:pPr>
      <w:r>
        <w:rPr>
          <w:rFonts w:ascii="Arial" w:hAnsi="Arial" w:cs="Arial"/>
          <w:b/>
          <w:szCs w:val="24"/>
        </w:rPr>
        <w:t>In vitro scratch</w:t>
      </w:r>
      <w:r w:rsidR="00F82C08">
        <w:rPr>
          <w:rFonts w:ascii="Arial" w:hAnsi="Arial" w:cs="Arial"/>
          <w:b/>
          <w:szCs w:val="24"/>
        </w:rPr>
        <w:t xml:space="preserve"> </w:t>
      </w:r>
      <w:r w:rsidR="00AA1FA5" w:rsidRPr="00F75E32">
        <w:rPr>
          <w:rFonts w:ascii="Arial" w:hAnsi="Arial" w:cs="Arial"/>
          <w:b/>
          <w:szCs w:val="24"/>
        </w:rPr>
        <w:t xml:space="preserve">assay. </w:t>
      </w:r>
      <w:r w:rsidR="004B76B5" w:rsidRPr="004B76B5">
        <w:rPr>
          <w:rFonts w:ascii="Arial" w:hAnsi="Arial" w:cs="Arial"/>
          <w:szCs w:val="24"/>
        </w:rPr>
        <w:t>The in vitro scratch</w:t>
      </w:r>
      <w:r w:rsidR="004B76B5">
        <w:rPr>
          <w:rFonts w:ascii="Arial" w:hAnsi="Arial" w:cs="Arial"/>
          <w:b/>
          <w:szCs w:val="24"/>
        </w:rPr>
        <w:t xml:space="preserve"> </w:t>
      </w:r>
      <w:r w:rsidR="00AA1FA5" w:rsidRPr="007E1F28">
        <w:rPr>
          <w:rFonts w:ascii="Arial" w:hAnsi="Arial" w:cs="Arial"/>
          <w:szCs w:val="24"/>
        </w:rPr>
        <w:t xml:space="preserve">assay protocol was modified from Liang </w:t>
      </w:r>
      <w:r w:rsidR="00AA1FA5" w:rsidRPr="007E1F28">
        <w:rPr>
          <w:rFonts w:ascii="Arial" w:hAnsi="Arial" w:cs="Arial"/>
          <w:i/>
          <w:szCs w:val="24"/>
        </w:rPr>
        <w:t>et al.</w:t>
      </w:r>
      <w:r w:rsidR="00AA1FA5" w:rsidRPr="007E1F28">
        <w:rPr>
          <w:rFonts w:ascii="Arial" w:hAnsi="Arial" w:cs="Arial"/>
          <w:szCs w:val="24"/>
        </w:rPr>
        <w:t xml:space="preserve"> </w:t>
      </w:r>
      <w:r w:rsidR="00AA1FA5" w:rsidRPr="007E1F28">
        <w:rPr>
          <w:rFonts w:ascii="Arial" w:hAnsi="Arial" w:cs="Arial"/>
          <w:szCs w:val="24"/>
        </w:rPr>
        <w:fldChar w:fldCharType="begin"/>
      </w:r>
      <w:r w:rsidR="002C5F38">
        <w:rPr>
          <w:rFonts w:ascii="Arial" w:hAnsi="Arial" w:cs="Arial"/>
          <w:szCs w:val="24"/>
        </w:rPr>
        <w:instrText xml:space="preserve"> ADDIN EN.CITE &lt;EndNote&gt;&lt;Cite&gt;&lt;Author&gt;Liang&lt;/Author&gt;&lt;Year&gt;2007&lt;/Year&gt;&lt;RecNum&gt;42&lt;/RecNum&gt;&lt;DisplayText&gt;(1)&lt;/DisplayText&gt;&lt;record&gt;&lt;rec-number&gt;42&lt;/rec-number&gt;&lt;foreign-keys&gt;&lt;key app="EN" db-id="de2ed5dtra99trefwfop9w9y0pspazxs0ff5" timestamp="1463154927"&gt;42&lt;/key&gt;&lt;/foreign-keys&gt;&lt;ref-type name="Journal Article"&gt;17&lt;/ref-type&gt;&lt;contributors&gt;&lt;authors&gt;&lt;author&gt;Liang, C. C.&lt;/author&gt;&lt;author&gt;Park, A. Y.&lt;/author&gt;&lt;author&gt;Guan, J. L.&lt;/author&gt;&lt;/authors&gt;&lt;/contributors&gt;&lt;auth-address&gt;Division of Molecular Medicine and Genetics and Cell and Developmental Biology, Department of Internal Medicine, University of Michigan Medical School, Ann Arbor, Michigan 48109, USA.&lt;/auth-address&gt;&lt;titles&gt;&lt;title&gt;In vitro scratch assay: a convenient and inexpensive method for analysis of cell migration in vitro&lt;/title&gt;&lt;secondary-title&gt;Nat Protoc&lt;/secondary-title&gt;&lt;/titles&gt;&lt;periodical&gt;&lt;full-title&gt;Nat Protoc&lt;/full-title&gt;&lt;/periodical&gt;&lt;pages&gt;329-33&lt;/pages&gt;&lt;volume&gt;2&lt;/volume&gt;&lt;number&gt;2&lt;/number&gt;&lt;edition&gt;2007/04/05&lt;/edition&gt;&lt;keywords&gt;&lt;keyword&gt;Cell Movement&lt;/keyword&gt;&lt;keyword&gt;Cytological Techniques/ methods&lt;/keyword&gt;&lt;keyword&gt;Image Interpretation, Computer-Assisted/methods&lt;/keyword&gt;&lt;keyword&gt;In Vitro Techniques&lt;/keyword&gt;&lt;keyword&gt;Microscopy, Fluorescence/methods&lt;/keyword&gt;&lt;keyword&gt;Microscopy, Phase-Contrast/methods&lt;/keyword&gt;&lt;keyword&gt;Staining and Labeling&lt;/keyword&gt;&lt;/keywords&gt;&lt;dates&gt;&lt;year&gt;2007&lt;/year&gt;&lt;/dates&gt;&lt;isbn&gt;1750-2799 (Electronic)&amp;#xD;1750-2799 (Linking)&lt;/isbn&gt;&lt;accession-num&gt;17406593&lt;/accession-num&gt;&lt;urls&gt;&lt;/urls&gt;&lt;electronic-resource-num&gt;10.1038/nprot.2007.30&lt;/electronic-resource-num&gt;&lt;remote-database-provider&gt;NLM&lt;/remote-database-provider&gt;&lt;language&gt;eng&lt;/language&gt;&lt;/record&gt;&lt;/Cite&gt;&lt;/EndNote&gt;</w:instrText>
      </w:r>
      <w:r w:rsidR="00AA1FA5" w:rsidRPr="007E1F28">
        <w:rPr>
          <w:rFonts w:ascii="Arial" w:hAnsi="Arial" w:cs="Arial"/>
          <w:szCs w:val="24"/>
        </w:rPr>
        <w:fldChar w:fldCharType="separate"/>
      </w:r>
      <w:r w:rsidR="002C5F38">
        <w:rPr>
          <w:rFonts w:ascii="Arial" w:hAnsi="Arial" w:cs="Arial"/>
          <w:noProof/>
          <w:szCs w:val="24"/>
        </w:rPr>
        <w:t>(1)</w:t>
      </w:r>
      <w:r w:rsidR="00AA1FA5" w:rsidRPr="007E1F28">
        <w:rPr>
          <w:rFonts w:ascii="Arial" w:hAnsi="Arial" w:cs="Arial"/>
          <w:szCs w:val="24"/>
        </w:rPr>
        <w:fldChar w:fldCharType="end"/>
      </w:r>
      <w:r w:rsidR="00AA1FA5" w:rsidRPr="007E1F28">
        <w:rPr>
          <w:rFonts w:ascii="Arial" w:hAnsi="Arial" w:cs="Arial"/>
          <w:szCs w:val="24"/>
        </w:rPr>
        <w:t xml:space="preserve">. Briefly, 70-80% confluent LM2-4luc+/H2N cells in 12-well plate were treated with </w:t>
      </w:r>
      <w:proofErr w:type="spellStart"/>
      <w:r w:rsidR="00AA1FA5" w:rsidRPr="007E1F28">
        <w:rPr>
          <w:rFonts w:ascii="Arial" w:hAnsi="Arial" w:cs="Arial"/>
          <w:szCs w:val="24"/>
        </w:rPr>
        <w:t>siSCR</w:t>
      </w:r>
      <w:proofErr w:type="spellEnd"/>
      <w:r w:rsidR="00AA1FA5" w:rsidRPr="007E1F28">
        <w:rPr>
          <w:rFonts w:ascii="Arial" w:hAnsi="Arial" w:cs="Arial"/>
          <w:szCs w:val="24"/>
        </w:rPr>
        <w:t xml:space="preserve">-NP, siPLK1-NP, </w:t>
      </w:r>
      <w:proofErr w:type="spellStart"/>
      <w:r w:rsidR="00AA1FA5" w:rsidRPr="007E1F28">
        <w:rPr>
          <w:rFonts w:ascii="Arial" w:hAnsi="Arial" w:cs="Arial"/>
          <w:szCs w:val="24"/>
        </w:rPr>
        <w:t>siSCR-DharmaFECT</w:t>
      </w:r>
      <w:proofErr w:type="spellEnd"/>
      <w:r w:rsidR="00AA1FA5" w:rsidRPr="007E1F28">
        <w:rPr>
          <w:rFonts w:ascii="Arial" w:hAnsi="Arial" w:cs="Arial"/>
          <w:szCs w:val="24"/>
        </w:rPr>
        <w:t>, or siPLK1-DharmaFECT (all with 50 nm as siRNA dose). After 24 h treatment, a wound was created by scratching each well (~100% confluency)  with a 200 µL pipette tip, washed three times with warm PBS, and replaced with serum-free medium. Each well was imaged at time</w:t>
      </w:r>
      <w:r w:rsidR="00AA1FA5">
        <w:rPr>
          <w:rFonts w:ascii="Arial" w:hAnsi="Arial" w:cs="Arial"/>
          <w:szCs w:val="24"/>
        </w:rPr>
        <w:t xml:space="preserve"> 0 and 24 h</w:t>
      </w:r>
      <w:r w:rsidR="00AA1FA5" w:rsidRPr="00F75E32">
        <w:rPr>
          <w:rFonts w:ascii="Arial" w:hAnsi="Arial" w:cs="Arial"/>
          <w:szCs w:val="24"/>
        </w:rPr>
        <w:t xml:space="preserve"> after scratching with EVOS FL microscope (</w:t>
      </w:r>
      <w:proofErr w:type="spellStart"/>
      <w:r w:rsidR="00AA1FA5" w:rsidRPr="00F75E32">
        <w:rPr>
          <w:rFonts w:ascii="Arial" w:hAnsi="Arial" w:cs="Arial"/>
          <w:szCs w:val="24"/>
        </w:rPr>
        <w:t>ThermoFisher</w:t>
      </w:r>
      <w:proofErr w:type="spellEnd"/>
      <w:r w:rsidR="00AA1FA5" w:rsidRPr="00F75E32">
        <w:rPr>
          <w:rFonts w:ascii="Arial" w:hAnsi="Arial" w:cs="Arial"/>
          <w:szCs w:val="24"/>
        </w:rPr>
        <w:t xml:space="preserve"> Scientific). The migration of cells into the cell-free gap was quantified using ImageJ (NIH, Bethesda, MA) wound healing tool macros.</w:t>
      </w:r>
    </w:p>
    <w:p w:rsidR="00AA1FA5" w:rsidRPr="00F75E32" w:rsidRDefault="00AA1FA5" w:rsidP="00AA1FA5">
      <w:pPr>
        <w:pStyle w:val="SNSynopsisTOC"/>
        <w:spacing w:after="240"/>
        <w:rPr>
          <w:rFonts w:ascii="Arial" w:hAnsi="Arial" w:cs="Arial"/>
          <w:szCs w:val="24"/>
        </w:rPr>
      </w:pPr>
      <w:r w:rsidRPr="00F75E32">
        <w:rPr>
          <w:rFonts w:ascii="Arial" w:hAnsi="Arial" w:cs="Arial"/>
          <w:b/>
          <w:szCs w:val="24"/>
        </w:rPr>
        <w:t xml:space="preserve">Gelatin degradation assay. </w:t>
      </w:r>
      <w:r w:rsidRPr="00F75E32">
        <w:rPr>
          <w:rFonts w:ascii="Arial" w:hAnsi="Arial" w:cs="Arial"/>
          <w:szCs w:val="24"/>
        </w:rPr>
        <w:t>This assay was performed following the established protocol</w:t>
      </w:r>
      <w:r w:rsidR="002C5F38">
        <w:rPr>
          <w:rFonts w:ascii="Arial" w:hAnsi="Arial" w:cs="Arial"/>
          <w:szCs w:val="24"/>
        </w:rPr>
        <w:t xml:space="preserve"> </w:t>
      </w:r>
      <w:r w:rsidR="002C5F38">
        <w:rPr>
          <w:rFonts w:ascii="Arial" w:hAnsi="Arial" w:cs="Arial"/>
          <w:szCs w:val="24"/>
        </w:rPr>
        <w:fldChar w:fldCharType="begin"/>
      </w:r>
      <w:r w:rsidR="002C5F38">
        <w:rPr>
          <w:rFonts w:ascii="Arial" w:hAnsi="Arial" w:cs="Arial"/>
          <w:szCs w:val="24"/>
        </w:rPr>
        <w:instrText xml:space="preserve"> ADDIN EN.CITE &lt;EndNote&gt;&lt;Cite&gt;&lt;Author&gt;Bowden&lt;/Author&gt;&lt;Year&gt;2001&lt;/Year&gt;&lt;RecNum&gt;511&lt;/RecNum&gt;&lt;DisplayText&gt;(2)&lt;/DisplayText&gt;&lt;record&gt;&lt;rec-number&gt;511&lt;/rec-number&gt;&lt;foreign-keys&gt;&lt;key app="EN" db-id="9efav9rwnz2reles90spasp4e9sttat0vtzz" timestamp="1480717785"&gt;511&lt;/key&gt;&lt;/foreign-keys&gt;&lt;ref-type name="Journal Article"&gt;17&lt;/ref-type&gt;&lt;contributors&gt;&lt;authors&gt;&lt;author&gt;Bowden, E. T.&lt;/author&gt;&lt;author&gt;Coopman, P. J.&lt;/author&gt;&lt;author&gt;Mueller, S. C.&lt;/author&gt;&lt;/authors&gt;&lt;/contributors&gt;&lt;auth-address&gt;Lombardi Cancer Center, Georgetown University Medical Center, Washington, DC 20007, USA.&lt;/auth-address&gt;&lt;titles&gt;&lt;title&gt;Invadopodia: unique methods for measurement of extracellular matrix degradation in vitro&lt;/title&gt;&lt;secondary-title&gt;Methods Cell Biol&lt;/secondary-title&gt;&lt;alt-title&gt;Methods in cell biology&lt;/alt-title&gt;&lt;/titles&gt;&lt;periodical&gt;&lt;full-title&gt;Methods Cell Biol&lt;/full-title&gt;&lt;abbr-1&gt;Methods in cell biology&lt;/abbr-1&gt;&lt;/periodical&gt;&lt;alt-periodical&gt;&lt;full-title&gt;Methods Cell Biol&lt;/full-title&gt;&lt;abbr-1&gt;Methods in cell biology&lt;/abbr-1&gt;&lt;/alt-periodical&gt;&lt;pages&gt;613-27&lt;/pages&gt;&lt;volume&gt;63&lt;/volume&gt;&lt;edition&gt;2000/11/04&lt;/edition&gt;&lt;keywords&gt;&lt;keyword&gt;Breast Neoplasms/metabolism&lt;/keyword&gt;&lt;keyword&gt;Cell Movement/*physiology&lt;/keyword&gt;&lt;keyword&gt;Cell Separation/*methods&lt;/keyword&gt;&lt;keyword&gt;Cell Surface Extensions/*metabolism&lt;/keyword&gt;&lt;keyword&gt;Extracellular Matrix/*metabolism&lt;/keyword&gt;&lt;keyword&gt;Female&lt;/keyword&gt;&lt;keyword&gt;Flow Cytometry/*methods&lt;/keyword&gt;&lt;keyword&gt;Fluorescein-5-isothiocyanate/metabolism&lt;/keyword&gt;&lt;keyword&gt;Fluorescent Dyes/metabolism&lt;/keyword&gt;&lt;keyword&gt;Gelatin/metabolism&lt;/keyword&gt;&lt;keyword&gt;Humans&lt;/keyword&gt;&lt;keyword&gt;*Neoplasm Invasiveness&lt;/keyword&gt;&lt;keyword&gt;Phagocytosis&lt;/keyword&gt;&lt;keyword&gt;Tumor Cells, Cultured&lt;/keyword&gt;&lt;/keywords&gt;&lt;dates&gt;&lt;year&gt;2001&lt;/year&gt;&lt;/dates&gt;&lt;isbn&gt;0091-679X (Print)&amp;#xD;0091-679x&lt;/isbn&gt;&lt;accession-num&gt;11060862&lt;/accession-num&gt;&lt;urls&gt;&lt;/urls&gt;&lt;remote-database-provider&gt;NLM&lt;/remote-database-provider&gt;&lt;language&gt;Eng&lt;/language&gt;&lt;/record&gt;&lt;/Cite&gt;&lt;/EndNote&gt;</w:instrText>
      </w:r>
      <w:r w:rsidR="002C5F38">
        <w:rPr>
          <w:rFonts w:ascii="Arial" w:hAnsi="Arial" w:cs="Arial"/>
          <w:szCs w:val="24"/>
        </w:rPr>
        <w:fldChar w:fldCharType="separate"/>
      </w:r>
      <w:r w:rsidR="002C5F38">
        <w:rPr>
          <w:rFonts w:ascii="Arial" w:hAnsi="Arial" w:cs="Arial"/>
          <w:noProof/>
          <w:szCs w:val="24"/>
        </w:rPr>
        <w:t>(2)</w:t>
      </w:r>
      <w:r w:rsidR="002C5F38">
        <w:rPr>
          <w:rFonts w:ascii="Arial" w:hAnsi="Arial" w:cs="Arial"/>
          <w:szCs w:val="24"/>
        </w:rPr>
        <w:fldChar w:fldCharType="end"/>
      </w:r>
      <w:r w:rsidR="002C5F38">
        <w:rPr>
          <w:rFonts w:ascii="Arial" w:hAnsi="Arial" w:cs="Arial"/>
          <w:szCs w:val="24"/>
        </w:rPr>
        <w:t xml:space="preserve"> </w:t>
      </w:r>
      <w:r w:rsidRPr="00F75E32">
        <w:rPr>
          <w:rFonts w:ascii="Arial" w:hAnsi="Arial" w:cs="Arial"/>
          <w:szCs w:val="24"/>
        </w:rPr>
        <w:t>with slight modification. Briefly, Oregon-green 488 conjugate gelatin (</w:t>
      </w:r>
      <w:proofErr w:type="spellStart"/>
      <w:r w:rsidRPr="00F75E32">
        <w:rPr>
          <w:rFonts w:ascii="Arial" w:hAnsi="Arial" w:cs="Arial"/>
          <w:szCs w:val="24"/>
        </w:rPr>
        <w:t>ThermoFisher</w:t>
      </w:r>
      <w:proofErr w:type="spellEnd"/>
      <w:r w:rsidRPr="00F75E32">
        <w:rPr>
          <w:rFonts w:ascii="Arial" w:hAnsi="Arial" w:cs="Arial"/>
          <w:szCs w:val="24"/>
        </w:rPr>
        <w:t xml:space="preserve"> Scientific) was evenly coated (in 2% sucrose PBS) on the 12 mm glass coverslips for 30 min in the dark, fixed with 0.5% glutaraldehyde on ice for 15 min and quenched with 5 mg/mL sodium borohydride (Sigma Aldrich) for 3 min. Coverslips were then incubated in complete media overnight before use.</w:t>
      </w:r>
    </w:p>
    <w:p w:rsidR="00AA1FA5" w:rsidRPr="00F75E32" w:rsidRDefault="00AA1FA5" w:rsidP="00AA1FA5">
      <w:pPr>
        <w:pStyle w:val="SNSynopsisTOC"/>
        <w:spacing w:after="240"/>
        <w:rPr>
          <w:rFonts w:ascii="Arial" w:hAnsi="Arial" w:cs="Arial"/>
          <w:szCs w:val="24"/>
        </w:rPr>
      </w:pPr>
      <w:r w:rsidRPr="00F75E32">
        <w:rPr>
          <w:rFonts w:ascii="Arial" w:hAnsi="Arial" w:cs="Arial"/>
          <w:szCs w:val="24"/>
        </w:rPr>
        <w:t xml:space="preserve">LM2-4luc+/H2N, pre-treated with </w:t>
      </w:r>
      <w:proofErr w:type="spellStart"/>
      <w:r w:rsidRPr="00F75E32">
        <w:rPr>
          <w:rFonts w:ascii="Arial" w:hAnsi="Arial" w:cs="Arial"/>
          <w:szCs w:val="24"/>
        </w:rPr>
        <w:t>siSCR</w:t>
      </w:r>
      <w:proofErr w:type="spellEnd"/>
      <w:r w:rsidRPr="00F75E32">
        <w:rPr>
          <w:rFonts w:ascii="Arial" w:hAnsi="Arial" w:cs="Arial"/>
          <w:szCs w:val="24"/>
        </w:rPr>
        <w:t>-NP or 5 µM DPI, were seeded on the gel</w:t>
      </w:r>
      <w:r>
        <w:rPr>
          <w:rFonts w:ascii="Arial" w:hAnsi="Arial" w:cs="Arial"/>
          <w:szCs w:val="24"/>
        </w:rPr>
        <w:t>atin-coated coverslips for 24 h</w:t>
      </w:r>
      <w:r w:rsidRPr="00F75E32">
        <w:rPr>
          <w:rFonts w:ascii="Arial" w:hAnsi="Arial" w:cs="Arial"/>
          <w:szCs w:val="24"/>
        </w:rPr>
        <w:t xml:space="preserve"> at 50,000 cells/well density before fixation and immunostaining. Cells were fixed with 4% PFA, </w:t>
      </w:r>
      <w:proofErr w:type="spellStart"/>
      <w:r w:rsidRPr="00F75E32">
        <w:rPr>
          <w:rFonts w:ascii="Arial" w:hAnsi="Arial" w:cs="Arial"/>
          <w:szCs w:val="24"/>
        </w:rPr>
        <w:t>permeabilized</w:t>
      </w:r>
      <w:proofErr w:type="spellEnd"/>
      <w:r w:rsidRPr="00F75E32">
        <w:rPr>
          <w:rFonts w:ascii="Arial" w:hAnsi="Arial" w:cs="Arial"/>
          <w:szCs w:val="24"/>
        </w:rPr>
        <w:t xml:space="preserve"> with 0.1% Triton-X for 30 min, and stained with Alexa-Fluor 568 </w:t>
      </w:r>
      <w:proofErr w:type="spellStart"/>
      <w:r w:rsidRPr="00F75E32">
        <w:rPr>
          <w:rFonts w:ascii="Arial" w:hAnsi="Arial" w:cs="Arial"/>
          <w:szCs w:val="24"/>
        </w:rPr>
        <w:t>Phalloidin</w:t>
      </w:r>
      <w:proofErr w:type="spellEnd"/>
      <w:r w:rsidRPr="00F75E32">
        <w:rPr>
          <w:rFonts w:ascii="Arial" w:hAnsi="Arial" w:cs="Arial"/>
          <w:szCs w:val="24"/>
        </w:rPr>
        <w:t xml:space="preserve"> (</w:t>
      </w:r>
      <w:proofErr w:type="spellStart"/>
      <w:r w:rsidRPr="00F75E32">
        <w:rPr>
          <w:rFonts w:ascii="Arial" w:hAnsi="Arial" w:cs="Arial"/>
          <w:szCs w:val="24"/>
        </w:rPr>
        <w:t>Thermo</w:t>
      </w:r>
      <w:proofErr w:type="spellEnd"/>
      <w:r w:rsidRPr="00F75E32">
        <w:rPr>
          <w:rFonts w:ascii="Arial" w:hAnsi="Arial" w:cs="Arial"/>
          <w:szCs w:val="24"/>
        </w:rPr>
        <w:t xml:space="preserve"> Fisher Scientific). Quantification of gelatin degradation activity was performed at 20X magnification with at least 8 randomly chosen fields</w:t>
      </w:r>
      <w:r>
        <w:rPr>
          <w:rFonts w:ascii="Arial" w:hAnsi="Arial" w:cs="Arial"/>
          <w:szCs w:val="24"/>
        </w:rPr>
        <w:t xml:space="preserve"> per well</w:t>
      </w:r>
      <w:r w:rsidRPr="00F75E32">
        <w:rPr>
          <w:rFonts w:ascii="Arial" w:hAnsi="Arial" w:cs="Arial"/>
          <w:szCs w:val="24"/>
        </w:rPr>
        <w:t xml:space="preserve">, representing a minimum of 300 total cells scored per experimental point. The analysis of degradation area was performed with ImageJ software and calculated as the degraded area per field normalized to the number of cells in each field. </w:t>
      </w:r>
      <w:r w:rsidRPr="00F75E32">
        <w:rPr>
          <w:rFonts w:ascii="Arial" w:hAnsi="Arial" w:cs="Arial"/>
          <w:szCs w:val="24"/>
        </w:rPr>
        <w:lastRenderedPageBreak/>
        <w:t xml:space="preserve">Representative images were taken at 63X magnification with Zeiss Axioplan2 microscope equipped with Zeiss </w:t>
      </w:r>
      <w:proofErr w:type="spellStart"/>
      <w:r w:rsidRPr="00F75E32">
        <w:rPr>
          <w:rFonts w:ascii="Arial" w:hAnsi="Arial" w:cs="Arial"/>
          <w:szCs w:val="24"/>
        </w:rPr>
        <w:t>Axiocam</w:t>
      </w:r>
      <w:proofErr w:type="spellEnd"/>
      <w:r w:rsidRPr="00F75E32">
        <w:rPr>
          <w:rFonts w:ascii="Arial" w:hAnsi="Arial" w:cs="Arial"/>
          <w:szCs w:val="24"/>
        </w:rPr>
        <w:t xml:space="preserve"> </w:t>
      </w:r>
      <w:proofErr w:type="spellStart"/>
      <w:r w:rsidRPr="00F75E32">
        <w:rPr>
          <w:rFonts w:ascii="Arial" w:hAnsi="Arial" w:cs="Arial"/>
          <w:szCs w:val="24"/>
        </w:rPr>
        <w:t>HRm</w:t>
      </w:r>
      <w:proofErr w:type="spellEnd"/>
      <w:r w:rsidRPr="00F75E32">
        <w:rPr>
          <w:rFonts w:ascii="Arial" w:hAnsi="Arial" w:cs="Arial"/>
          <w:szCs w:val="24"/>
        </w:rPr>
        <w:t xml:space="preserve"> CCD camera using Zen software.</w:t>
      </w:r>
    </w:p>
    <w:p w:rsidR="00AA1FA5" w:rsidRPr="00F75E32" w:rsidRDefault="00AA1FA5" w:rsidP="00AA1FA5">
      <w:pPr>
        <w:pStyle w:val="SNSynopsisTOC"/>
        <w:spacing w:after="240"/>
        <w:rPr>
          <w:rFonts w:ascii="Arial" w:hAnsi="Arial" w:cs="Arial"/>
          <w:szCs w:val="24"/>
        </w:rPr>
      </w:pPr>
      <w:proofErr w:type="spellStart"/>
      <w:r w:rsidRPr="00F75E32">
        <w:rPr>
          <w:rFonts w:ascii="Arial" w:hAnsi="Arial" w:cs="Arial"/>
          <w:b/>
          <w:szCs w:val="24"/>
        </w:rPr>
        <w:t>Matrigel</w:t>
      </w:r>
      <w:proofErr w:type="spellEnd"/>
      <w:r w:rsidRPr="00F75E32">
        <w:rPr>
          <w:rFonts w:ascii="Arial" w:hAnsi="Arial" w:cs="Arial"/>
          <w:b/>
          <w:szCs w:val="24"/>
        </w:rPr>
        <w:t xml:space="preserve"> invasion assay. </w:t>
      </w:r>
      <w:r w:rsidRPr="00F75E32">
        <w:rPr>
          <w:rFonts w:ascii="Arial" w:hAnsi="Arial" w:cs="Arial"/>
          <w:szCs w:val="24"/>
        </w:rPr>
        <w:t>LM2-4luc+/H2N cells (1 x 10</w:t>
      </w:r>
      <w:r w:rsidRPr="00F75E32">
        <w:rPr>
          <w:rFonts w:ascii="Arial" w:hAnsi="Arial" w:cs="Arial"/>
          <w:szCs w:val="24"/>
          <w:vertAlign w:val="superscript"/>
        </w:rPr>
        <w:t>6</w:t>
      </w:r>
      <w:r>
        <w:rPr>
          <w:rFonts w:ascii="Arial" w:hAnsi="Arial" w:cs="Arial"/>
          <w:szCs w:val="24"/>
        </w:rPr>
        <w:t xml:space="preserve"> cells/dish</w:t>
      </w:r>
      <w:r w:rsidRPr="00F75E32">
        <w:rPr>
          <w:rFonts w:ascii="Arial" w:hAnsi="Arial" w:cs="Arial"/>
          <w:szCs w:val="24"/>
        </w:rPr>
        <w:t xml:space="preserve">) were seeded on a 10-mm petri dish and transfected with </w:t>
      </w:r>
      <w:proofErr w:type="spellStart"/>
      <w:r w:rsidRPr="00F75E32">
        <w:rPr>
          <w:rFonts w:ascii="Arial" w:hAnsi="Arial" w:cs="Arial"/>
          <w:szCs w:val="24"/>
        </w:rPr>
        <w:t>siSCR</w:t>
      </w:r>
      <w:proofErr w:type="spellEnd"/>
      <w:r w:rsidRPr="00F75E32">
        <w:rPr>
          <w:rFonts w:ascii="Arial" w:hAnsi="Arial" w:cs="Arial"/>
          <w:szCs w:val="24"/>
        </w:rPr>
        <w:t xml:space="preserve">-NP overnight. Cells were then </w:t>
      </w:r>
      <w:proofErr w:type="spellStart"/>
      <w:r w:rsidRPr="00F75E32">
        <w:rPr>
          <w:rFonts w:ascii="Arial" w:hAnsi="Arial" w:cs="Arial"/>
          <w:szCs w:val="24"/>
        </w:rPr>
        <w:t>trypsinized</w:t>
      </w:r>
      <w:proofErr w:type="spellEnd"/>
      <w:r w:rsidRPr="00F75E32">
        <w:rPr>
          <w:rFonts w:ascii="Arial" w:hAnsi="Arial" w:cs="Arial"/>
          <w:szCs w:val="24"/>
        </w:rPr>
        <w:t xml:space="preserve"> and counted before being seeded onto the </w:t>
      </w:r>
      <w:proofErr w:type="spellStart"/>
      <w:r w:rsidRPr="00F75E32">
        <w:rPr>
          <w:rFonts w:ascii="Arial" w:hAnsi="Arial" w:cs="Arial"/>
          <w:szCs w:val="24"/>
        </w:rPr>
        <w:t>matrigel</w:t>
      </w:r>
      <w:proofErr w:type="spellEnd"/>
      <w:r w:rsidRPr="00F75E32">
        <w:rPr>
          <w:rFonts w:ascii="Arial" w:hAnsi="Arial" w:cs="Arial"/>
          <w:szCs w:val="24"/>
        </w:rPr>
        <w:t xml:space="preserve">-coated invasion chambers in serum-free medium (125,000 cells/insert). DPI (5 µM) or NAC (2 – 30 </w:t>
      </w:r>
      <w:proofErr w:type="spellStart"/>
      <w:r w:rsidRPr="00F75E32">
        <w:rPr>
          <w:rFonts w:ascii="Arial" w:hAnsi="Arial" w:cs="Arial"/>
          <w:szCs w:val="24"/>
        </w:rPr>
        <w:t>mM</w:t>
      </w:r>
      <w:proofErr w:type="spellEnd"/>
      <w:r w:rsidRPr="00F75E32">
        <w:rPr>
          <w:rFonts w:ascii="Arial" w:hAnsi="Arial" w:cs="Arial"/>
          <w:szCs w:val="24"/>
        </w:rPr>
        <w:t>) was added to the cells at the same time of cell plating on the u</w:t>
      </w:r>
      <w:r>
        <w:rPr>
          <w:rFonts w:ascii="Arial" w:hAnsi="Arial" w:cs="Arial"/>
          <w:szCs w:val="24"/>
        </w:rPr>
        <w:t>pper chamber insert. After 48 h</w:t>
      </w:r>
      <w:r w:rsidRPr="00F75E32">
        <w:rPr>
          <w:rFonts w:ascii="Arial" w:hAnsi="Arial" w:cs="Arial"/>
          <w:szCs w:val="24"/>
        </w:rPr>
        <w:t xml:space="preserve">, the number of invaded cells were quantified according to the manufacturer’s instructions of </w:t>
      </w:r>
      <w:proofErr w:type="spellStart"/>
      <w:r w:rsidRPr="00F75E32">
        <w:rPr>
          <w:rFonts w:ascii="Arial" w:hAnsi="Arial" w:cs="Arial"/>
          <w:szCs w:val="24"/>
        </w:rPr>
        <w:t>Chemicon</w:t>
      </w:r>
      <w:proofErr w:type="spellEnd"/>
      <w:r w:rsidRPr="00F75E32">
        <w:rPr>
          <w:rFonts w:ascii="Arial" w:hAnsi="Arial" w:cs="Arial"/>
          <w:szCs w:val="24"/>
        </w:rPr>
        <w:t xml:space="preserve">® QCM™ 24-well </w:t>
      </w:r>
      <w:proofErr w:type="spellStart"/>
      <w:r w:rsidRPr="00F75E32">
        <w:rPr>
          <w:rFonts w:ascii="Arial" w:hAnsi="Arial" w:cs="Arial"/>
          <w:szCs w:val="24"/>
        </w:rPr>
        <w:t>Fluorimetric</w:t>
      </w:r>
      <w:proofErr w:type="spellEnd"/>
      <w:r w:rsidRPr="00F75E32">
        <w:rPr>
          <w:rFonts w:ascii="Arial" w:hAnsi="Arial" w:cs="Arial"/>
          <w:szCs w:val="24"/>
        </w:rPr>
        <w:t xml:space="preserve"> Invasion assay kit (ECM554, </w:t>
      </w:r>
      <w:proofErr w:type="spellStart"/>
      <w:r w:rsidRPr="00F75E32">
        <w:rPr>
          <w:rFonts w:ascii="Arial" w:hAnsi="Arial" w:cs="Arial"/>
          <w:szCs w:val="24"/>
        </w:rPr>
        <w:t>Chemicon</w:t>
      </w:r>
      <w:proofErr w:type="spellEnd"/>
      <w:r w:rsidRPr="00F75E32">
        <w:rPr>
          <w:rFonts w:ascii="Arial" w:hAnsi="Arial" w:cs="Arial"/>
          <w:szCs w:val="24"/>
        </w:rPr>
        <w:t xml:space="preserve">, Millipore). </w:t>
      </w:r>
    </w:p>
    <w:p w:rsidR="00AA1FA5" w:rsidRPr="00F75E32" w:rsidRDefault="00AA1FA5" w:rsidP="00AA1FA5">
      <w:pPr>
        <w:pStyle w:val="SNSynopsisTOC"/>
        <w:spacing w:after="240"/>
        <w:rPr>
          <w:rFonts w:ascii="Arial" w:hAnsi="Arial" w:cs="Arial"/>
          <w:b/>
          <w:szCs w:val="24"/>
        </w:rPr>
      </w:pPr>
      <w:r w:rsidRPr="00F75E32">
        <w:rPr>
          <w:rFonts w:ascii="Arial" w:hAnsi="Arial" w:cs="Arial"/>
          <w:b/>
          <w:szCs w:val="24"/>
        </w:rPr>
        <w:t xml:space="preserve">3D </w:t>
      </w:r>
      <w:proofErr w:type="spellStart"/>
      <w:r w:rsidRPr="00F75E32">
        <w:rPr>
          <w:rFonts w:ascii="Arial" w:hAnsi="Arial" w:cs="Arial"/>
          <w:b/>
          <w:szCs w:val="24"/>
        </w:rPr>
        <w:t>Matrigel</w:t>
      </w:r>
      <w:proofErr w:type="spellEnd"/>
      <w:r w:rsidRPr="00F75E32">
        <w:rPr>
          <w:rFonts w:ascii="Arial" w:hAnsi="Arial" w:cs="Arial"/>
          <w:b/>
          <w:szCs w:val="24"/>
        </w:rPr>
        <w:t xml:space="preserve"> culture and immunostaining. </w:t>
      </w:r>
      <w:r w:rsidRPr="00F75E32">
        <w:rPr>
          <w:rFonts w:ascii="Arial" w:hAnsi="Arial" w:cs="Arial"/>
          <w:szCs w:val="24"/>
        </w:rPr>
        <w:t xml:space="preserve">3D culture of LM2-4luc+/H2N cells were performed as described by </w:t>
      </w:r>
      <w:r>
        <w:rPr>
          <w:rFonts w:ascii="Arial" w:hAnsi="Arial" w:cs="Arial"/>
          <w:szCs w:val="24"/>
        </w:rPr>
        <w:t>Lee</w:t>
      </w:r>
      <w:r w:rsidRPr="00F75E32">
        <w:rPr>
          <w:rFonts w:ascii="Arial" w:hAnsi="Arial" w:cs="Arial"/>
          <w:szCs w:val="24"/>
        </w:rPr>
        <w:t xml:space="preserve"> </w:t>
      </w:r>
      <w:r w:rsidRPr="001B3826">
        <w:rPr>
          <w:rFonts w:ascii="Arial" w:hAnsi="Arial" w:cs="Arial"/>
          <w:i/>
          <w:szCs w:val="24"/>
        </w:rPr>
        <w:t>et al.</w:t>
      </w:r>
      <w:r>
        <w:rPr>
          <w:rFonts w:ascii="Arial" w:hAnsi="Arial" w:cs="Arial"/>
          <w:szCs w:val="24"/>
        </w:rPr>
        <w:t xml:space="preserve"> </w:t>
      </w:r>
      <w:r>
        <w:rPr>
          <w:rFonts w:ascii="Arial" w:hAnsi="Arial" w:cs="Arial"/>
          <w:szCs w:val="24"/>
        </w:rPr>
        <w:fldChar w:fldCharType="begin"/>
      </w:r>
      <w:r w:rsidR="002C5F38">
        <w:rPr>
          <w:rFonts w:ascii="Arial" w:hAnsi="Arial" w:cs="Arial"/>
          <w:szCs w:val="24"/>
        </w:rPr>
        <w:instrText xml:space="preserve"> ADDIN EN.CITE &lt;EndNote&gt;&lt;Cite&gt;&lt;Author&gt;Lee&lt;/Author&gt;&lt;Year&gt;2007&lt;/Year&gt;&lt;RecNum&gt;44&lt;/RecNum&gt;&lt;DisplayText&gt;(3)&lt;/DisplayText&gt;&lt;record&gt;&lt;rec-number&gt;44&lt;/rec-number&gt;&lt;foreign-keys&gt;&lt;key app="EN" db-id="de2ed5dtra99trefwfop9w9y0pspazxs0ff5" timestamp="1463156641"&gt;44&lt;/key&gt;&lt;/foreign-keys&gt;&lt;ref-type name="Journal Article"&gt;17&lt;/ref-type&gt;&lt;contributors&gt;&lt;authors&gt;&lt;author&gt;Lee, Genee Y.&lt;/author&gt;&lt;author&gt;Kenny, Paraic A.&lt;/author&gt;&lt;author&gt;Lee, Eva H.&lt;/author&gt;&lt;author&gt;Bissell, Mina J.&lt;/author&gt;&lt;/authors&gt;&lt;/contributors&gt;&lt;titles&gt;&lt;title&gt;Three-dimensional culture models of normal and malignant breast epithelial cells&lt;/title&gt;&lt;secondary-title&gt;Nat Meth&lt;/secondary-title&gt;&lt;/titles&gt;&lt;periodical&gt;&lt;full-title&gt;Nat Meth&lt;/full-title&gt;&lt;/periodical&gt;&lt;pages&gt;359-365&lt;/pages&gt;&lt;volume&gt;4&lt;/volume&gt;&lt;number&gt;4&lt;/number&gt;&lt;dates&gt;&lt;year&gt;2007&lt;/year&gt;&lt;pub-dates&gt;&lt;date&gt;04//print&lt;/date&gt;&lt;/pub-dates&gt;&lt;/dates&gt;&lt;publisher&gt;Nature Publishing Group&lt;/publisher&gt;&lt;isbn&gt;1548-7091&lt;/isbn&gt;&lt;work-type&gt;10.1038/nmeth1015&lt;/work-type&gt;&lt;urls&gt;&lt;related-urls&gt;&lt;url&gt;http://dx.doi.org/10.1038/nmeth1015&lt;/url&gt;&lt;/related-urls&gt;&lt;/urls&gt;&lt;electronic-resource-num&gt;http://www.nature.com/nmeth/journal/v4/n4/suppinfo/nmeth1015_S1.html&lt;/electronic-resource-num&gt;&lt;/record&gt;&lt;/Cite&gt;&lt;/EndNote&gt;</w:instrText>
      </w:r>
      <w:r>
        <w:rPr>
          <w:rFonts w:ascii="Arial" w:hAnsi="Arial" w:cs="Arial"/>
          <w:szCs w:val="24"/>
        </w:rPr>
        <w:fldChar w:fldCharType="separate"/>
      </w:r>
      <w:r w:rsidR="002C5F38">
        <w:rPr>
          <w:rFonts w:ascii="Arial" w:hAnsi="Arial" w:cs="Arial"/>
          <w:noProof/>
          <w:szCs w:val="24"/>
        </w:rPr>
        <w:t>(3)</w:t>
      </w:r>
      <w:r>
        <w:rPr>
          <w:rFonts w:ascii="Arial" w:hAnsi="Arial" w:cs="Arial"/>
          <w:szCs w:val="24"/>
        </w:rPr>
        <w:fldChar w:fldCharType="end"/>
      </w:r>
      <w:r>
        <w:rPr>
          <w:rFonts w:ascii="Arial" w:hAnsi="Arial" w:cs="Arial"/>
          <w:szCs w:val="24"/>
        </w:rPr>
        <w:t xml:space="preserve"> </w:t>
      </w:r>
      <w:r w:rsidRPr="00F75E32">
        <w:rPr>
          <w:rFonts w:ascii="Arial" w:hAnsi="Arial" w:cs="Arial"/>
          <w:szCs w:val="24"/>
        </w:rPr>
        <w:t xml:space="preserve">with slight modifications. Briefly, cells transfected overnight with </w:t>
      </w:r>
      <w:r>
        <w:rPr>
          <w:rFonts w:ascii="Arial" w:hAnsi="Arial" w:cs="Arial"/>
          <w:szCs w:val="24"/>
        </w:rPr>
        <w:t>DY677</w:t>
      </w:r>
      <w:r w:rsidRPr="00F75E32">
        <w:rPr>
          <w:rFonts w:ascii="Arial" w:hAnsi="Arial" w:cs="Arial"/>
          <w:szCs w:val="24"/>
        </w:rPr>
        <w:t xml:space="preserve">siSCR-NP were </w:t>
      </w:r>
      <w:proofErr w:type="spellStart"/>
      <w:r w:rsidRPr="00F75E32">
        <w:rPr>
          <w:rFonts w:ascii="Arial" w:hAnsi="Arial" w:cs="Arial"/>
          <w:szCs w:val="24"/>
        </w:rPr>
        <w:t>trypsinized</w:t>
      </w:r>
      <w:proofErr w:type="spellEnd"/>
      <w:r w:rsidRPr="00F75E32">
        <w:rPr>
          <w:rFonts w:ascii="Arial" w:hAnsi="Arial" w:cs="Arial"/>
          <w:szCs w:val="24"/>
        </w:rPr>
        <w:t xml:space="preserve"> and counted before being seeded onto </w:t>
      </w:r>
      <w:proofErr w:type="spellStart"/>
      <w:r w:rsidRPr="00F75E32">
        <w:rPr>
          <w:rFonts w:ascii="Arial" w:hAnsi="Arial" w:cs="Arial"/>
          <w:szCs w:val="24"/>
        </w:rPr>
        <w:t>matrigel</w:t>
      </w:r>
      <w:proofErr w:type="spellEnd"/>
      <w:r w:rsidRPr="00F75E32">
        <w:rPr>
          <w:rFonts w:ascii="Arial" w:hAnsi="Arial" w:cs="Arial"/>
          <w:szCs w:val="24"/>
        </w:rPr>
        <w:t xml:space="preserve">-coated 4 well chamber slides (10,000 cells/well) and overlaid with complete medium containing 2% </w:t>
      </w:r>
      <w:proofErr w:type="spellStart"/>
      <w:r w:rsidRPr="00F75E32">
        <w:rPr>
          <w:rFonts w:ascii="Arial" w:hAnsi="Arial" w:cs="Arial"/>
          <w:szCs w:val="24"/>
        </w:rPr>
        <w:t>matrigel</w:t>
      </w:r>
      <w:proofErr w:type="spellEnd"/>
      <w:r w:rsidRPr="00F75E32">
        <w:rPr>
          <w:rFonts w:ascii="Arial" w:hAnsi="Arial" w:cs="Arial"/>
          <w:szCs w:val="24"/>
        </w:rPr>
        <w:t xml:space="preserve">. Cells were grown on the slides for </w:t>
      </w:r>
      <w:r>
        <w:rPr>
          <w:rFonts w:ascii="Arial" w:hAnsi="Arial" w:cs="Arial"/>
          <w:szCs w:val="24"/>
        </w:rPr>
        <w:t xml:space="preserve">up to </w:t>
      </w:r>
      <w:r w:rsidRPr="00F75E32">
        <w:rPr>
          <w:rFonts w:ascii="Arial" w:hAnsi="Arial" w:cs="Arial"/>
          <w:szCs w:val="24"/>
        </w:rPr>
        <w:t xml:space="preserve">5 days </w:t>
      </w:r>
      <w:r>
        <w:rPr>
          <w:rFonts w:ascii="Arial" w:hAnsi="Arial" w:cs="Arial"/>
          <w:szCs w:val="24"/>
        </w:rPr>
        <w:t xml:space="preserve">and imaged on alternate days starting from day 1 post seeding </w:t>
      </w:r>
      <w:r w:rsidRPr="00F75E32">
        <w:rPr>
          <w:rFonts w:ascii="Arial" w:hAnsi="Arial" w:cs="Arial"/>
          <w:szCs w:val="24"/>
        </w:rPr>
        <w:t>with the EVOS FL automated fluorescence microscope.</w:t>
      </w:r>
    </w:p>
    <w:p w:rsidR="00AA1FA5" w:rsidRPr="00F75E32" w:rsidRDefault="00AA1FA5" w:rsidP="00AA1FA5">
      <w:pPr>
        <w:pStyle w:val="SNSynopsisTOC"/>
        <w:spacing w:after="240"/>
        <w:rPr>
          <w:rFonts w:ascii="Arial" w:hAnsi="Arial" w:cs="Arial"/>
          <w:szCs w:val="24"/>
        </w:rPr>
      </w:pPr>
      <w:r>
        <w:rPr>
          <w:rFonts w:ascii="Arial" w:hAnsi="Arial" w:cs="Arial"/>
          <w:b/>
          <w:szCs w:val="24"/>
        </w:rPr>
        <w:t>Real time quantitative PCR (q</w:t>
      </w:r>
      <w:r w:rsidRPr="00F75E32">
        <w:rPr>
          <w:rFonts w:ascii="Arial" w:hAnsi="Arial" w:cs="Arial"/>
          <w:b/>
          <w:szCs w:val="24"/>
        </w:rPr>
        <w:t>PCR).</w:t>
      </w:r>
      <w:r w:rsidRPr="00F75E32">
        <w:rPr>
          <w:rFonts w:ascii="Arial" w:hAnsi="Arial" w:cs="Arial"/>
          <w:szCs w:val="24"/>
        </w:rPr>
        <w:t xml:space="preserve"> The RNA from the treated cells was isolated with the RNeasy Mini kit (</w:t>
      </w:r>
      <w:proofErr w:type="spellStart"/>
      <w:r w:rsidRPr="00F75E32">
        <w:rPr>
          <w:rFonts w:ascii="Arial" w:hAnsi="Arial" w:cs="Arial"/>
          <w:szCs w:val="24"/>
        </w:rPr>
        <w:t>Qiagen</w:t>
      </w:r>
      <w:proofErr w:type="spellEnd"/>
      <w:r w:rsidRPr="00F75E32">
        <w:rPr>
          <w:rFonts w:ascii="Arial" w:hAnsi="Arial" w:cs="Arial"/>
          <w:szCs w:val="24"/>
        </w:rPr>
        <w:t xml:space="preserve">) following the manufacturer’s protocol. The amount of RNA was quantified using the </w:t>
      </w:r>
      <w:proofErr w:type="spellStart"/>
      <w:r w:rsidRPr="00F75E32">
        <w:rPr>
          <w:rFonts w:ascii="Arial" w:hAnsi="Arial" w:cs="Arial"/>
          <w:szCs w:val="24"/>
        </w:rPr>
        <w:t>NanoDrop</w:t>
      </w:r>
      <w:proofErr w:type="spellEnd"/>
      <w:r w:rsidRPr="00F75E32">
        <w:rPr>
          <w:rFonts w:ascii="Arial" w:hAnsi="Arial" w:cs="Arial"/>
          <w:szCs w:val="24"/>
        </w:rPr>
        <w:t xml:space="preserve"> 1000 spectrophotometer (</w:t>
      </w:r>
      <w:proofErr w:type="spellStart"/>
      <w:r w:rsidRPr="00F75E32">
        <w:rPr>
          <w:rFonts w:ascii="Arial" w:hAnsi="Arial" w:cs="Arial"/>
          <w:szCs w:val="24"/>
        </w:rPr>
        <w:t>Thermo</w:t>
      </w:r>
      <w:proofErr w:type="spellEnd"/>
      <w:r w:rsidRPr="00F75E32">
        <w:rPr>
          <w:rFonts w:ascii="Arial" w:hAnsi="Arial" w:cs="Arial"/>
          <w:szCs w:val="24"/>
        </w:rPr>
        <w:t xml:space="preserve"> Scientific). Purified RNAs (20 ng per reaction) were reverse transcribed with EXPRESS One-Step </w:t>
      </w:r>
      <w:proofErr w:type="spellStart"/>
      <w:r w:rsidRPr="00F75E32">
        <w:rPr>
          <w:rFonts w:ascii="Arial" w:hAnsi="Arial" w:cs="Arial"/>
          <w:szCs w:val="24"/>
        </w:rPr>
        <w:t>SuperScript</w:t>
      </w:r>
      <w:proofErr w:type="spellEnd"/>
      <w:r w:rsidRPr="00F75E32">
        <w:rPr>
          <w:rFonts w:ascii="Arial" w:hAnsi="Arial" w:cs="Arial"/>
          <w:szCs w:val="24"/>
        </w:rPr>
        <w:t xml:space="preserve"> </w:t>
      </w:r>
      <w:proofErr w:type="spellStart"/>
      <w:r w:rsidRPr="00F75E32">
        <w:rPr>
          <w:rFonts w:ascii="Arial" w:hAnsi="Arial" w:cs="Arial"/>
          <w:szCs w:val="24"/>
        </w:rPr>
        <w:t>qRT</w:t>
      </w:r>
      <w:proofErr w:type="spellEnd"/>
      <w:r w:rsidRPr="00F75E32">
        <w:rPr>
          <w:rFonts w:ascii="Arial" w:hAnsi="Arial" w:cs="Arial"/>
          <w:szCs w:val="24"/>
        </w:rPr>
        <w:t>-PCR kit (</w:t>
      </w:r>
      <w:proofErr w:type="spellStart"/>
      <w:r w:rsidRPr="00F75E32">
        <w:rPr>
          <w:rFonts w:ascii="Arial" w:hAnsi="Arial" w:cs="Arial"/>
          <w:szCs w:val="24"/>
        </w:rPr>
        <w:t>ThermoFisher</w:t>
      </w:r>
      <w:proofErr w:type="spellEnd"/>
      <w:r w:rsidRPr="00F75E32">
        <w:rPr>
          <w:rFonts w:ascii="Arial" w:hAnsi="Arial" w:cs="Arial"/>
          <w:szCs w:val="24"/>
        </w:rPr>
        <w:t xml:space="preserve"> Scientific). Primer sequences chosen for qPCR (</w:t>
      </w:r>
      <w:proofErr w:type="spellStart"/>
      <w:r w:rsidRPr="00F75E32">
        <w:rPr>
          <w:rFonts w:ascii="Arial" w:hAnsi="Arial" w:cs="Arial"/>
          <w:szCs w:val="24"/>
        </w:rPr>
        <w:t>ThermoFisher</w:t>
      </w:r>
      <w:proofErr w:type="spellEnd"/>
      <w:r w:rsidRPr="00F75E32">
        <w:rPr>
          <w:rFonts w:ascii="Arial" w:hAnsi="Arial" w:cs="Arial"/>
          <w:szCs w:val="24"/>
        </w:rPr>
        <w:t xml:space="preserve"> Scientific) are: human PLK1 (Hs00983227_m1), human NOX4 (Hs01558199_m1), and human GAPDH (Hs02758991_g1). </w:t>
      </w:r>
      <w:proofErr w:type="spellStart"/>
      <w:r w:rsidRPr="00F75E32">
        <w:rPr>
          <w:rFonts w:ascii="Arial" w:hAnsi="Arial" w:cs="Arial"/>
          <w:szCs w:val="24"/>
        </w:rPr>
        <w:t>qRT</w:t>
      </w:r>
      <w:proofErr w:type="spellEnd"/>
      <w:r w:rsidRPr="00F75E32">
        <w:rPr>
          <w:rFonts w:ascii="Arial" w:hAnsi="Arial" w:cs="Arial"/>
          <w:szCs w:val="24"/>
        </w:rPr>
        <w:t xml:space="preserve">-PCR assays were performed in triplicate using an ABI 7500 Fast System (Applied Biosystems, Foster City, CA) under </w:t>
      </w:r>
      <w:r w:rsidRPr="00F75E32">
        <w:rPr>
          <w:rFonts w:ascii="Arial" w:hAnsi="Arial" w:cs="Arial"/>
          <w:szCs w:val="24"/>
        </w:rPr>
        <w:lastRenderedPageBreak/>
        <w:t xml:space="preserve">standard cycling conditions: 50 </w:t>
      </w:r>
      <w:proofErr w:type="spellStart"/>
      <w:r w:rsidRPr="00F75E32">
        <w:rPr>
          <w:rFonts w:ascii="Arial" w:hAnsi="Arial" w:cs="Arial"/>
          <w:szCs w:val="24"/>
          <w:vertAlign w:val="superscript"/>
        </w:rPr>
        <w:t>o</w:t>
      </w:r>
      <w:r w:rsidRPr="00F75E32">
        <w:rPr>
          <w:rFonts w:ascii="Arial" w:hAnsi="Arial" w:cs="Arial"/>
          <w:szCs w:val="24"/>
        </w:rPr>
        <w:t>C</w:t>
      </w:r>
      <w:proofErr w:type="spellEnd"/>
      <w:r w:rsidRPr="00F75E32">
        <w:rPr>
          <w:rFonts w:ascii="Arial" w:hAnsi="Arial" w:cs="Arial"/>
          <w:szCs w:val="24"/>
        </w:rPr>
        <w:t xml:space="preserve"> for 2 min, 95 </w:t>
      </w:r>
      <w:proofErr w:type="spellStart"/>
      <w:r w:rsidRPr="00F75E32">
        <w:rPr>
          <w:rFonts w:ascii="Arial" w:hAnsi="Arial" w:cs="Arial"/>
          <w:szCs w:val="24"/>
          <w:vertAlign w:val="superscript"/>
        </w:rPr>
        <w:t>o</w:t>
      </w:r>
      <w:r w:rsidRPr="00F75E32">
        <w:rPr>
          <w:rFonts w:ascii="Arial" w:hAnsi="Arial" w:cs="Arial"/>
          <w:szCs w:val="24"/>
        </w:rPr>
        <w:t>C</w:t>
      </w:r>
      <w:proofErr w:type="spellEnd"/>
      <w:r w:rsidRPr="00F75E32">
        <w:rPr>
          <w:rFonts w:ascii="Arial" w:hAnsi="Arial" w:cs="Arial"/>
          <w:szCs w:val="24"/>
        </w:rPr>
        <w:t xml:space="preserve"> for 10 min, 40 cycles of 95 </w:t>
      </w:r>
      <w:proofErr w:type="spellStart"/>
      <w:r w:rsidRPr="00F75E32">
        <w:rPr>
          <w:rFonts w:ascii="Arial" w:hAnsi="Arial" w:cs="Arial"/>
          <w:szCs w:val="24"/>
          <w:vertAlign w:val="superscript"/>
        </w:rPr>
        <w:t>o</w:t>
      </w:r>
      <w:r w:rsidRPr="00F75E32">
        <w:rPr>
          <w:rFonts w:ascii="Arial" w:hAnsi="Arial" w:cs="Arial"/>
          <w:szCs w:val="24"/>
        </w:rPr>
        <w:t>C</w:t>
      </w:r>
      <w:proofErr w:type="spellEnd"/>
      <w:r w:rsidRPr="00F75E32">
        <w:rPr>
          <w:rFonts w:ascii="Arial" w:hAnsi="Arial" w:cs="Arial"/>
          <w:szCs w:val="24"/>
        </w:rPr>
        <w:t xml:space="preserve"> for 15 s, and 60 </w:t>
      </w:r>
      <w:proofErr w:type="spellStart"/>
      <w:r w:rsidRPr="00F75E32">
        <w:rPr>
          <w:rFonts w:ascii="Arial" w:hAnsi="Arial" w:cs="Arial"/>
          <w:szCs w:val="24"/>
          <w:vertAlign w:val="superscript"/>
        </w:rPr>
        <w:t>o</w:t>
      </w:r>
      <w:r w:rsidRPr="00F75E32">
        <w:rPr>
          <w:rFonts w:ascii="Arial" w:hAnsi="Arial" w:cs="Arial"/>
          <w:szCs w:val="24"/>
        </w:rPr>
        <w:t>C</w:t>
      </w:r>
      <w:proofErr w:type="spellEnd"/>
      <w:r w:rsidRPr="00F75E32">
        <w:rPr>
          <w:rFonts w:ascii="Arial" w:hAnsi="Arial" w:cs="Arial"/>
          <w:szCs w:val="24"/>
        </w:rPr>
        <w:t xml:space="preserve"> for 1 min. Expression levels were analyzed using 2</w:t>
      </w:r>
      <w:r w:rsidRPr="00F75E32">
        <w:rPr>
          <w:rFonts w:ascii="Arial" w:hAnsi="Arial" w:cs="Arial"/>
          <w:szCs w:val="24"/>
          <w:vertAlign w:val="superscript"/>
        </w:rPr>
        <w:t>–ΔΔC(t)</w:t>
      </w:r>
      <w:r w:rsidRPr="00F75E32">
        <w:rPr>
          <w:rFonts w:ascii="Arial" w:hAnsi="Arial" w:cs="Arial"/>
          <w:szCs w:val="24"/>
        </w:rPr>
        <w:t xml:space="preserve"> method using GAPDH as loading control.</w:t>
      </w:r>
    </w:p>
    <w:p w:rsidR="00AA1FA5" w:rsidRDefault="00AA1FA5" w:rsidP="00AA1FA5">
      <w:pPr>
        <w:pStyle w:val="ListParagraph"/>
        <w:spacing w:line="480" w:lineRule="auto"/>
        <w:ind w:left="0"/>
        <w:jc w:val="both"/>
        <w:rPr>
          <w:rFonts w:ascii="Arial" w:hAnsi="Arial" w:cs="Arial"/>
          <w:sz w:val="24"/>
          <w:szCs w:val="24"/>
        </w:rPr>
      </w:pPr>
      <w:r w:rsidRPr="00F75E32">
        <w:rPr>
          <w:rFonts w:ascii="Arial" w:hAnsi="Arial" w:cs="Arial"/>
          <w:b/>
          <w:sz w:val="24"/>
          <w:szCs w:val="24"/>
        </w:rPr>
        <w:t>Western blot.</w:t>
      </w:r>
      <w:r w:rsidRPr="00F75E32">
        <w:rPr>
          <w:rFonts w:ascii="Arial" w:hAnsi="Arial" w:cs="Arial"/>
          <w:sz w:val="24"/>
          <w:szCs w:val="24"/>
        </w:rPr>
        <w:t xml:space="preserve"> Cell lysate (</w:t>
      </w:r>
      <w:r>
        <w:rPr>
          <w:rFonts w:ascii="Arial" w:hAnsi="Arial" w:cs="Arial"/>
          <w:sz w:val="24"/>
          <w:szCs w:val="24"/>
        </w:rPr>
        <w:t>3</w:t>
      </w:r>
      <w:r w:rsidRPr="00F75E32">
        <w:rPr>
          <w:rFonts w:ascii="Arial" w:hAnsi="Arial" w:cs="Arial"/>
          <w:sz w:val="24"/>
          <w:szCs w:val="24"/>
        </w:rPr>
        <w:t xml:space="preserve">0 µg protein/lane) were electrophoresed with denaturing sodium dodecyl sulfate (SDS)-polyacrylamide </w:t>
      </w:r>
      <w:proofErr w:type="spellStart"/>
      <w:r w:rsidRPr="00F75E32">
        <w:rPr>
          <w:rFonts w:ascii="Arial" w:hAnsi="Arial" w:cs="Arial"/>
          <w:sz w:val="24"/>
          <w:szCs w:val="24"/>
        </w:rPr>
        <w:t>NuPage</w:t>
      </w:r>
      <w:proofErr w:type="spellEnd"/>
      <w:r w:rsidRPr="00F75E32">
        <w:rPr>
          <w:rFonts w:ascii="Arial" w:hAnsi="Arial" w:cs="Arial"/>
          <w:sz w:val="24"/>
          <w:szCs w:val="24"/>
        </w:rPr>
        <w:t xml:space="preserve"> </w:t>
      </w:r>
      <w:proofErr w:type="spellStart"/>
      <w:r w:rsidRPr="00F75E32">
        <w:rPr>
          <w:rFonts w:ascii="Arial" w:hAnsi="Arial" w:cs="Arial"/>
          <w:sz w:val="24"/>
          <w:szCs w:val="24"/>
        </w:rPr>
        <w:t>Novex</w:t>
      </w:r>
      <w:proofErr w:type="spellEnd"/>
      <w:r w:rsidRPr="00F75E32">
        <w:rPr>
          <w:rFonts w:ascii="Arial" w:hAnsi="Arial" w:cs="Arial"/>
          <w:sz w:val="24"/>
          <w:szCs w:val="24"/>
        </w:rPr>
        <w:t xml:space="preserve"> 4% to 12% gels (Invitrogen) and blotted on a PVDF membrane (Millipore). Primary antibody incubation was carried out overnight at 4°C on a rocking platform (anti-PLK1, ab17056, </w:t>
      </w:r>
      <w:proofErr w:type="spellStart"/>
      <w:r w:rsidRPr="00F75E32">
        <w:rPr>
          <w:rFonts w:ascii="Arial" w:hAnsi="Arial" w:cs="Arial"/>
          <w:sz w:val="24"/>
          <w:szCs w:val="24"/>
        </w:rPr>
        <w:t>Abcam</w:t>
      </w:r>
      <w:proofErr w:type="spellEnd"/>
      <w:r w:rsidRPr="00F75E32">
        <w:rPr>
          <w:rFonts w:ascii="Arial" w:hAnsi="Arial" w:cs="Arial"/>
          <w:sz w:val="24"/>
          <w:szCs w:val="24"/>
        </w:rPr>
        <w:t>; β-Actin (8H10D10), Cell Signaling Technology</w:t>
      </w:r>
      <w:r>
        <w:rPr>
          <w:rFonts w:ascii="Arial" w:hAnsi="Arial" w:cs="Arial"/>
          <w:sz w:val="24"/>
          <w:szCs w:val="24"/>
        </w:rPr>
        <w:t>; anti-NOX4,</w:t>
      </w:r>
      <w:r w:rsidRPr="00EC3EA4">
        <w:t xml:space="preserve"> </w:t>
      </w:r>
      <w:r w:rsidRPr="00EC3EA4">
        <w:rPr>
          <w:rFonts w:ascii="Arial" w:hAnsi="Arial" w:cs="Arial"/>
          <w:sz w:val="24"/>
          <w:szCs w:val="24"/>
        </w:rPr>
        <w:t>ab109225</w:t>
      </w:r>
      <w:r>
        <w:rPr>
          <w:rFonts w:ascii="Arial" w:hAnsi="Arial" w:cs="Arial"/>
          <w:sz w:val="24"/>
          <w:szCs w:val="24"/>
        </w:rPr>
        <w:t xml:space="preserve">, </w:t>
      </w:r>
      <w:proofErr w:type="spellStart"/>
      <w:r>
        <w:rPr>
          <w:rFonts w:ascii="Arial" w:hAnsi="Arial" w:cs="Arial"/>
          <w:sz w:val="24"/>
          <w:szCs w:val="24"/>
        </w:rPr>
        <w:t>Abcam</w:t>
      </w:r>
      <w:proofErr w:type="spellEnd"/>
      <w:r w:rsidRPr="00F75E32">
        <w:rPr>
          <w:rFonts w:ascii="Arial" w:hAnsi="Arial" w:cs="Arial"/>
          <w:sz w:val="24"/>
          <w:szCs w:val="24"/>
        </w:rPr>
        <w:t xml:space="preserve">). Secondary incubation with </w:t>
      </w:r>
      <w:proofErr w:type="spellStart"/>
      <w:r w:rsidRPr="00F75E32">
        <w:rPr>
          <w:rFonts w:ascii="Arial" w:hAnsi="Arial" w:cs="Arial"/>
          <w:sz w:val="24"/>
          <w:szCs w:val="24"/>
        </w:rPr>
        <w:t>IRDye</w:t>
      </w:r>
      <w:proofErr w:type="spellEnd"/>
      <w:r w:rsidRPr="00F75E32">
        <w:rPr>
          <w:rFonts w:ascii="Arial" w:hAnsi="Arial" w:cs="Arial"/>
          <w:sz w:val="24"/>
          <w:szCs w:val="24"/>
        </w:rPr>
        <w:t xml:space="preserve"> 800CW and </w:t>
      </w:r>
      <w:proofErr w:type="spellStart"/>
      <w:r w:rsidRPr="00F75E32">
        <w:rPr>
          <w:rFonts w:ascii="Arial" w:hAnsi="Arial" w:cs="Arial"/>
          <w:sz w:val="24"/>
          <w:szCs w:val="24"/>
        </w:rPr>
        <w:t>IRDye</w:t>
      </w:r>
      <w:proofErr w:type="spellEnd"/>
      <w:r w:rsidRPr="00F75E32">
        <w:rPr>
          <w:rFonts w:ascii="Arial" w:hAnsi="Arial" w:cs="Arial"/>
          <w:sz w:val="24"/>
          <w:szCs w:val="24"/>
        </w:rPr>
        <w:t xml:space="preserve"> 680RD conjugated secondary antibodies (</w:t>
      </w:r>
      <w:proofErr w:type="spellStart"/>
      <w:r w:rsidRPr="00F75E32">
        <w:rPr>
          <w:rFonts w:ascii="Arial" w:hAnsi="Arial" w:cs="Arial"/>
          <w:sz w:val="24"/>
          <w:szCs w:val="24"/>
        </w:rPr>
        <w:t>Licor</w:t>
      </w:r>
      <w:proofErr w:type="spellEnd"/>
      <w:r w:rsidRPr="00F75E32">
        <w:rPr>
          <w:rFonts w:ascii="Arial" w:hAnsi="Arial" w:cs="Arial"/>
          <w:sz w:val="24"/>
          <w:szCs w:val="24"/>
        </w:rPr>
        <w:t xml:space="preserve"> Biosciences) was carri</w:t>
      </w:r>
      <w:r>
        <w:rPr>
          <w:rFonts w:ascii="Arial" w:hAnsi="Arial" w:cs="Arial"/>
          <w:sz w:val="24"/>
          <w:szCs w:val="24"/>
        </w:rPr>
        <w:t>ed out at room temperature (2 h</w:t>
      </w:r>
      <w:r w:rsidRPr="00F75E32">
        <w:rPr>
          <w:rFonts w:ascii="Arial" w:hAnsi="Arial" w:cs="Arial"/>
          <w:sz w:val="24"/>
          <w:szCs w:val="24"/>
        </w:rPr>
        <w:t>) the next day prior to imaging with the LI-COR infrared imaging system (LI-COR, Lincoln, NE).</w:t>
      </w:r>
    </w:p>
    <w:p w:rsidR="00AA1FA5" w:rsidRDefault="00AA1FA5" w:rsidP="00AA1FA5">
      <w:pPr>
        <w:pStyle w:val="SNSynopsisTOC"/>
        <w:spacing w:after="240"/>
        <w:rPr>
          <w:rFonts w:ascii="Arial" w:hAnsi="Arial" w:cs="Arial"/>
          <w:szCs w:val="24"/>
        </w:rPr>
      </w:pPr>
      <w:r w:rsidRPr="00F75E32">
        <w:rPr>
          <w:rFonts w:ascii="Arial" w:hAnsi="Arial" w:cs="Arial"/>
          <w:b/>
          <w:szCs w:val="24"/>
        </w:rPr>
        <w:t xml:space="preserve">Histology. </w:t>
      </w:r>
      <w:r w:rsidRPr="00F75E32">
        <w:rPr>
          <w:rFonts w:ascii="Arial" w:hAnsi="Arial" w:cs="Arial"/>
          <w:szCs w:val="24"/>
        </w:rPr>
        <w:t>All tissues were either fixed in 10% buffered formalin (Fisher Scientific) or snap-frozen in OCT compound (#4583, Tissue-</w:t>
      </w:r>
      <w:proofErr w:type="spellStart"/>
      <w:r w:rsidRPr="00F75E32">
        <w:rPr>
          <w:rFonts w:ascii="Arial" w:hAnsi="Arial" w:cs="Arial"/>
          <w:szCs w:val="24"/>
        </w:rPr>
        <w:t>Tek</w:t>
      </w:r>
      <w:proofErr w:type="spellEnd"/>
      <w:r w:rsidRPr="00F75E32">
        <w:rPr>
          <w:rFonts w:ascii="Arial" w:hAnsi="Arial" w:cs="Arial"/>
          <w:szCs w:val="24"/>
        </w:rPr>
        <w:t xml:space="preserve">) prior to processing. For immunofluorescence staining, </w:t>
      </w:r>
      <w:proofErr w:type="spellStart"/>
      <w:r w:rsidRPr="00F75E32">
        <w:rPr>
          <w:rFonts w:ascii="Arial" w:hAnsi="Arial" w:cs="Arial"/>
          <w:szCs w:val="24"/>
        </w:rPr>
        <w:t>deparaffinized</w:t>
      </w:r>
      <w:proofErr w:type="spellEnd"/>
      <w:r w:rsidRPr="00F75E32">
        <w:rPr>
          <w:rFonts w:ascii="Arial" w:hAnsi="Arial" w:cs="Arial"/>
          <w:szCs w:val="24"/>
        </w:rPr>
        <w:t xml:space="preserve"> and rehydrated lung tissues were subjected to heat-mediated antigen retrieval in citrate buffer (10 </w:t>
      </w:r>
      <w:proofErr w:type="spellStart"/>
      <w:r w:rsidRPr="00F75E32">
        <w:rPr>
          <w:rFonts w:ascii="Arial" w:hAnsi="Arial" w:cs="Arial"/>
          <w:szCs w:val="24"/>
        </w:rPr>
        <w:t>mM</w:t>
      </w:r>
      <w:proofErr w:type="spellEnd"/>
      <w:r w:rsidRPr="00F75E32">
        <w:rPr>
          <w:rFonts w:ascii="Arial" w:hAnsi="Arial" w:cs="Arial"/>
          <w:szCs w:val="24"/>
        </w:rPr>
        <w:t xml:space="preserve">, pH 6.0) for 30 min. The tissue sections were </w:t>
      </w:r>
      <w:proofErr w:type="spellStart"/>
      <w:r w:rsidRPr="00F75E32">
        <w:rPr>
          <w:rFonts w:ascii="Arial" w:hAnsi="Arial" w:cs="Arial"/>
          <w:szCs w:val="24"/>
        </w:rPr>
        <w:t>permeabilized</w:t>
      </w:r>
      <w:proofErr w:type="spellEnd"/>
      <w:r w:rsidRPr="00F75E32">
        <w:rPr>
          <w:rFonts w:ascii="Arial" w:hAnsi="Arial" w:cs="Arial"/>
          <w:szCs w:val="24"/>
        </w:rPr>
        <w:t xml:space="preserve">  with  0.25% Triton-X100 (PBS) for 30 min and blocked with 10% goat serum (Vector Laboratorie</w:t>
      </w:r>
      <w:r>
        <w:rPr>
          <w:rFonts w:ascii="Arial" w:hAnsi="Arial" w:cs="Arial"/>
          <w:szCs w:val="24"/>
        </w:rPr>
        <w:t>s Inc., Burlingame, CA) for 1 h</w:t>
      </w:r>
      <w:r w:rsidRPr="00F75E32">
        <w:rPr>
          <w:rFonts w:ascii="Arial" w:hAnsi="Arial" w:cs="Arial"/>
          <w:szCs w:val="24"/>
        </w:rPr>
        <w:t xml:space="preserve"> at room temperature.  Slides were then incubated with primary antibodies (5% goat-serum + 1% BSA in PBS) at 4 </w:t>
      </w:r>
      <w:proofErr w:type="spellStart"/>
      <w:r w:rsidRPr="00F75E32">
        <w:rPr>
          <w:rFonts w:ascii="Arial" w:hAnsi="Arial" w:cs="Arial"/>
          <w:szCs w:val="24"/>
          <w:vertAlign w:val="superscript"/>
        </w:rPr>
        <w:t>o</w:t>
      </w:r>
      <w:r>
        <w:rPr>
          <w:rFonts w:ascii="Arial" w:hAnsi="Arial" w:cs="Arial"/>
          <w:szCs w:val="24"/>
        </w:rPr>
        <w:t>C</w:t>
      </w:r>
      <w:proofErr w:type="spellEnd"/>
      <w:r>
        <w:rPr>
          <w:rFonts w:ascii="Arial" w:hAnsi="Arial" w:cs="Arial"/>
          <w:szCs w:val="24"/>
        </w:rPr>
        <w:t xml:space="preserve"> overnight (mouse monoclonal human </w:t>
      </w:r>
      <w:r w:rsidRPr="00F75E32">
        <w:rPr>
          <w:rFonts w:ascii="Arial" w:hAnsi="Arial" w:cs="Arial"/>
          <w:szCs w:val="24"/>
        </w:rPr>
        <w:t>vimentin, NCL-L-VIM-V9, Leica Biosystems</w:t>
      </w:r>
      <w:r>
        <w:rPr>
          <w:rFonts w:ascii="Arial" w:hAnsi="Arial" w:cs="Arial"/>
          <w:szCs w:val="24"/>
        </w:rPr>
        <w:t xml:space="preserve">; rabbit polyclonal Ki67, NCL-Ki67p, </w:t>
      </w:r>
      <w:r w:rsidRPr="00F75E32">
        <w:rPr>
          <w:rFonts w:ascii="Arial" w:hAnsi="Arial" w:cs="Arial"/>
          <w:szCs w:val="24"/>
        </w:rPr>
        <w:t>Leica Biosystems</w:t>
      </w:r>
      <w:r>
        <w:rPr>
          <w:rFonts w:ascii="Arial" w:hAnsi="Arial" w:cs="Arial"/>
          <w:szCs w:val="24"/>
        </w:rPr>
        <w:t>; rabbit polyclonal cleaved caspase-3, #9661, Cell Signaling Technology</w:t>
      </w:r>
      <w:r w:rsidRPr="00F75E32">
        <w:rPr>
          <w:rFonts w:ascii="Arial" w:hAnsi="Arial" w:cs="Arial"/>
          <w:szCs w:val="24"/>
        </w:rPr>
        <w:t xml:space="preserve">), </w:t>
      </w:r>
      <w:r>
        <w:rPr>
          <w:rFonts w:ascii="Arial" w:hAnsi="Arial" w:cs="Arial"/>
          <w:szCs w:val="24"/>
        </w:rPr>
        <w:t xml:space="preserve">washed, incubated with </w:t>
      </w:r>
      <w:r w:rsidRPr="00F75E32">
        <w:rPr>
          <w:rFonts w:ascii="Arial" w:hAnsi="Arial" w:cs="Arial"/>
          <w:szCs w:val="24"/>
        </w:rPr>
        <w:t xml:space="preserve">secondary antibodies (Alexa 647-conjugated anti-rabbit or </w:t>
      </w:r>
      <w:r>
        <w:rPr>
          <w:rFonts w:ascii="Arial" w:hAnsi="Arial" w:cs="Arial"/>
          <w:szCs w:val="24"/>
        </w:rPr>
        <w:t>anti-mouse Ab, Invitrogen) for 1 h</w:t>
      </w:r>
      <w:r w:rsidRPr="00F75E32">
        <w:rPr>
          <w:rFonts w:ascii="Arial" w:hAnsi="Arial" w:cs="Arial"/>
          <w:szCs w:val="24"/>
        </w:rPr>
        <w:t xml:space="preserve"> at room temperature, and mounted with </w:t>
      </w:r>
      <w:proofErr w:type="spellStart"/>
      <w:r w:rsidRPr="00F75E32">
        <w:rPr>
          <w:rFonts w:ascii="Arial" w:hAnsi="Arial" w:cs="Arial"/>
          <w:szCs w:val="24"/>
        </w:rPr>
        <w:t>ProLong</w:t>
      </w:r>
      <w:proofErr w:type="spellEnd"/>
      <w:r w:rsidRPr="00F75E32">
        <w:rPr>
          <w:rFonts w:ascii="Arial" w:hAnsi="Arial" w:cs="Arial"/>
          <w:szCs w:val="24"/>
        </w:rPr>
        <w:t xml:space="preserve"> Gold </w:t>
      </w:r>
      <w:proofErr w:type="spellStart"/>
      <w:r w:rsidRPr="00F75E32">
        <w:rPr>
          <w:rFonts w:ascii="Arial" w:hAnsi="Arial" w:cs="Arial"/>
          <w:szCs w:val="24"/>
        </w:rPr>
        <w:t>Antifade</w:t>
      </w:r>
      <w:proofErr w:type="spellEnd"/>
      <w:r w:rsidRPr="00F75E32">
        <w:rPr>
          <w:rFonts w:ascii="Arial" w:hAnsi="Arial" w:cs="Arial"/>
          <w:szCs w:val="24"/>
        </w:rPr>
        <w:t xml:space="preserve"> reagent with DAPI (P-3691, Invitrogen). Images were taken with the EVOS F</w:t>
      </w:r>
      <w:r>
        <w:rPr>
          <w:rFonts w:ascii="Arial" w:hAnsi="Arial" w:cs="Arial"/>
          <w:szCs w:val="24"/>
        </w:rPr>
        <w:t>L fluorescence microscope at 20</w:t>
      </w:r>
      <w:r w:rsidRPr="00F75E32">
        <w:rPr>
          <w:rFonts w:ascii="Arial" w:hAnsi="Arial" w:cs="Arial"/>
          <w:szCs w:val="24"/>
        </w:rPr>
        <w:t xml:space="preserve">X magnification. </w:t>
      </w:r>
    </w:p>
    <w:p w:rsidR="00AA1FA5" w:rsidRDefault="00AA1FA5" w:rsidP="00AA1FA5">
      <w:pPr>
        <w:pStyle w:val="SNSynopsisTOC"/>
        <w:spacing w:after="240"/>
        <w:rPr>
          <w:rFonts w:ascii="Arial" w:hAnsi="Arial" w:cs="Arial"/>
          <w:color w:val="000000"/>
          <w:shd w:val="clear" w:color="auto" w:fill="FFFFFF"/>
        </w:rPr>
      </w:pPr>
      <w:r w:rsidRPr="00B938FE">
        <w:rPr>
          <w:rFonts w:ascii="Arial" w:hAnsi="Arial" w:cs="Arial"/>
          <w:color w:val="000000"/>
          <w:shd w:val="clear" w:color="auto" w:fill="FFFFFF"/>
        </w:rPr>
        <w:lastRenderedPageBreak/>
        <w:t>For quantification of Ki67 and cleaved-caspase 3, images from Ki67-immunostained</w:t>
      </w:r>
      <w:r>
        <w:rPr>
          <w:rFonts w:ascii="Arial" w:hAnsi="Arial" w:cs="Arial"/>
          <w:color w:val="000000"/>
          <w:shd w:val="clear" w:color="auto" w:fill="FFFFFF"/>
        </w:rPr>
        <w:t xml:space="preserve"> lung sections were taken at 20X</w:t>
      </w:r>
      <w:r w:rsidRPr="00B938FE">
        <w:rPr>
          <w:rFonts w:ascii="Arial" w:hAnsi="Arial" w:cs="Arial"/>
          <w:color w:val="000000"/>
          <w:shd w:val="clear" w:color="auto" w:fill="FFFFFF"/>
        </w:rPr>
        <w:t xml:space="preserve"> magnifications (five fields per section</w:t>
      </w:r>
      <w:r>
        <w:rPr>
          <w:rFonts w:ascii="Arial" w:hAnsi="Arial" w:cs="Arial"/>
          <w:color w:val="000000"/>
          <w:shd w:val="clear" w:color="auto" w:fill="FFFFFF"/>
        </w:rPr>
        <w:t xml:space="preserve">, 2 lesions </w:t>
      </w:r>
      <w:r w:rsidRPr="00B938FE">
        <w:rPr>
          <w:rFonts w:ascii="Arial" w:hAnsi="Arial" w:cs="Arial"/>
          <w:color w:val="000000"/>
          <w:shd w:val="clear" w:color="auto" w:fill="FFFFFF"/>
        </w:rPr>
        <w:t>per mouse). Percentage of Ki67-positive</w:t>
      </w:r>
      <w:r>
        <w:rPr>
          <w:rFonts w:ascii="Arial" w:hAnsi="Arial" w:cs="Arial"/>
          <w:color w:val="000000"/>
          <w:shd w:val="clear" w:color="auto" w:fill="FFFFFF"/>
        </w:rPr>
        <w:t xml:space="preserve"> or cleaved-caspase3-positive</w:t>
      </w:r>
      <w:r w:rsidRPr="00B938FE">
        <w:rPr>
          <w:rFonts w:ascii="Arial" w:hAnsi="Arial" w:cs="Arial"/>
          <w:color w:val="000000"/>
          <w:shd w:val="clear" w:color="auto" w:fill="FFFFFF"/>
        </w:rPr>
        <w:t xml:space="preserve"> cells within the lesion relative to total number of cells within the same region was quantified. Total of five mice per each group were analyzed.</w:t>
      </w:r>
    </w:p>
    <w:p w:rsidR="001A5995" w:rsidRPr="001A5995" w:rsidRDefault="001A5995" w:rsidP="001A5995">
      <w:pPr>
        <w:spacing w:line="480" w:lineRule="auto"/>
        <w:rPr>
          <w:rFonts w:ascii="Arial" w:hAnsi="Arial" w:cs="Arial"/>
          <w:sz w:val="24"/>
          <w:szCs w:val="24"/>
        </w:rPr>
      </w:pPr>
      <w:r w:rsidRPr="001A5995">
        <w:rPr>
          <w:rFonts w:ascii="Arial" w:hAnsi="Arial" w:cs="Arial"/>
          <w:b/>
          <w:sz w:val="24"/>
          <w:szCs w:val="24"/>
        </w:rPr>
        <w:t>Dosing schedule optimization.</w:t>
      </w:r>
      <w:r>
        <w:rPr>
          <w:rFonts w:ascii="Arial" w:hAnsi="Arial" w:cs="Arial"/>
          <w:sz w:val="24"/>
          <w:szCs w:val="24"/>
        </w:rPr>
        <w:t xml:space="preserve"> </w:t>
      </w:r>
      <w:r w:rsidRPr="001A5995">
        <w:rPr>
          <w:rFonts w:ascii="Arial" w:hAnsi="Arial" w:cs="Arial"/>
          <w:sz w:val="24"/>
          <w:szCs w:val="24"/>
        </w:rPr>
        <w:t>LM2-4luc+/H2N (high HER2, high luciferase) tumors were grown in MFP of SCID mice to 250 mm</w:t>
      </w:r>
      <w:r w:rsidRPr="001A5995">
        <w:rPr>
          <w:rFonts w:ascii="Arial" w:hAnsi="Arial" w:cs="Arial"/>
          <w:sz w:val="24"/>
          <w:szCs w:val="24"/>
          <w:vertAlign w:val="superscript"/>
        </w:rPr>
        <w:t>3</w:t>
      </w:r>
      <w:r w:rsidRPr="001A5995">
        <w:rPr>
          <w:rFonts w:ascii="Arial" w:hAnsi="Arial" w:cs="Arial"/>
          <w:sz w:val="24"/>
          <w:szCs w:val="24"/>
        </w:rPr>
        <w:t xml:space="preserve"> prior to treatment. When we </w:t>
      </w:r>
      <w:proofErr w:type="spellStart"/>
      <w:r w:rsidRPr="001A5995">
        <w:rPr>
          <w:rFonts w:ascii="Arial" w:hAnsi="Arial" w:cs="Arial"/>
          <w:sz w:val="24"/>
          <w:szCs w:val="24"/>
        </w:rPr>
        <w:t>i.v.</w:t>
      </w:r>
      <w:proofErr w:type="spellEnd"/>
      <w:r w:rsidRPr="001A5995">
        <w:rPr>
          <w:rFonts w:ascii="Arial" w:hAnsi="Arial" w:cs="Arial"/>
          <w:sz w:val="24"/>
          <w:szCs w:val="24"/>
        </w:rPr>
        <w:t xml:space="preserve"> injected 1.25 mg </w:t>
      </w:r>
      <w:proofErr w:type="spellStart"/>
      <w:r w:rsidRPr="001A5995">
        <w:rPr>
          <w:rFonts w:ascii="Arial" w:hAnsi="Arial" w:cs="Arial"/>
          <w:sz w:val="24"/>
          <w:szCs w:val="24"/>
        </w:rPr>
        <w:t>siLUC</w:t>
      </w:r>
      <w:proofErr w:type="spellEnd"/>
      <w:r w:rsidRPr="001A5995">
        <w:rPr>
          <w:rFonts w:ascii="Arial" w:hAnsi="Arial" w:cs="Arial"/>
          <w:sz w:val="24"/>
          <w:szCs w:val="24"/>
        </w:rPr>
        <w:t xml:space="preserve">/kg on T-NP to the </w:t>
      </w:r>
      <w:r w:rsidRPr="00D86785">
        <w:rPr>
          <w:rFonts w:ascii="Arial" w:hAnsi="Arial" w:cs="Arial"/>
          <w:sz w:val="24"/>
          <w:szCs w:val="24"/>
        </w:rPr>
        <w:t>mice</w:t>
      </w:r>
      <w:r w:rsidR="00DD435C" w:rsidRPr="00D86785">
        <w:rPr>
          <w:rFonts w:ascii="Arial" w:hAnsi="Arial" w:cs="Arial"/>
          <w:sz w:val="24"/>
          <w:szCs w:val="24"/>
        </w:rPr>
        <w:t xml:space="preserve"> (</w:t>
      </w:r>
      <w:r w:rsidR="00D86785" w:rsidRPr="00D86785">
        <w:rPr>
          <w:rFonts w:ascii="Arial" w:hAnsi="Arial" w:cs="Arial"/>
          <w:sz w:val="24"/>
          <w:szCs w:val="24"/>
        </w:rPr>
        <w:t>n = 3</w:t>
      </w:r>
      <w:r w:rsidR="00D86785">
        <w:rPr>
          <w:rFonts w:ascii="Arial" w:hAnsi="Arial" w:cs="Arial"/>
          <w:sz w:val="24"/>
          <w:szCs w:val="24"/>
        </w:rPr>
        <w:t xml:space="preserve"> mice/group</w:t>
      </w:r>
      <w:r w:rsidR="00DD435C" w:rsidRPr="00D86785">
        <w:rPr>
          <w:rFonts w:ascii="Arial" w:hAnsi="Arial" w:cs="Arial"/>
          <w:sz w:val="24"/>
          <w:szCs w:val="24"/>
        </w:rPr>
        <w:t>)</w:t>
      </w:r>
      <w:r w:rsidRPr="00D86785">
        <w:rPr>
          <w:rFonts w:ascii="Arial" w:hAnsi="Arial" w:cs="Arial"/>
          <w:sz w:val="24"/>
          <w:szCs w:val="24"/>
        </w:rPr>
        <w:t xml:space="preserve">, which </w:t>
      </w:r>
      <w:r w:rsidRPr="001A5995">
        <w:rPr>
          <w:rFonts w:ascii="Arial" w:hAnsi="Arial" w:cs="Arial"/>
          <w:sz w:val="24"/>
          <w:szCs w:val="24"/>
        </w:rPr>
        <w:t>was follo</w:t>
      </w:r>
      <w:bookmarkStart w:id="0" w:name="_GoBack"/>
      <w:bookmarkEnd w:id="0"/>
      <w:r w:rsidRPr="001A5995">
        <w:rPr>
          <w:rFonts w:ascii="Arial" w:hAnsi="Arial" w:cs="Arial"/>
          <w:sz w:val="24"/>
          <w:szCs w:val="24"/>
        </w:rPr>
        <w:t xml:space="preserve">wed by monitoring of luciferase levels of the tumors using an in vivo imaging system (IVIS). We found that the knock-down efficacy (vs. </w:t>
      </w:r>
      <w:proofErr w:type="spellStart"/>
      <w:r w:rsidRPr="001A5995">
        <w:rPr>
          <w:rFonts w:ascii="Arial" w:hAnsi="Arial" w:cs="Arial"/>
          <w:sz w:val="24"/>
          <w:szCs w:val="24"/>
        </w:rPr>
        <w:t>siSCR</w:t>
      </w:r>
      <w:proofErr w:type="spellEnd"/>
      <w:r w:rsidRPr="001A5995">
        <w:rPr>
          <w:rFonts w:ascii="Arial" w:hAnsi="Arial" w:cs="Arial"/>
          <w:sz w:val="24"/>
          <w:szCs w:val="24"/>
        </w:rPr>
        <w:t xml:space="preserve"> on T-NP) was 59% (p&lt;0.0001) on day 1, 53% (p&lt;0.05) on day 2, and 51% (p&lt;0.01) on day 3, and was not significant at day 6 (p&lt;0.2). Thus, we picked twice a week dosing schedule for this study. </w:t>
      </w:r>
    </w:p>
    <w:p w:rsidR="001A5995" w:rsidRDefault="001A5995" w:rsidP="002C5F38">
      <w:pPr>
        <w:pStyle w:val="ListParagraph"/>
        <w:spacing w:line="480" w:lineRule="auto"/>
        <w:ind w:left="0"/>
        <w:jc w:val="both"/>
        <w:rPr>
          <w:rFonts w:ascii="Arial" w:hAnsi="Arial" w:cs="Arial"/>
          <w:b/>
          <w:bCs/>
          <w:sz w:val="24"/>
          <w:szCs w:val="24"/>
        </w:rPr>
      </w:pPr>
    </w:p>
    <w:p w:rsidR="002C5F38" w:rsidRPr="002C5F38" w:rsidRDefault="002C5F38" w:rsidP="002C5F38">
      <w:pPr>
        <w:pStyle w:val="ListParagraph"/>
        <w:spacing w:line="480" w:lineRule="auto"/>
        <w:ind w:left="0"/>
        <w:jc w:val="both"/>
        <w:rPr>
          <w:rFonts w:ascii="Arial" w:hAnsi="Arial" w:cs="Arial"/>
          <w:b/>
          <w:bCs/>
          <w:sz w:val="24"/>
          <w:szCs w:val="24"/>
        </w:rPr>
      </w:pPr>
      <w:r w:rsidRPr="002C5F38">
        <w:rPr>
          <w:rFonts w:ascii="Arial" w:hAnsi="Arial" w:cs="Arial"/>
          <w:b/>
          <w:bCs/>
          <w:sz w:val="24"/>
          <w:szCs w:val="24"/>
        </w:rPr>
        <w:t>References</w:t>
      </w:r>
    </w:p>
    <w:p w:rsidR="002C5F38" w:rsidRPr="002C5F38" w:rsidRDefault="002C5F38" w:rsidP="002C5F38">
      <w:pPr>
        <w:pStyle w:val="EndNoteBibliography"/>
        <w:spacing w:after="0"/>
        <w:ind w:left="720" w:hanging="720"/>
        <w:rPr>
          <w:rFonts w:ascii="Arial" w:hAnsi="Arial" w:cs="Arial"/>
          <w:sz w:val="24"/>
          <w:szCs w:val="24"/>
        </w:rPr>
      </w:pPr>
      <w:r w:rsidRPr="002C5F38">
        <w:rPr>
          <w:rFonts w:ascii="Arial" w:hAnsi="Arial" w:cs="Arial"/>
          <w:sz w:val="24"/>
          <w:szCs w:val="24"/>
        </w:rPr>
        <w:fldChar w:fldCharType="begin"/>
      </w:r>
      <w:r w:rsidRPr="002C5F38">
        <w:rPr>
          <w:rFonts w:ascii="Arial" w:hAnsi="Arial" w:cs="Arial"/>
          <w:sz w:val="24"/>
          <w:szCs w:val="24"/>
        </w:rPr>
        <w:instrText xml:space="preserve"> ADDIN EN.REFLIST </w:instrText>
      </w:r>
      <w:r w:rsidRPr="002C5F38">
        <w:rPr>
          <w:rFonts w:ascii="Arial" w:hAnsi="Arial" w:cs="Arial"/>
          <w:sz w:val="24"/>
          <w:szCs w:val="24"/>
        </w:rPr>
        <w:fldChar w:fldCharType="separate"/>
      </w:r>
      <w:r w:rsidRPr="002C5F38">
        <w:rPr>
          <w:rFonts w:ascii="Arial" w:hAnsi="Arial" w:cs="Arial"/>
          <w:sz w:val="24"/>
          <w:szCs w:val="24"/>
        </w:rPr>
        <w:t>1.</w:t>
      </w:r>
      <w:r w:rsidRPr="002C5F38">
        <w:rPr>
          <w:rFonts w:ascii="Arial" w:hAnsi="Arial" w:cs="Arial"/>
          <w:sz w:val="24"/>
          <w:szCs w:val="24"/>
        </w:rPr>
        <w:tab/>
        <w:t xml:space="preserve">Liang CC, Park AY, Guan JL. In vitro scratch assay: a convenient and inexpensive method for analysis of cell migration in vitro. Nat Protoc </w:t>
      </w:r>
      <w:r w:rsidRPr="002C5F38">
        <w:rPr>
          <w:rFonts w:ascii="Arial" w:hAnsi="Arial" w:cs="Arial"/>
          <w:b/>
          <w:sz w:val="24"/>
          <w:szCs w:val="24"/>
        </w:rPr>
        <w:t>2007</w:t>
      </w:r>
      <w:r w:rsidRPr="002C5F38">
        <w:rPr>
          <w:rFonts w:ascii="Arial" w:hAnsi="Arial" w:cs="Arial"/>
          <w:sz w:val="24"/>
          <w:szCs w:val="24"/>
        </w:rPr>
        <w:t>;2(2):329-33 doi 10.1038/nprot.2007.30.</w:t>
      </w:r>
    </w:p>
    <w:p w:rsidR="002C5F38" w:rsidRPr="002C5F38" w:rsidRDefault="002C5F38" w:rsidP="002C5F38">
      <w:pPr>
        <w:pStyle w:val="EndNoteBibliography"/>
        <w:spacing w:after="0"/>
        <w:ind w:left="720" w:hanging="720"/>
        <w:rPr>
          <w:rFonts w:ascii="Arial" w:hAnsi="Arial" w:cs="Arial"/>
          <w:sz w:val="24"/>
          <w:szCs w:val="24"/>
        </w:rPr>
      </w:pPr>
      <w:r w:rsidRPr="002C5F38">
        <w:rPr>
          <w:rFonts w:ascii="Arial" w:hAnsi="Arial" w:cs="Arial"/>
          <w:sz w:val="24"/>
          <w:szCs w:val="24"/>
        </w:rPr>
        <w:t>2.</w:t>
      </w:r>
      <w:r w:rsidRPr="002C5F38">
        <w:rPr>
          <w:rFonts w:ascii="Arial" w:hAnsi="Arial" w:cs="Arial"/>
          <w:sz w:val="24"/>
          <w:szCs w:val="24"/>
        </w:rPr>
        <w:tab/>
        <w:t xml:space="preserve">Bowden ET, Coopman PJ, Mueller SC. Invadopodia: unique methods for measurement of extracellular matrix degradation in vitro. Methods in cell biology </w:t>
      </w:r>
      <w:r w:rsidRPr="002C5F38">
        <w:rPr>
          <w:rFonts w:ascii="Arial" w:hAnsi="Arial" w:cs="Arial"/>
          <w:b/>
          <w:sz w:val="24"/>
          <w:szCs w:val="24"/>
        </w:rPr>
        <w:t>2001</w:t>
      </w:r>
      <w:r w:rsidRPr="002C5F38">
        <w:rPr>
          <w:rFonts w:ascii="Arial" w:hAnsi="Arial" w:cs="Arial"/>
          <w:sz w:val="24"/>
          <w:szCs w:val="24"/>
        </w:rPr>
        <w:t>;63:613-27.</w:t>
      </w:r>
    </w:p>
    <w:p w:rsidR="002C5F38" w:rsidRPr="002C5F38" w:rsidRDefault="002C5F38" w:rsidP="002C5F38">
      <w:pPr>
        <w:pStyle w:val="EndNoteBibliography"/>
        <w:ind w:left="720" w:hanging="720"/>
        <w:rPr>
          <w:rFonts w:ascii="Arial" w:hAnsi="Arial" w:cs="Arial"/>
          <w:sz w:val="24"/>
          <w:szCs w:val="24"/>
        </w:rPr>
      </w:pPr>
      <w:r w:rsidRPr="002C5F38">
        <w:rPr>
          <w:rFonts w:ascii="Arial" w:hAnsi="Arial" w:cs="Arial"/>
          <w:sz w:val="24"/>
          <w:szCs w:val="24"/>
        </w:rPr>
        <w:t>3.</w:t>
      </w:r>
      <w:r w:rsidRPr="002C5F38">
        <w:rPr>
          <w:rFonts w:ascii="Arial" w:hAnsi="Arial" w:cs="Arial"/>
          <w:sz w:val="24"/>
          <w:szCs w:val="24"/>
        </w:rPr>
        <w:tab/>
        <w:t xml:space="preserve">Lee GY, Kenny PA, Lee EH, Bissell MJ. Three-dimensional culture models of normal and malignant breast epithelial cells. Nat Meth </w:t>
      </w:r>
      <w:r w:rsidRPr="002C5F38">
        <w:rPr>
          <w:rFonts w:ascii="Arial" w:hAnsi="Arial" w:cs="Arial"/>
          <w:b/>
          <w:sz w:val="24"/>
          <w:szCs w:val="24"/>
        </w:rPr>
        <w:t>2007</w:t>
      </w:r>
      <w:r w:rsidRPr="002C5F38">
        <w:rPr>
          <w:rFonts w:ascii="Arial" w:hAnsi="Arial" w:cs="Arial"/>
          <w:sz w:val="24"/>
          <w:szCs w:val="24"/>
        </w:rPr>
        <w:t xml:space="preserve">;4(4):359-65 doi </w:t>
      </w:r>
      <w:hyperlink r:id="rId4" w:history="1">
        <w:r w:rsidRPr="002C5F38">
          <w:rPr>
            <w:rStyle w:val="Hyperlink"/>
            <w:rFonts w:ascii="Arial" w:hAnsi="Arial" w:cs="Arial"/>
            <w:sz w:val="24"/>
            <w:szCs w:val="24"/>
          </w:rPr>
          <w:t>http://www.nature.com/nmeth/journal/v4/n4/suppinfo/nmeth1015_S1.html</w:t>
        </w:r>
      </w:hyperlink>
      <w:r w:rsidRPr="002C5F38">
        <w:rPr>
          <w:rFonts w:ascii="Arial" w:hAnsi="Arial" w:cs="Arial"/>
          <w:sz w:val="24"/>
          <w:szCs w:val="24"/>
        </w:rPr>
        <w:t>.</w:t>
      </w:r>
    </w:p>
    <w:p w:rsidR="009611DF" w:rsidRDefault="002C5F38">
      <w:r w:rsidRPr="002C5F38">
        <w:rPr>
          <w:rFonts w:ascii="Arial" w:hAnsi="Arial" w:cs="Arial"/>
          <w:sz w:val="24"/>
          <w:szCs w:val="24"/>
        </w:rPr>
        <w:fldChar w:fldCharType="end"/>
      </w:r>
    </w:p>
    <w:sectPr w:rsidR="009611DF" w:rsidSect="00354EA3">
      <w:pgSz w:w="12240" w:h="15840"/>
      <w:pgMar w:top="1440" w:right="806"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W0NLCwNDc3szQ2MDRU0lEKTi0uzszPAykwrAUARiLhKSwAAAA="/>
    <w:docVar w:name="EN.InstantFormat" w:val="&lt;ENInstantFormat&gt;&lt;Enabled&gt;1&lt;/Enabled&gt;&lt;ScanUnformatted&gt;1&lt;/ScanUnformatted&gt;&lt;ScanChanges&gt;1&lt;/ScanChanges&gt;&lt;Suspended&gt;0&lt;/Suspended&gt;&lt;/ENInstantFormat&gt;"/>
    <w:docVar w:name="EN.Layout" w:val="&lt;ENLayout&gt;&lt;Style&gt;Molecular Cancer Th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efav9rwnz2reles90spasp4e9sttat0vtzz&quot;&gt;home_disser&lt;record-ids&gt;&lt;item&gt;511&lt;/item&gt;&lt;/record-ids&gt;&lt;/item&gt;&lt;/Libraries&gt;"/>
  </w:docVars>
  <w:rsids>
    <w:rsidRoot w:val="00AA1FA5"/>
    <w:rsid w:val="001A5995"/>
    <w:rsid w:val="002C5F38"/>
    <w:rsid w:val="00407F31"/>
    <w:rsid w:val="004B76B5"/>
    <w:rsid w:val="004F3E0E"/>
    <w:rsid w:val="006A080D"/>
    <w:rsid w:val="009611DF"/>
    <w:rsid w:val="00AA1FA5"/>
    <w:rsid w:val="00C516A8"/>
    <w:rsid w:val="00D86785"/>
    <w:rsid w:val="00DB5B59"/>
    <w:rsid w:val="00DD435C"/>
    <w:rsid w:val="00F82C0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DC42C7-710E-431F-BF14-661D00C2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SynopsisTOC">
    <w:name w:val="SN_Synopsis_TOC"/>
    <w:basedOn w:val="Normal"/>
    <w:link w:val="SNSynopsisTOCChar"/>
    <w:rsid w:val="00AA1FA5"/>
    <w:pPr>
      <w:spacing w:line="480" w:lineRule="auto"/>
      <w:jc w:val="both"/>
    </w:pPr>
    <w:rPr>
      <w:rFonts w:ascii="Times" w:eastAsia="Times New Roman" w:hAnsi="Times" w:cs="Times New Roman"/>
      <w:sz w:val="24"/>
      <w:szCs w:val="20"/>
    </w:rPr>
  </w:style>
  <w:style w:type="character" w:customStyle="1" w:styleId="SNSynopsisTOCChar">
    <w:name w:val="SN_Synopsis_TOC Char"/>
    <w:basedOn w:val="DefaultParagraphFont"/>
    <w:link w:val="SNSynopsisTOC"/>
    <w:rsid w:val="00AA1FA5"/>
    <w:rPr>
      <w:rFonts w:ascii="Times" w:eastAsia="Times New Roman" w:hAnsi="Times" w:cs="Times New Roman"/>
      <w:sz w:val="24"/>
      <w:szCs w:val="20"/>
    </w:rPr>
  </w:style>
  <w:style w:type="paragraph" w:styleId="ListParagraph">
    <w:name w:val="List Paragraph"/>
    <w:basedOn w:val="Normal"/>
    <w:link w:val="ListParagraphChar"/>
    <w:uiPriority w:val="34"/>
    <w:qFormat/>
    <w:rsid w:val="00AA1FA5"/>
    <w:pPr>
      <w:ind w:left="720"/>
      <w:contextualSpacing/>
    </w:pPr>
    <w:rPr>
      <w:rFonts w:eastAsiaTheme="minorEastAsia"/>
      <w:lang w:eastAsia="zh-CN"/>
    </w:rPr>
  </w:style>
  <w:style w:type="character" w:customStyle="1" w:styleId="ListParagraphChar">
    <w:name w:val="List Paragraph Char"/>
    <w:basedOn w:val="DefaultParagraphFont"/>
    <w:link w:val="ListParagraph"/>
    <w:uiPriority w:val="34"/>
    <w:rsid w:val="00AA1FA5"/>
    <w:rPr>
      <w:rFonts w:eastAsiaTheme="minorEastAsia"/>
      <w:lang w:eastAsia="zh-CN"/>
    </w:rPr>
  </w:style>
  <w:style w:type="paragraph" w:customStyle="1" w:styleId="EndNoteBibliographyTitle">
    <w:name w:val="EndNote Bibliography Title"/>
    <w:basedOn w:val="Normal"/>
    <w:link w:val="EndNoteBibliographyTitleChar"/>
    <w:rsid w:val="002C5F38"/>
    <w:pPr>
      <w:spacing w:after="0"/>
      <w:jc w:val="center"/>
    </w:pPr>
    <w:rPr>
      <w:rFonts w:ascii="Calibri" w:hAnsi="Calibri"/>
      <w:noProof/>
    </w:rPr>
  </w:style>
  <w:style w:type="character" w:customStyle="1" w:styleId="EndNoteBibliographyTitleChar">
    <w:name w:val="EndNote Bibliography Title Char"/>
    <w:basedOn w:val="SNSynopsisTOCChar"/>
    <w:link w:val="EndNoteBibliographyTitle"/>
    <w:rsid w:val="002C5F38"/>
    <w:rPr>
      <w:rFonts w:ascii="Calibri" w:eastAsia="Times New Roman" w:hAnsi="Calibri" w:cs="Times New Roman"/>
      <w:noProof/>
      <w:sz w:val="24"/>
      <w:szCs w:val="20"/>
    </w:rPr>
  </w:style>
  <w:style w:type="paragraph" w:customStyle="1" w:styleId="EndNoteBibliography">
    <w:name w:val="EndNote Bibliography"/>
    <w:basedOn w:val="Normal"/>
    <w:link w:val="EndNoteBibliographyChar"/>
    <w:rsid w:val="002C5F38"/>
    <w:pPr>
      <w:spacing w:line="240" w:lineRule="auto"/>
    </w:pPr>
    <w:rPr>
      <w:rFonts w:ascii="Calibri" w:hAnsi="Calibri"/>
      <w:noProof/>
    </w:rPr>
  </w:style>
  <w:style w:type="character" w:customStyle="1" w:styleId="EndNoteBibliographyChar">
    <w:name w:val="EndNote Bibliography Char"/>
    <w:basedOn w:val="SNSynopsisTOCChar"/>
    <w:link w:val="EndNoteBibliography"/>
    <w:rsid w:val="002C5F38"/>
    <w:rPr>
      <w:rFonts w:ascii="Calibri" w:eastAsia="Times New Roman" w:hAnsi="Calibri" w:cs="Times New Roman"/>
      <w:noProof/>
      <w:sz w:val="24"/>
      <w:szCs w:val="20"/>
    </w:rPr>
  </w:style>
  <w:style w:type="character" w:styleId="Hyperlink">
    <w:name w:val="Hyperlink"/>
    <w:basedOn w:val="DefaultParagraphFont"/>
    <w:uiPriority w:val="99"/>
    <w:unhideWhenUsed/>
    <w:rsid w:val="002C5F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18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ture.com/nmeth/journal/v4/n4/suppinfo/nmeth1015_S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2111</Words>
  <Characters>12036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14119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Wassana Yantasee</dc:creator>
  <cp:keywords/>
  <dc:description/>
  <cp:lastModifiedBy>Wassana Yantasee</cp:lastModifiedBy>
  <cp:revision>8</cp:revision>
  <dcterms:created xsi:type="dcterms:W3CDTF">2016-12-06T17:55:00Z</dcterms:created>
  <dcterms:modified xsi:type="dcterms:W3CDTF">2016-12-06T19:59:00Z</dcterms:modified>
</cp:coreProperties>
</file>