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523" w:rsidRDefault="00EC2523" w:rsidP="00EC2523">
      <w:pPr>
        <w:rPr>
          <w:rFonts w:eastAsia="Times New Roman"/>
          <w:b/>
          <w:color w:val="auto"/>
        </w:rPr>
      </w:pPr>
      <w:r>
        <w:rPr>
          <w:rFonts w:eastAsia="Times New Roman"/>
          <w:b/>
          <w:color w:val="auto"/>
        </w:rPr>
        <w:t>SUPPLEMENTARY METHODS</w:t>
      </w:r>
    </w:p>
    <w:p w:rsidR="00EC2523" w:rsidRDefault="00EC2523" w:rsidP="00EC2523">
      <w:pPr>
        <w:rPr>
          <w:rFonts w:eastAsia="Times New Roman"/>
          <w:b/>
          <w:color w:val="auto"/>
        </w:rPr>
      </w:pPr>
    </w:p>
    <w:p w:rsidR="00EC2523" w:rsidRPr="00E765CF" w:rsidRDefault="00EC2523" w:rsidP="00EC2523">
      <w:pPr>
        <w:spacing w:line="480" w:lineRule="auto"/>
        <w:jc w:val="both"/>
        <w:rPr>
          <w:i/>
          <w:color w:val="auto"/>
        </w:rPr>
      </w:pPr>
      <w:r w:rsidRPr="00E765CF">
        <w:rPr>
          <w:i/>
          <w:color w:val="auto"/>
        </w:rPr>
        <w:t>Genetic Analysis of NF2 Mutations in Human VS Samples</w:t>
      </w:r>
    </w:p>
    <w:p w:rsidR="00EC2523" w:rsidRDefault="00EC2523" w:rsidP="00EC2523">
      <w:pPr>
        <w:spacing w:line="480" w:lineRule="auto"/>
        <w:jc w:val="both"/>
        <w:rPr>
          <w:color w:val="auto"/>
        </w:rPr>
      </w:pPr>
      <w:r>
        <w:rPr>
          <w:color w:val="auto"/>
        </w:rPr>
        <w:t>T</w:t>
      </w:r>
      <w:r w:rsidRPr="00E765CF">
        <w:rPr>
          <w:color w:val="auto"/>
        </w:rPr>
        <w:t xml:space="preserve">he NF2 MLPA Kit </w:t>
      </w:r>
      <w:r>
        <w:rPr>
          <w:color w:val="auto"/>
        </w:rPr>
        <w:t>(</w:t>
      </w:r>
      <w:r w:rsidRPr="00E765CF">
        <w:rPr>
          <w:color w:val="auto"/>
        </w:rPr>
        <w:t>MRC-</w:t>
      </w:r>
      <w:proofErr w:type="spellStart"/>
      <w:r w:rsidRPr="00E765CF">
        <w:rPr>
          <w:color w:val="auto"/>
        </w:rPr>
        <w:t>Holland</w:t>
      </w:r>
      <w:proofErr w:type="gramStart"/>
      <w:r>
        <w:rPr>
          <w:color w:val="auto"/>
        </w:rPr>
        <w:t>,</w:t>
      </w:r>
      <w:r w:rsidRPr="00E765CF">
        <w:rPr>
          <w:color w:val="auto"/>
        </w:rPr>
        <w:t>Amsterdam</w:t>
      </w:r>
      <w:proofErr w:type="spellEnd"/>
      <w:proofErr w:type="gramEnd"/>
      <w:r w:rsidRPr="00E765CF">
        <w:rPr>
          <w:color w:val="auto"/>
        </w:rPr>
        <w:t>, NL)</w:t>
      </w:r>
      <w:r>
        <w:rPr>
          <w:color w:val="auto"/>
        </w:rPr>
        <w:t xml:space="preserve"> provides a</w:t>
      </w:r>
      <w:r w:rsidRPr="00E765CF">
        <w:rPr>
          <w:color w:val="auto"/>
        </w:rPr>
        <w:t xml:space="preserve"> probe mixture fo</w:t>
      </w:r>
      <w:r>
        <w:rPr>
          <w:color w:val="auto"/>
        </w:rPr>
        <w:t>r 17 NF2 exons,</w:t>
      </w:r>
      <w:r w:rsidRPr="00E765CF">
        <w:rPr>
          <w:color w:val="auto"/>
        </w:rPr>
        <w:t xml:space="preserve"> 11 control fragments from various chromosomes</w:t>
      </w:r>
      <w:r>
        <w:rPr>
          <w:color w:val="auto"/>
        </w:rPr>
        <w:t>,</w:t>
      </w:r>
      <w:r w:rsidRPr="00E765CF">
        <w:rPr>
          <w:color w:val="auto"/>
        </w:rPr>
        <w:t xml:space="preserve"> one control probe specific for a chromosome 1 sequence </w:t>
      </w:r>
      <w:r>
        <w:rPr>
          <w:color w:val="auto"/>
        </w:rPr>
        <w:t>to verify s</w:t>
      </w:r>
      <w:r w:rsidRPr="00E765CF">
        <w:rPr>
          <w:color w:val="auto"/>
        </w:rPr>
        <w:t>uccessful ligation reaction</w:t>
      </w:r>
      <w:r>
        <w:rPr>
          <w:color w:val="auto"/>
        </w:rPr>
        <w:t>,</w:t>
      </w:r>
      <w:r w:rsidRPr="00E765CF">
        <w:rPr>
          <w:color w:val="auto"/>
        </w:rPr>
        <w:t xml:space="preserve"> and four ligation-independent probes for identification of samp</w:t>
      </w:r>
      <w:r>
        <w:rPr>
          <w:color w:val="auto"/>
        </w:rPr>
        <w:t>les with insufficient</w:t>
      </w:r>
      <w:r w:rsidRPr="00E765CF">
        <w:rPr>
          <w:color w:val="auto"/>
        </w:rPr>
        <w:t xml:space="preserve"> DNA. The amplicons were subjected to fragment analysis using capillary electrophoresis. Peak height of the electrophoretic trace was compared to control samples. Deletion regions are reflected as peaks with approximately ½x height or complete absence. Duplication regions are reflecte</w:t>
      </w:r>
      <w:r>
        <w:rPr>
          <w:color w:val="auto"/>
        </w:rPr>
        <w:t>d as peaks with approximately 1</w:t>
      </w:r>
      <w:r w:rsidRPr="00E765CF">
        <w:rPr>
          <w:color w:val="auto"/>
        </w:rPr>
        <w:t>½ to 2x height.</w:t>
      </w:r>
    </w:p>
    <w:p w:rsidR="00F5030B" w:rsidRDefault="00F5030B" w:rsidP="00EC2523">
      <w:pPr>
        <w:spacing w:line="480" w:lineRule="auto"/>
        <w:jc w:val="both"/>
        <w:rPr>
          <w:i/>
          <w:color w:val="auto"/>
        </w:rPr>
      </w:pPr>
      <w:r>
        <w:rPr>
          <w:i/>
          <w:color w:val="auto"/>
        </w:rPr>
        <w:t>Creation of Human MD-SC Lines</w:t>
      </w:r>
    </w:p>
    <w:p w:rsidR="00F5030B" w:rsidRPr="00F5030B" w:rsidRDefault="00F5030B" w:rsidP="00EC2523">
      <w:pPr>
        <w:spacing w:line="480" w:lineRule="auto"/>
        <w:jc w:val="both"/>
        <w:rPr>
          <w:color w:val="auto"/>
        </w:rPr>
      </w:pPr>
      <w:r>
        <w:rPr>
          <w:color w:val="auto"/>
        </w:rPr>
        <w:t xml:space="preserve">Human SC (HSC) were purchased </w:t>
      </w:r>
      <w:r w:rsidR="002D3C90">
        <w:rPr>
          <w:color w:val="auto"/>
        </w:rPr>
        <w:t xml:space="preserve">in 2013 </w:t>
      </w:r>
      <w:r w:rsidR="00A416AD">
        <w:rPr>
          <w:color w:val="auto"/>
        </w:rPr>
        <w:t xml:space="preserve">(Lot # 7228) </w:t>
      </w:r>
      <w:r>
        <w:rPr>
          <w:color w:val="auto"/>
        </w:rPr>
        <w:t xml:space="preserve">from </w:t>
      </w:r>
      <w:proofErr w:type="spellStart"/>
      <w:r>
        <w:rPr>
          <w:color w:val="auto"/>
        </w:rPr>
        <w:t>ScienCell</w:t>
      </w:r>
      <w:proofErr w:type="spellEnd"/>
      <w:r>
        <w:rPr>
          <w:color w:val="auto"/>
        </w:rPr>
        <w:t xml:space="preserve"> Research Laboratories (Carlsbad, CA) and HSC-PW were obtained</w:t>
      </w:r>
      <w:r w:rsidR="002D3C90">
        <w:rPr>
          <w:color w:val="auto"/>
        </w:rPr>
        <w:t xml:space="preserve"> in 2014</w:t>
      </w:r>
      <w:r>
        <w:rPr>
          <w:color w:val="auto"/>
        </w:rPr>
        <w:t xml:space="preserve"> from Dr. Wallace (University of Florida).  </w:t>
      </w:r>
      <w:r w:rsidR="00F05BAE">
        <w:rPr>
          <w:color w:val="auto"/>
        </w:rPr>
        <w:t>Cell lines were</w:t>
      </w:r>
      <w:r w:rsidR="00A66B20">
        <w:rPr>
          <w:color w:val="auto"/>
        </w:rPr>
        <w:t xml:space="preserve"> routinely tested for </w:t>
      </w:r>
      <w:r w:rsidR="00A66B20" w:rsidRPr="00F05BAE">
        <w:rPr>
          <w:i/>
          <w:color w:val="auto"/>
        </w:rPr>
        <w:t>Mycoplasma</w:t>
      </w:r>
      <w:r w:rsidR="00A66B20">
        <w:rPr>
          <w:color w:val="auto"/>
        </w:rPr>
        <w:t xml:space="preserve"> contamination (</w:t>
      </w:r>
      <w:proofErr w:type="spellStart"/>
      <w:r w:rsidR="00A66B20">
        <w:rPr>
          <w:color w:val="auto"/>
        </w:rPr>
        <w:t>LookOut</w:t>
      </w:r>
      <w:proofErr w:type="spellEnd"/>
      <w:r w:rsidR="00A66B20">
        <w:rPr>
          <w:color w:val="auto"/>
        </w:rPr>
        <w:t xml:space="preserve">® </w:t>
      </w:r>
      <w:r w:rsidR="00A66B20" w:rsidRPr="002F41A7">
        <w:rPr>
          <w:i/>
          <w:color w:val="auto"/>
        </w:rPr>
        <w:t>Mycoplasma</w:t>
      </w:r>
      <w:r w:rsidR="00A66B20">
        <w:rPr>
          <w:color w:val="auto"/>
        </w:rPr>
        <w:t xml:space="preserve"> PCR Detection Kit, Sigma</w:t>
      </w:r>
      <w:r w:rsidR="00F05BAE">
        <w:rPr>
          <w:color w:val="auto"/>
        </w:rPr>
        <w:t>)</w:t>
      </w:r>
      <w:r w:rsidR="00A66B20">
        <w:rPr>
          <w:color w:val="auto"/>
        </w:rPr>
        <w:t xml:space="preserve">. </w:t>
      </w:r>
      <w:r>
        <w:rPr>
          <w:color w:val="auto"/>
        </w:rPr>
        <w:t>Lentiviral shRNA purchased from Sigma Mission (</w:t>
      </w:r>
      <w:r w:rsidR="00FC075E" w:rsidRPr="00FC075E">
        <w:rPr>
          <w:color w:val="auto"/>
        </w:rPr>
        <w:t>TRCN0000237845</w:t>
      </w:r>
      <w:r w:rsidR="00FC075E">
        <w:rPr>
          <w:color w:val="auto"/>
        </w:rPr>
        <w:t>,</w:t>
      </w:r>
      <w:r w:rsidR="00FC075E" w:rsidRPr="00FC075E">
        <w:rPr>
          <w:color w:val="auto"/>
        </w:rPr>
        <w:t xml:space="preserve"> </w:t>
      </w:r>
      <w:r w:rsidR="00FC075E">
        <w:rPr>
          <w:color w:val="auto"/>
        </w:rPr>
        <w:t>2014,</w:t>
      </w:r>
      <w:r w:rsidR="00DA4E4B">
        <w:rPr>
          <w:color w:val="auto"/>
        </w:rPr>
        <w:t xml:space="preserve"> </w:t>
      </w:r>
      <w:r>
        <w:rPr>
          <w:color w:val="auto"/>
        </w:rPr>
        <w:t>St. Louis, MO) was used to knock down merlin in each</w:t>
      </w:r>
      <w:bookmarkStart w:id="0" w:name="_GoBack"/>
      <w:bookmarkEnd w:id="0"/>
      <w:r>
        <w:rPr>
          <w:color w:val="auto"/>
        </w:rPr>
        <w:t xml:space="preserve"> of these cell lines as previously published (</w:t>
      </w:r>
      <w:proofErr w:type="spellStart"/>
      <w:r>
        <w:rPr>
          <w:color w:val="auto"/>
        </w:rPr>
        <w:t>Petrilli</w:t>
      </w:r>
      <w:proofErr w:type="spellEnd"/>
      <w:r>
        <w:rPr>
          <w:color w:val="auto"/>
        </w:rPr>
        <w:t xml:space="preserve"> et al 2017).</w:t>
      </w:r>
      <w:r w:rsidR="00A66B20">
        <w:rPr>
          <w:color w:val="auto"/>
        </w:rPr>
        <w:t xml:space="preserve"> All HSC were authenticated as previously published (</w:t>
      </w:r>
      <w:proofErr w:type="spellStart"/>
      <w:r w:rsidR="00A66B20">
        <w:rPr>
          <w:color w:val="auto"/>
        </w:rPr>
        <w:t>Petrilli</w:t>
      </w:r>
      <w:proofErr w:type="spellEnd"/>
      <w:r w:rsidR="00A66B20">
        <w:rPr>
          <w:color w:val="auto"/>
        </w:rPr>
        <w:t xml:space="preserve"> et al 2017).</w:t>
      </w:r>
    </w:p>
    <w:p w:rsidR="00EC2523" w:rsidRDefault="00EC2523" w:rsidP="00EC2523">
      <w:pPr>
        <w:rPr>
          <w:rFonts w:eastAsia="Times New Roman"/>
          <w:b/>
          <w:color w:val="auto"/>
        </w:rPr>
      </w:pPr>
    </w:p>
    <w:p w:rsidR="00EC2523" w:rsidRDefault="00EC2523">
      <w:pPr>
        <w:spacing w:after="160" w:line="259" w:lineRule="auto"/>
        <w:rPr>
          <w:rFonts w:eastAsia="Times New Roman"/>
          <w:b/>
          <w:color w:val="auto"/>
        </w:rPr>
      </w:pPr>
      <w:r>
        <w:rPr>
          <w:rFonts w:eastAsia="Times New Roman"/>
          <w:b/>
          <w:color w:val="auto"/>
        </w:rPr>
        <w:br w:type="page"/>
      </w:r>
    </w:p>
    <w:p w:rsidR="008C5C1A" w:rsidRDefault="008C5C1A" w:rsidP="008C5C1A">
      <w:pPr>
        <w:rPr>
          <w:rFonts w:eastAsia="Times New Roman"/>
          <w:b/>
          <w:color w:val="auto"/>
        </w:rPr>
      </w:pPr>
      <w:r>
        <w:rPr>
          <w:rFonts w:eastAsia="Times New Roman"/>
          <w:b/>
          <w:color w:val="auto"/>
        </w:rPr>
        <w:lastRenderedPageBreak/>
        <w:t>SUPPLEMENTARY FIGURES</w:t>
      </w:r>
    </w:p>
    <w:p w:rsidR="008C5C1A" w:rsidRDefault="008C5C1A" w:rsidP="008C5C1A">
      <w:pPr>
        <w:jc w:val="both"/>
        <w:rPr>
          <w:rFonts w:eastAsia="Times New Roman"/>
          <w:b/>
          <w:color w:val="auto"/>
        </w:rPr>
      </w:pPr>
    </w:p>
    <w:p w:rsidR="008C5C1A" w:rsidRDefault="008C5C1A" w:rsidP="008C5C1A">
      <w:pPr>
        <w:jc w:val="both"/>
        <w:rPr>
          <w:rFonts w:eastAsia="Times New Roman"/>
          <w:b/>
          <w:color w:val="auto"/>
        </w:rPr>
      </w:pPr>
      <w:r>
        <w:rPr>
          <w:rFonts w:eastAsia="Times New Roman"/>
          <w:b/>
          <w:color w:val="auto"/>
        </w:rPr>
        <w:t xml:space="preserve">Supplementary Figure </w:t>
      </w:r>
      <w:r w:rsidR="00FC2BAF">
        <w:rPr>
          <w:rFonts w:eastAsia="Times New Roman"/>
          <w:b/>
          <w:color w:val="auto"/>
        </w:rPr>
        <w:t>S</w:t>
      </w:r>
      <w:r>
        <w:rPr>
          <w:rFonts w:eastAsia="Times New Roman"/>
          <w:b/>
          <w:color w:val="auto"/>
        </w:rPr>
        <w:t>1</w:t>
      </w:r>
    </w:p>
    <w:p w:rsidR="008C5C1A" w:rsidRDefault="008C5C1A" w:rsidP="008C5C1A">
      <w:pPr>
        <w:jc w:val="both"/>
        <w:rPr>
          <w:rFonts w:eastAsia="Times New Roman"/>
          <w:b/>
          <w:color w:val="auto"/>
        </w:rPr>
      </w:pPr>
      <w:r w:rsidRPr="00BB1030">
        <w:rPr>
          <w:rFonts w:eastAsia="Times New Roman"/>
          <w:b/>
          <w:noProof/>
          <w:color w:val="auto"/>
          <w:lang w:eastAsia="en-US"/>
        </w:rPr>
        <w:drawing>
          <wp:inline distT="0" distB="0" distL="0" distR="0" wp14:anchorId="7849E446" wp14:editId="45C74305">
            <wp:extent cx="5905500" cy="328324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pp Fig 1_c-Met inhib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1053" cy="3297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C1A" w:rsidRDefault="008C5C1A" w:rsidP="008C5C1A">
      <w:pPr>
        <w:jc w:val="both"/>
        <w:rPr>
          <w:rFonts w:eastAsia="Times New Roman"/>
          <w:b/>
          <w:color w:val="auto"/>
        </w:rPr>
      </w:pPr>
    </w:p>
    <w:p w:rsidR="008C5C1A" w:rsidRPr="00BB1030" w:rsidRDefault="008C5C1A" w:rsidP="008C5C1A">
      <w:pPr>
        <w:spacing w:line="480" w:lineRule="auto"/>
        <w:jc w:val="both"/>
        <w:rPr>
          <w:rFonts w:eastAsia="Times New Roman"/>
          <w:color w:val="auto"/>
        </w:rPr>
      </w:pPr>
      <w:r>
        <w:rPr>
          <w:rFonts w:eastAsia="Times New Roman"/>
          <w:b/>
          <w:color w:val="auto"/>
        </w:rPr>
        <w:t xml:space="preserve">Supplementary Figure </w:t>
      </w:r>
      <w:r w:rsidR="00FC2BAF">
        <w:rPr>
          <w:rFonts w:eastAsia="Times New Roman"/>
          <w:b/>
          <w:color w:val="auto"/>
        </w:rPr>
        <w:t>S</w:t>
      </w:r>
      <w:r>
        <w:rPr>
          <w:rFonts w:eastAsia="Times New Roman"/>
          <w:b/>
          <w:color w:val="auto"/>
        </w:rPr>
        <w:t xml:space="preserve">1. C-Met inhibitors selectively reduce MD-MSC numbers. </w:t>
      </w:r>
      <w:r>
        <w:rPr>
          <w:rFonts w:eastAsia="Times New Roman"/>
          <w:color w:val="auto"/>
        </w:rPr>
        <w:t xml:space="preserve">MD-MSCs were grown in 384-well plates and treated with increasing concentrations of the indicated c-Met inhibitors for 48 hours. Cell numbers were measured by </w:t>
      </w:r>
      <w:proofErr w:type="spellStart"/>
      <w:r>
        <w:rPr>
          <w:rFonts w:eastAsia="Times New Roman"/>
          <w:color w:val="auto"/>
        </w:rPr>
        <w:t>Hoescht</w:t>
      </w:r>
      <w:proofErr w:type="spellEnd"/>
      <w:r>
        <w:rPr>
          <w:rFonts w:eastAsia="Times New Roman"/>
          <w:color w:val="auto"/>
        </w:rPr>
        <w:t xml:space="preserve"> staining and reported as a percentage of the DMSO control.</w:t>
      </w:r>
    </w:p>
    <w:p w:rsidR="008C5C1A" w:rsidRDefault="008C5C1A" w:rsidP="008C5C1A">
      <w:pPr>
        <w:jc w:val="both"/>
        <w:rPr>
          <w:rFonts w:eastAsia="Times New Roman"/>
          <w:b/>
          <w:color w:val="auto"/>
        </w:rPr>
      </w:pPr>
    </w:p>
    <w:p w:rsidR="008C5C1A" w:rsidRDefault="008C5C1A" w:rsidP="008C5C1A">
      <w:pPr>
        <w:jc w:val="both"/>
        <w:rPr>
          <w:rFonts w:eastAsia="Times New Roman"/>
          <w:b/>
          <w:color w:val="auto"/>
        </w:rPr>
      </w:pPr>
    </w:p>
    <w:p w:rsidR="008C5C1A" w:rsidRDefault="008C5C1A" w:rsidP="008C5C1A">
      <w:pPr>
        <w:jc w:val="both"/>
        <w:rPr>
          <w:rFonts w:eastAsia="Times New Roman"/>
          <w:b/>
          <w:color w:val="auto"/>
        </w:rPr>
      </w:pPr>
    </w:p>
    <w:p w:rsidR="008C5C1A" w:rsidRDefault="008C5C1A" w:rsidP="008C5C1A">
      <w:pPr>
        <w:jc w:val="both"/>
        <w:rPr>
          <w:rFonts w:eastAsia="Times New Roman"/>
          <w:b/>
          <w:color w:val="auto"/>
        </w:rPr>
      </w:pPr>
    </w:p>
    <w:p w:rsidR="008C5C1A" w:rsidRDefault="008C5C1A" w:rsidP="008C5C1A">
      <w:pPr>
        <w:jc w:val="both"/>
        <w:rPr>
          <w:rFonts w:eastAsia="Times New Roman"/>
          <w:b/>
          <w:color w:val="auto"/>
        </w:rPr>
      </w:pPr>
    </w:p>
    <w:p w:rsidR="008C5C1A" w:rsidRDefault="008C5C1A" w:rsidP="008C5C1A">
      <w:pPr>
        <w:jc w:val="both"/>
        <w:rPr>
          <w:rFonts w:eastAsia="Times New Roman"/>
          <w:b/>
          <w:color w:val="auto"/>
        </w:rPr>
      </w:pPr>
    </w:p>
    <w:p w:rsidR="008C5C1A" w:rsidRDefault="008C5C1A" w:rsidP="008C5C1A">
      <w:pPr>
        <w:jc w:val="both"/>
        <w:rPr>
          <w:rFonts w:eastAsia="Times New Roman"/>
          <w:b/>
          <w:color w:val="auto"/>
        </w:rPr>
      </w:pPr>
    </w:p>
    <w:p w:rsidR="008C5C1A" w:rsidRDefault="008C5C1A" w:rsidP="008C5C1A">
      <w:pPr>
        <w:jc w:val="both"/>
        <w:rPr>
          <w:rFonts w:eastAsia="Times New Roman"/>
          <w:b/>
          <w:color w:val="auto"/>
        </w:rPr>
      </w:pPr>
    </w:p>
    <w:p w:rsidR="008C5C1A" w:rsidRDefault="008C5C1A" w:rsidP="008C5C1A">
      <w:pPr>
        <w:jc w:val="both"/>
        <w:rPr>
          <w:rFonts w:eastAsia="Times New Roman"/>
          <w:b/>
          <w:color w:val="auto"/>
        </w:rPr>
      </w:pPr>
    </w:p>
    <w:p w:rsidR="008C5C1A" w:rsidRDefault="008C5C1A" w:rsidP="008C5C1A">
      <w:pPr>
        <w:jc w:val="both"/>
        <w:rPr>
          <w:rFonts w:eastAsia="Times New Roman"/>
          <w:b/>
          <w:color w:val="auto"/>
        </w:rPr>
      </w:pPr>
    </w:p>
    <w:p w:rsidR="008C5C1A" w:rsidRDefault="008C5C1A" w:rsidP="008C5C1A">
      <w:pPr>
        <w:jc w:val="both"/>
        <w:rPr>
          <w:rFonts w:eastAsia="Times New Roman"/>
          <w:b/>
          <w:color w:val="auto"/>
        </w:rPr>
      </w:pPr>
    </w:p>
    <w:p w:rsidR="008C5C1A" w:rsidRDefault="008C5C1A" w:rsidP="008C5C1A">
      <w:pPr>
        <w:jc w:val="both"/>
        <w:rPr>
          <w:rFonts w:eastAsia="Times New Roman"/>
          <w:b/>
          <w:color w:val="auto"/>
        </w:rPr>
      </w:pPr>
    </w:p>
    <w:p w:rsidR="008C5C1A" w:rsidRDefault="008C5C1A" w:rsidP="008C5C1A">
      <w:pPr>
        <w:jc w:val="both"/>
        <w:rPr>
          <w:rFonts w:eastAsia="Times New Roman"/>
          <w:b/>
          <w:color w:val="auto"/>
        </w:rPr>
      </w:pPr>
    </w:p>
    <w:p w:rsidR="008C5C1A" w:rsidRDefault="008C5C1A" w:rsidP="008C5C1A">
      <w:pPr>
        <w:jc w:val="both"/>
        <w:rPr>
          <w:rFonts w:eastAsia="Times New Roman"/>
          <w:b/>
          <w:color w:val="auto"/>
        </w:rPr>
      </w:pPr>
    </w:p>
    <w:p w:rsidR="008C5C1A" w:rsidRDefault="008C5C1A" w:rsidP="008C5C1A">
      <w:pPr>
        <w:jc w:val="both"/>
        <w:rPr>
          <w:rFonts w:eastAsia="Times New Roman"/>
          <w:b/>
          <w:color w:val="auto"/>
        </w:rPr>
      </w:pPr>
    </w:p>
    <w:p w:rsidR="002136B6" w:rsidRDefault="008C5C1A" w:rsidP="008F3FA5">
      <w:pPr>
        <w:rPr>
          <w:rFonts w:eastAsia="Times New Roman"/>
          <w:b/>
          <w:color w:val="auto"/>
        </w:rPr>
      </w:pPr>
      <w:r>
        <w:rPr>
          <w:rFonts w:eastAsia="Times New Roman"/>
          <w:b/>
          <w:color w:val="auto"/>
        </w:rPr>
        <w:br w:type="page"/>
      </w:r>
    </w:p>
    <w:p w:rsidR="002136B6" w:rsidRDefault="002136B6" w:rsidP="008C5C1A">
      <w:pPr>
        <w:rPr>
          <w:rFonts w:eastAsia="Times New Roman"/>
          <w:b/>
          <w:color w:val="auto"/>
        </w:rPr>
      </w:pPr>
      <w:r>
        <w:rPr>
          <w:rFonts w:eastAsia="Times New Roman"/>
          <w:b/>
          <w:color w:val="auto"/>
        </w:rPr>
        <w:lastRenderedPageBreak/>
        <w:t>S</w:t>
      </w:r>
      <w:r w:rsidR="008F3FA5">
        <w:rPr>
          <w:rFonts w:eastAsia="Times New Roman"/>
          <w:b/>
          <w:color w:val="auto"/>
        </w:rPr>
        <w:t xml:space="preserve">upplementary Figure </w:t>
      </w:r>
      <w:r w:rsidR="00FC2BAF">
        <w:rPr>
          <w:rFonts w:eastAsia="Times New Roman"/>
          <w:b/>
          <w:color w:val="auto"/>
        </w:rPr>
        <w:t>S</w:t>
      </w:r>
      <w:r w:rsidR="008F3FA5">
        <w:rPr>
          <w:rFonts w:eastAsia="Times New Roman"/>
          <w:b/>
          <w:color w:val="auto"/>
        </w:rPr>
        <w:t>2</w:t>
      </w:r>
    </w:p>
    <w:p w:rsidR="008C5C1A" w:rsidRDefault="008C5C1A" w:rsidP="008C5C1A">
      <w:pPr>
        <w:jc w:val="both"/>
        <w:rPr>
          <w:rFonts w:eastAsia="Times New Roman"/>
          <w:b/>
          <w:color w:val="auto"/>
        </w:rPr>
      </w:pPr>
      <w:r w:rsidRPr="00BB1030">
        <w:rPr>
          <w:rFonts w:eastAsia="Times New Roman"/>
          <w:b/>
          <w:noProof/>
          <w:color w:val="auto"/>
          <w:lang w:eastAsia="en-US"/>
        </w:rPr>
        <w:drawing>
          <wp:inline distT="0" distB="0" distL="0" distR="0" wp14:anchorId="0862FEBF" wp14:editId="58D39663">
            <wp:extent cx="5969826" cy="600464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upplementary Fig 3_Tumor pics_0206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826" cy="6004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5C1A" w:rsidRDefault="008C5C1A" w:rsidP="008C5C1A">
      <w:pPr>
        <w:jc w:val="both"/>
        <w:rPr>
          <w:rFonts w:eastAsia="Times New Roman"/>
          <w:b/>
          <w:color w:val="auto"/>
        </w:rPr>
      </w:pPr>
    </w:p>
    <w:p w:rsidR="008C5C1A" w:rsidRDefault="008C5C1A" w:rsidP="008C5C1A">
      <w:pPr>
        <w:spacing w:line="480" w:lineRule="auto"/>
        <w:jc w:val="both"/>
        <w:rPr>
          <w:rFonts w:eastAsia="Times New Roman"/>
          <w:bCs/>
          <w:color w:val="auto"/>
        </w:rPr>
      </w:pPr>
      <w:r>
        <w:rPr>
          <w:rFonts w:eastAsia="Times New Roman"/>
          <w:b/>
          <w:bCs/>
          <w:color w:val="auto"/>
        </w:rPr>
        <w:t xml:space="preserve">Supplementary Figure </w:t>
      </w:r>
      <w:r w:rsidR="00FC2BAF">
        <w:rPr>
          <w:rFonts w:eastAsia="Times New Roman"/>
          <w:b/>
          <w:bCs/>
          <w:color w:val="auto"/>
        </w:rPr>
        <w:t>S</w:t>
      </w:r>
      <w:r w:rsidR="008F3FA5">
        <w:rPr>
          <w:rFonts w:eastAsia="Times New Roman"/>
          <w:b/>
          <w:bCs/>
          <w:color w:val="auto"/>
        </w:rPr>
        <w:t>2</w:t>
      </w:r>
      <w:r w:rsidRPr="00211AE2">
        <w:rPr>
          <w:rFonts w:eastAsia="Times New Roman"/>
          <w:b/>
          <w:bCs/>
          <w:color w:val="auto"/>
        </w:rPr>
        <w:t xml:space="preserve">. </w:t>
      </w:r>
      <w:r>
        <w:rPr>
          <w:rFonts w:eastAsia="Times New Roman"/>
          <w:b/>
          <w:bCs/>
          <w:color w:val="auto"/>
        </w:rPr>
        <w:t>MD-MSCs a</w:t>
      </w:r>
      <w:r w:rsidRPr="00211AE2">
        <w:rPr>
          <w:rFonts w:eastAsia="Times New Roman"/>
          <w:b/>
          <w:bCs/>
          <w:color w:val="auto"/>
        </w:rPr>
        <w:t xml:space="preserve">llografts </w:t>
      </w:r>
      <w:r>
        <w:rPr>
          <w:rFonts w:eastAsia="Times New Roman"/>
          <w:b/>
          <w:bCs/>
          <w:color w:val="auto"/>
        </w:rPr>
        <w:t xml:space="preserve">prior to and after </w:t>
      </w:r>
      <w:r w:rsidRPr="00211AE2">
        <w:rPr>
          <w:rFonts w:eastAsia="Times New Roman"/>
          <w:b/>
          <w:bCs/>
          <w:color w:val="auto"/>
        </w:rPr>
        <w:t xml:space="preserve">2 </w:t>
      </w:r>
      <w:r>
        <w:rPr>
          <w:rFonts w:eastAsia="Times New Roman"/>
          <w:b/>
          <w:bCs/>
          <w:color w:val="auto"/>
        </w:rPr>
        <w:t>weeks of t</w:t>
      </w:r>
      <w:r w:rsidRPr="00211AE2">
        <w:rPr>
          <w:rFonts w:eastAsia="Times New Roman"/>
          <w:b/>
          <w:bCs/>
          <w:color w:val="auto"/>
        </w:rPr>
        <w:t>reatment</w:t>
      </w:r>
      <w:r>
        <w:rPr>
          <w:rFonts w:eastAsia="Times New Roman"/>
          <w:b/>
          <w:bCs/>
          <w:color w:val="auto"/>
        </w:rPr>
        <w:t xml:space="preserve"> in NSG mice</w:t>
      </w:r>
      <w:r w:rsidRPr="00211AE2">
        <w:rPr>
          <w:rFonts w:eastAsia="Times New Roman"/>
          <w:b/>
          <w:bCs/>
          <w:color w:val="auto"/>
        </w:rPr>
        <w:t xml:space="preserve">. </w:t>
      </w:r>
      <w:r>
        <w:rPr>
          <w:rFonts w:eastAsia="Times New Roman"/>
          <w:bCs/>
          <w:color w:val="auto"/>
        </w:rPr>
        <w:t xml:space="preserve">A) BL images show graft establishment on Day 0 of treatment for each mouse studied. B) </w:t>
      </w:r>
      <w:r>
        <w:rPr>
          <w:rFonts w:eastAsia="Times New Roman"/>
          <w:color w:val="auto"/>
        </w:rPr>
        <w:t>Images</w:t>
      </w:r>
      <w:r w:rsidRPr="00C131A0">
        <w:rPr>
          <w:rFonts w:eastAsia="Times New Roman"/>
          <w:color w:val="auto"/>
        </w:rPr>
        <w:t xml:space="preserve"> of </w:t>
      </w:r>
      <w:r>
        <w:rPr>
          <w:rFonts w:eastAsia="Times New Roman"/>
          <w:color w:val="auto"/>
        </w:rPr>
        <w:t xml:space="preserve">allografts </w:t>
      </w:r>
      <w:r w:rsidRPr="00C131A0">
        <w:rPr>
          <w:rFonts w:eastAsia="Times New Roman"/>
          <w:color w:val="auto"/>
        </w:rPr>
        <w:t>removed from mice</w:t>
      </w:r>
      <w:r>
        <w:rPr>
          <w:rFonts w:eastAsia="Times New Roman"/>
          <w:color w:val="auto"/>
        </w:rPr>
        <w:t xml:space="preserve"> after 14 days of treatment</w:t>
      </w:r>
      <w:r w:rsidRPr="00C131A0">
        <w:rPr>
          <w:rFonts w:eastAsia="Times New Roman"/>
          <w:color w:val="auto"/>
        </w:rPr>
        <w:t xml:space="preserve"> show smaller </w:t>
      </w:r>
      <w:r>
        <w:rPr>
          <w:rFonts w:eastAsia="Times New Roman"/>
          <w:color w:val="auto"/>
        </w:rPr>
        <w:t>grafts in those treated with the drug combination</w:t>
      </w:r>
      <w:r w:rsidRPr="00C131A0">
        <w:rPr>
          <w:rFonts w:eastAsia="Times New Roman"/>
          <w:color w:val="auto"/>
        </w:rPr>
        <w:t xml:space="preserve"> compared to vehicle</w:t>
      </w:r>
      <w:r>
        <w:rPr>
          <w:rFonts w:eastAsia="Times New Roman"/>
          <w:color w:val="auto"/>
        </w:rPr>
        <w:t>-treated mice</w:t>
      </w:r>
      <w:r w:rsidRPr="00C131A0">
        <w:rPr>
          <w:rFonts w:eastAsia="Times New Roman"/>
          <w:color w:val="auto"/>
        </w:rPr>
        <w:t>.</w:t>
      </w:r>
    </w:p>
    <w:p w:rsidR="008C5C1A" w:rsidRDefault="008C5C1A" w:rsidP="008C5C1A">
      <w:pPr>
        <w:spacing w:line="480" w:lineRule="auto"/>
        <w:jc w:val="both"/>
        <w:rPr>
          <w:rFonts w:eastAsia="Times New Roman"/>
          <w:b/>
          <w:color w:val="auto"/>
        </w:rPr>
      </w:pPr>
    </w:p>
    <w:p w:rsidR="008C5C1A" w:rsidRDefault="008C5C1A" w:rsidP="002136B6">
      <w:pPr>
        <w:rPr>
          <w:rFonts w:eastAsia="Times New Roman"/>
          <w:b/>
          <w:bCs/>
          <w:color w:val="auto"/>
        </w:rPr>
      </w:pPr>
      <w:r>
        <w:rPr>
          <w:rFonts w:eastAsia="Times New Roman"/>
          <w:b/>
          <w:color w:val="auto"/>
        </w:rPr>
        <w:br w:type="page"/>
      </w:r>
      <w:r w:rsidR="008F3FA5">
        <w:rPr>
          <w:rFonts w:eastAsia="Times New Roman"/>
          <w:b/>
          <w:bCs/>
          <w:color w:val="auto"/>
        </w:rPr>
        <w:lastRenderedPageBreak/>
        <w:t xml:space="preserve">Supplementary Figure </w:t>
      </w:r>
      <w:r w:rsidR="00FC2BAF">
        <w:rPr>
          <w:rFonts w:eastAsia="Times New Roman"/>
          <w:b/>
          <w:bCs/>
          <w:color w:val="auto"/>
        </w:rPr>
        <w:t>S</w:t>
      </w:r>
      <w:r w:rsidR="008F3FA5">
        <w:rPr>
          <w:rFonts w:eastAsia="Times New Roman"/>
          <w:b/>
          <w:bCs/>
          <w:color w:val="auto"/>
        </w:rPr>
        <w:t>3</w:t>
      </w:r>
    </w:p>
    <w:p w:rsidR="008C5C1A" w:rsidRPr="005F605A" w:rsidRDefault="008C5C1A" w:rsidP="008C5C1A">
      <w:pPr>
        <w:spacing w:line="480" w:lineRule="auto"/>
        <w:jc w:val="both"/>
        <w:rPr>
          <w:rFonts w:eastAsia="Times New Roman"/>
          <w:b/>
          <w:bCs/>
          <w:color w:val="auto"/>
        </w:rPr>
      </w:pPr>
      <w:r>
        <w:rPr>
          <w:rFonts w:eastAsia="Times New Roman"/>
          <w:b/>
          <w:bCs/>
          <w:noProof/>
          <w:color w:val="auto"/>
          <w:lang w:eastAsia="en-US"/>
        </w:rPr>
        <w:drawing>
          <wp:inline distT="0" distB="0" distL="0" distR="0" wp14:anchorId="4F0C893A" wp14:editId="2EF94306">
            <wp:extent cx="3888113" cy="2514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upplementary Fig 4_Fas expression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5" t="23149" r="50256" b="33023"/>
                    <a:stretch/>
                  </pic:blipFill>
                  <pic:spPr bwMode="auto">
                    <a:xfrm>
                      <a:off x="0" y="0"/>
                      <a:ext cx="3919200" cy="2534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4CE1" w:rsidRDefault="008F3FA5" w:rsidP="008C5C1A">
      <w:pPr>
        <w:spacing w:line="480" w:lineRule="auto"/>
        <w:jc w:val="both"/>
        <w:rPr>
          <w:rFonts w:eastAsia="Times New Roman"/>
          <w:color w:val="auto"/>
        </w:rPr>
      </w:pPr>
      <w:r>
        <w:rPr>
          <w:rFonts w:eastAsia="Times New Roman"/>
          <w:b/>
          <w:color w:val="auto"/>
        </w:rPr>
        <w:t xml:space="preserve">Supplementary Figure </w:t>
      </w:r>
      <w:r w:rsidR="00FC2BAF">
        <w:rPr>
          <w:rFonts w:eastAsia="Times New Roman"/>
          <w:b/>
          <w:color w:val="auto"/>
        </w:rPr>
        <w:t>S</w:t>
      </w:r>
      <w:r>
        <w:rPr>
          <w:rFonts w:eastAsia="Times New Roman"/>
          <w:b/>
          <w:color w:val="auto"/>
        </w:rPr>
        <w:t>3</w:t>
      </w:r>
      <w:r w:rsidR="008C5C1A">
        <w:rPr>
          <w:rFonts w:eastAsia="Times New Roman"/>
          <w:b/>
          <w:color w:val="auto"/>
        </w:rPr>
        <w:t xml:space="preserve">. MD-MSC express higher basal levels of </w:t>
      </w:r>
      <w:proofErr w:type="spellStart"/>
      <w:r w:rsidR="008C5C1A">
        <w:rPr>
          <w:rFonts w:eastAsia="Times New Roman"/>
          <w:b/>
          <w:color w:val="auto"/>
        </w:rPr>
        <w:t>Fas</w:t>
      </w:r>
      <w:proofErr w:type="spellEnd"/>
      <w:r w:rsidR="008C5C1A">
        <w:rPr>
          <w:rFonts w:eastAsia="Times New Roman"/>
          <w:b/>
          <w:color w:val="auto"/>
        </w:rPr>
        <w:t xml:space="preserve"> receptor than WT-MSC. </w:t>
      </w:r>
      <w:r w:rsidR="008C5C1A">
        <w:rPr>
          <w:rFonts w:eastAsia="Times New Roman"/>
          <w:color w:val="auto"/>
        </w:rPr>
        <w:t xml:space="preserve"> A representative Western blot shows higher basal expression of </w:t>
      </w:r>
      <w:proofErr w:type="spellStart"/>
      <w:r w:rsidR="008C5C1A">
        <w:rPr>
          <w:rFonts w:eastAsia="Times New Roman"/>
          <w:color w:val="auto"/>
        </w:rPr>
        <w:t>Fas</w:t>
      </w:r>
      <w:proofErr w:type="spellEnd"/>
      <w:r w:rsidR="008C5C1A">
        <w:rPr>
          <w:rFonts w:eastAsia="Times New Roman"/>
          <w:color w:val="auto"/>
        </w:rPr>
        <w:t xml:space="preserve"> in MD-MSC compared to WT-MSC, with </w:t>
      </w:r>
      <w:r w:rsidR="008C5C1A" w:rsidRPr="00A05712">
        <w:rPr>
          <w:rFonts w:ascii="Symbol" w:eastAsia="Times New Roman" w:hAnsi="Symbol"/>
          <w:color w:val="auto"/>
        </w:rPr>
        <w:t></w:t>
      </w:r>
      <w:r w:rsidR="008C5C1A">
        <w:rPr>
          <w:rFonts w:eastAsia="Times New Roman"/>
          <w:color w:val="auto"/>
        </w:rPr>
        <w:t xml:space="preserve">-actin as a control for equal protein loading (n=2 separate extracts per cell type).  </w:t>
      </w:r>
    </w:p>
    <w:p w:rsidR="008F3FA5" w:rsidRDefault="008F3FA5">
      <w:pPr>
        <w:spacing w:after="160" w:line="259" w:lineRule="auto"/>
        <w:rPr>
          <w:rFonts w:eastAsia="Times New Roman"/>
          <w:b/>
          <w:color w:val="auto"/>
        </w:rPr>
      </w:pPr>
      <w:r>
        <w:rPr>
          <w:rFonts w:eastAsia="Times New Roman"/>
          <w:b/>
          <w:color w:val="auto"/>
        </w:rPr>
        <w:br w:type="page"/>
      </w:r>
    </w:p>
    <w:p w:rsidR="008F3FA5" w:rsidRDefault="008F3FA5" w:rsidP="008F3FA5">
      <w:pPr>
        <w:rPr>
          <w:rFonts w:eastAsia="Times New Roman"/>
          <w:b/>
          <w:color w:val="auto"/>
        </w:rPr>
      </w:pPr>
      <w:r>
        <w:rPr>
          <w:rFonts w:eastAsia="Times New Roman"/>
          <w:b/>
          <w:color w:val="auto"/>
        </w:rPr>
        <w:lastRenderedPageBreak/>
        <w:t xml:space="preserve">Supplementary Figure </w:t>
      </w:r>
      <w:r w:rsidR="00FC2BAF">
        <w:rPr>
          <w:rFonts w:eastAsia="Times New Roman"/>
          <w:b/>
          <w:color w:val="auto"/>
        </w:rPr>
        <w:t>S</w:t>
      </w:r>
      <w:r>
        <w:rPr>
          <w:rFonts w:eastAsia="Times New Roman"/>
          <w:b/>
          <w:color w:val="auto"/>
        </w:rPr>
        <w:t>4</w:t>
      </w:r>
    </w:p>
    <w:p w:rsidR="008F3FA5" w:rsidRDefault="008F3FA5" w:rsidP="008F3FA5">
      <w:pPr>
        <w:spacing w:after="160" w:line="259" w:lineRule="auto"/>
        <w:rPr>
          <w:rFonts w:eastAsia="Times New Roman"/>
          <w:b/>
          <w:color w:val="auto"/>
        </w:rPr>
      </w:pPr>
      <w:r>
        <w:rPr>
          <w:rFonts w:eastAsia="Times New Roman"/>
          <w:b/>
          <w:noProof/>
          <w:color w:val="auto"/>
          <w:lang w:eastAsia="en-US"/>
        </w:rPr>
        <w:drawing>
          <wp:inline distT="0" distB="0" distL="0" distR="0" wp14:anchorId="3607F028" wp14:editId="6994F64F">
            <wp:extent cx="4758241" cy="6060268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 Fig 2_drugs in human cells_resub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8241" cy="6060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C57" w:rsidRDefault="008F3FA5" w:rsidP="008F3FA5">
      <w:pPr>
        <w:spacing w:after="160" w:line="480" w:lineRule="auto"/>
      </w:pPr>
      <w:r>
        <w:rPr>
          <w:rFonts w:eastAsia="Times New Roman"/>
          <w:b/>
          <w:color w:val="auto"/>
        </w:rPr>
        <w:t xml:space="preserve">Supplementary Figure </w:t>
      </w:r>
      <w:r w:rsidR="00FC2BAF">
        <w:rPr>
          <w:rFonts w:eastAsia="Times New Roman"/>
          <w:b/>
          <w:color w:val="auto"/>
        </w:rPr>
        <w:t>S</w:t>
      </w:r>
      <w:r>
        <w:rPr>
          <w:rFonts w:eastAsia="Times New Roman"/>
          <w:b/>
          <w:color w:val="auto"/>
        </w:rPr>
        <w:t xml:space="preserve">4. </w:t>
      </w:r>
      <w:proofErr w:type="spellStart"/>
      <w:r>
        <w:rPr>
          <w:rFonts w:eastAsia="Times New Roman"/>
          <w:b/>
          <w:color w:val="auto"/>
        </w:rPr>
        <w:t>Src</w:t>
      </w:r>
      <w:proofErr w:type="spellEnd"/>
      <w:r>
        <w:rPr>
          <w:rFonts w:eastAsia="Times New Roman"/>
          <w:b/>
          <w:color w:val="auto"/>
        </w:rPr>
        <w:t xml:space="preserve"> and c-Met inhibition reduces viability of human SCs. </w:t>
      </w:r>
      <w:r>
        <w:rPr>
          <w:rFonts w:eastAsia="Times New Roman"/>
          <w:color w:val="auto"/>
        </w:rPr>
        <w:t xml:space="preserve">A) Combined inhibition of </w:t>
      </w:r>
      <w:proofErr w:type="spellStart"/>
      <w:r>
        <w:rPr>
          <w:rFonts w:eastAsia="Times New Roman"/>
          <w:color w:val="auto"/>
        </w:rPr>
        <w:t>Src</w:t>
      </w:r>
      <w:proofErr w:type="spellEnd"/>
      <w:r>
        <w:rPr>
          <w:rFonts w:eastAsia="Times New Roman"/>
          <w:color w:val="auto"/>
        </w:rPr>
        <w:t xml:space="preserve"> and c-Met with </w:t>
      </w:r>
      <w:proofErr w:type="spellStart"/>
      <w:r>
        <w:rPr>
          <w:rFonts w:eastAsia="Times New Roman"/>
          <w:color w:val="auto"/>
        </w:rPr>
        <w:t>dasatinib</w:t>
      </w:r>
      <w:proofErr w:type="spellEnd"/>
      <w:r>
        <w:rPr>
          <w:rFonts w:eastAsia="Times New Roman"/>
          <w:color w:val="auto"/>
        </w:rPr>
        <w:t xml:space="preserve"> or </w:t>
      </w:r>
      <w:proofErr w:type="spellStart"/>
      <w:r>
        <w:rPr>
          <w:rFonts w:eastAsia="Times New Roman"/>
          <w:color w:val="auto"/>
        </w:rPr>
        <w:t>saracatinib</w:t>
      </w:r>
      <w:proofErr w:type="spellEnd"/>
      <w:r>
        <w:rPr>
          <w:rFonts w:eastAsia="Times New Roman"/>
          <w:color w:val="auto"/>
        </w:rPr>
        <w:t xml:space="preserve"> and </w:t>
      </w:r>
      <w:proofErr w:type="spellStart"/>
      <w:r>
        <w:rPr>
          <w:rFonts w:eastAsia="Times New Roman"/>
          <w:color w:val="auto"/>
        </w:rPr>
        <w:t>cabozantinib</w:t>
      </w:r>
      <w:proofErr w:type="spellEnd"/>
      <w:r>
        <w:rPr>
          <w:rFonts w:eastAsia="Times New Roman"/>
          <w:color w:val="auto"/>
        </w:rPr>
        <w:t xml:space="preserve"> reduces viability of </w:t>
      </w:r>
      <w:r w:rsidR="00F5030B">
        <w:rPr>
          <w:rFonts w:eastAsia="Times New Roman"/>
          <w:color w:val="auto"/>
        </w:rPr>
        <w:t xml:space="preserve">two independent </w:t>
      </w:r>
      <w:r>
        <w:rPr>
          <w:rFonts w:eastAsia="Times New Roman"/>
          <w:color w:val="auto"/>
        </w:rPr>
        <w:t>human SC (HSC)</w:t>
      </w:r>
      <w:r w:rsidR="00F5030B">
        <w:rPr>
          <w:rFonts w:eastAsia="Times New Roman"/>
          <w:color w:val="auto"/>
        </w:rPr>
        <w:t xml:space="preserve"> lines (n = 1, 4 replicates each)</w:t>
      </w:r>
      <w:r>
        <w:rPr>
          <w:rFonts w:eastAsia="Times New Roman"/>
          <w:color w:val="auto"/>
        </w:rPr>
        <w:t xml:space="preserve">. </w:t>
      </w:r>
      <w:r w:rsidR="00F5030B">
        <w:rPr>
          <w:rFonts w:eastAsia="Times New Roman"/>
          <w:color w:val="auto"/>
        </w:rPr>
        <w:t xml:space="preserve"> There is little selectivity between WT and MD lines, but this has been observed for other drugs that showed selectivity in mouse but not human cells.</w:t>
      </w:r>
      <w:r>
        <w:rPr>
          <w:rFonts w:eastAsia="Times New Roman"/>
          <w:color w:val="auto"/>
        </w:rPr>
        <w:t xml:space="preserve"> B) </w:t>
      </w:r>
      <w:proofErr w:type="spellStart"/>
      <w:r>
        <w:rPr>
          <w:rFonts w:eastAsia="Times New Roman"/>
          <w:color w:val="auto"/>
        </w:rPr>
        <w:t>Dasatinib</w:t>
      </w:r>
      <w:proofErr w:type="spellEnd"/>
      <w:r>
        <w:rPr>
          <w:rFonts w:eastAsia="Times New Roman"/>
          <w:color w:val="auto"/>
        </w:rPr>
        <w:t xml:space="preserve">, </w:t>
      </w:r>
      <w:proofErr w:type="spellStart"/>
      <w:r>
        <w:rPr>
          <w:rFonts w:eastAsia="Times New Roman"/>
          <w:color w:val="auto"/>
        </w:rPr>
        <w:t>saracatinib</w:t>
      </w:r>
      <w:proofErr w:type="spellEnd"/>
      <w:r>
        <w:rPr>
          <w:rFonts w:eastAsia="Times New Roman"/>
          <w:color w:val="auto"/>
        </w:rPr>
        <w:t xml:space="preserve"> and </w:t>
      </w:r>
      <w:proofErr w:type="spellStart"/>
      <w:r>
        <w:rPr>
          <w:rFonts w:eastAsia="Times New Roman"/>
          <w:color w:val="auto"/>
        </w:rPr>
        <w:t>cabozantinib</w:t>
      </w:r>
      <w:proofErr w:type="spellEnd"/>
      <w:r>
        <w:rPr>
          <w:rFonts w:eastAsia="Times New Roman"/>
          <w:color w:val="auto"/>
        </w:rPr>
        <w:t xml:space="preserve"> target the </w:t>
      </w:r>
      <w:r>
        <w:rPr>
          <w:rFonts w:eastAsia="Times New Roman"/>
          <w:color w:val="auto"/>
        </w:rPr>
        <w:lastRenderedPageBreak/>
        <w:t>same pathways in HSC as we have shown in the MD-MSC</w:t>
      </w:r>
      <w:r w:rsidR="00F5030B">
        <w:rPr>
          <w:rFonts w:eastAsia="Times New Roman"/>
          <w:color w:val="auto"/>
        </w:rPr>
        <w:t>.</w:t>
      </w:r>
      <w:r>
        <w:rPr>
          <w:rFonts w:eastAsia="Times New Roman"/>
          <w:color w:val="auto"/>
        </w:rPr>
        <w:t xml:space="preserve"> </w:t>
      </w:r>
      <w:proofErr w:type="spellStart"/>
      <w:r w:rsidR="00F5030B">
        <w:rPr>
          <w:rFonts w:eastAsia="Times New Roman"/>
          <w:color w:val="auto"/>
        </w:rPr>
        <w:t>D</w:t>
      </w:r>
      <w:r>
        <w:rPr>
          <w:rFonts w:eastAsia="Times New Roman"/>
          <w:color w:val="auto"/>
        </w:rPr>
        <w:t>asatinib</w:t>
      </w:r>
      <w:proofErr w:type="spellEnd"/>
      <w:r>
        <w:rPr>
          <w:rFonts w:eastAsia="Times New Roman"/>
          <w:color w:val="auto"/>
        </w:rPr>
        <w:t xml:space="preserve"> and </w:t>
      </w:r>
      <w:proofErr w:type="spellStart"/>
      <w:r>
        <w:rPr>
          <w:rFonts w:eastAsia="Times New Roman"/>
          <w:color w:val="auto"/>
        </w:rPr>
        <w:t>saracatinib</w:t>
      </w:r>
      <w:proofErr w:type="spellEnd"/>
      <w:r>
        <w:rPr>
          <w:rFonts w:eastAsia="Times New Roman"/>
          <w:color w:val="auto"/>
        </w:rPr>
        <w:t xml:space="preserve"> reduc</w:t>
      </w:r>
      <w:r w:rsidR="00F5030B">
        <w:rPr>
          <w:rFonts w:eastAsia="Times New Roman"/>
          <w:color w:val="auto"/>
        </w:rPr>
        <w:t>e</w:t>
      </w:r>
      <w:r>
        <w:rPr>
          <w:rFonts w:eastAsia="Times New Roman"/>
          <w:color w:val="auto"/>
        </w:rPr>
        <w:t xml:space="preserve"> phosphorylated levels of </w:t>
      </w:r>
      <w:proofErr w:type="gramStart"/>
      <w:r>
        <w:rPr>
          <w:rFonts w:eastAsia="Times New Roman"/>
          <w:color w:val="auto"/>
        </w:rPr>
        <w:t>FAK(</w:t>
      </w:r>
      <w:proofErr w:type="gramEnd"/>
      <w:r>
        <w:rPr>
          <w:rFonts w:eastAsia="Times New Roman"/>
          <w:color w:val="auto"/>
        </w:rPr>
        <w:t xml:space="preserve">Y576) and </w:t>
      </w:r>
      <w:proofErr w:type="spellStart"/>
      <w:r>
        <w:rPr>
          <w:rFonts w:eastAsia="Times New Roman"/>
          <w:color w:val="auto"/>
        </w:rPr>
        <w:t>paxillin</w:t>
      </w:r>
      <w:proofErr w:type="spellEnd"/>
      <w:r>
        <w:rPr>
          <w:rFonts w:eastAsia="Times New Roman"/>
          <w:color w:val="auto"/>
        </w:rPr>
        <w:t xml:space="preserve">(Y118), and </w:t>
      </w:r>
      <w:proofErr w:type="spellStart"/>
      <w:r>
        <w:rPr>
          <w:rFonts w:eastAsia="Times New Roman"/>
          <w:color w:val="auto"/>
        </w:rPr>
        <w:t>cabozantinib</w:t>
      </w:r>
      <w:proofErr w:type="spellEnd"/>
      <w:r>
        <w:rPr>
          <w:rFonts w:eastAsia="Times New Roman"/>
          <w:color w:val="auto"/>
        </w:rPr>
        <w:t xml:space="preserve"> reduc</w:t>
      </w:r>
      <w:r w:rsidR="00F5030B">
        <w:rPr>
          <w:rFonts w:eastAsia="Times New Roman"/>
          <w:color w:val="auto"/>
        </w:rPr>
        <w:t xml:space="preserve">es </w:t>
      </w:r>
      <w:r>
        <w:rPr>
          <w:rFonts w:eastAsia="Times New Roman"/>
          <w:color w:val="auto"/>
        </w:rPr>
        <w:t xml:space="preserve">phosphorylation levels of c-Met(Y1234/1235) and ERK1/2. C) </w:t>
      </w:r>
      <w:proofErr w:type="spellStart"/>
      <w:r>
        <w:rPr>
          <w:rFonts w:eastAsia="Times New Roman"/>
          <w:color w:val="auto"/>
        </w:rPr>
        <w:t>Dasatinib</w:t>
      </w:r>
      <w:proofErr w:type="spellEnd"/>
      <w:r>
        <w:rPr>
          <w:rFonts w:eastAsia="Times New Roman"/>
          <w:color w:val="auto"/>
        </w:rPr>
        <w:t xml:space="preserve"> and </w:t>
      </w:r>
      <w:proofErr w:type="spellStart"/>
      <w:r>
        <w:rPr>
          <w:rFonts w:eastAsia="Times New Roman"/>
          <w:color w:val="auto"/>
        </w:rPr>
        <w:t>cabozantinib</w:t>
      </w:r>
      <w:proofErr w:type="spellEnd"/>
      <w:r>
        <w:rPr>
          <w:rFonts w:eastAsia="Times New Roman"/>
          <w:color w:val="auto"/>
        </w:rPr>
        <w:t xml:space="preserve"> also reduced the growth of human benign meningioma cells, as measured by </w:t>
      </w:r>
      <w:r w:rsidR="003B2A8E">
        <w:rPr>
          <w:rFonts w:eastAsia="Times New Roman"/>
          <w:color w:val="auto"/>
        </w:rPr>
        <w:t xml:space="preserve">a </w:t>
      </w:r>
      <w:r>
        <w:rPr>
          <w:rFonts w:eastAsia="Times New Roman"/>
          <w:color w:val="auto"/>
        </w:rPr>
        <w:t>crystal violet assay (n=3</w:t>
      </w:r>
      <w:r w:rsidR="003B2A8E">
        <w:rPr>
          <w:rFonts w:eastAsia="Times New Roman"/>
          <w:color w:val="auto"/>
        </w:rPr>
        <w:t xml:space="preserve"> cultures with 3 replicates each</w:t>
      </w:r>
      <w:r>
        <w:rPr>
          <w:rFonts w:eastAsia="Times New Roman"/>
          <w:color w:val="auto"/>
        </w:rPr>
        <w:t>).</w:t>
      </w:r>
    </w:p>
    <w:p w:rsidR="00897C57" w:rsidRDefault="00897C57"/>
    <w:p w:rsidR="00897C57" w:rsidRDefault="00897C57"/>
    <w:p w:rsidR="00897C57" w:rsidRDefault="00897C57"/>
    <w:p w:rsidR="00897C57" w:rsidRDefault="00897C57"/>
    <w:p w:rsidR="00897C57" w:rsidRDefault="00897C57"/>
    <w:p w:rsidR="00897C57" w:rsidRDefault="00897C57"/>
    <w:p w:rsidR="00897C57" w:rsidRDefault="00897C57"/>
    <w:p w:rsidR="00897C57" w:rsidRDefault="00897C57"/>
    <w:p w:rsidR="00897C57" w:rsidRDefault="00897C57"/>
    <w:p w:rsidR="00897C57" w:rsidRDefault="00897C57"/>
    <w:p w:rsidR="00602B47" w:rsidRDefault="00CE5CDB">
      <w:r>
        <w:fldChar w:fldCharType="begin"/>
      </w:r>
      <w:r>
        <w:instrText xml:space="preserve"> ADDIN EN.REFLIST </w:instrText>
      </w:r>
      <w:r>
        <w:fldChar w:fldCharType="end"/>
      </w:r>
    </w:p>
    <w:sectPr w:rsidR="00602B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vfdfpzztmx05wue0xrlxprwazpftf09902ed&quot;&gt;EndNote Library_Src Met&lt;record-ids&gt;&lt;item&gt;79&lt;/item&gt;&lt;/record-ids&gt;&lt;/item&gt;&lt;/Libraries&gt;"/>
  </w:docVars>
  <w:rsids>
    <w:rsidRoot w:val="008C5C1A"/>
    <w:rsid w:val="001E5182"/>
    <w:rsid w:val="002136B6"/>
    <w:rsid w:val="002A72FE"/>
    <w:rsid w:val="002D3C90"/>
    <w:rsid w:val="003B2A8E"/>
    <w:rsid w:val="005B60CE"/>
    <w:rsid w:val="00602B47"/>
    <w:rsid w:val="006760BE"/>
    <w:rsid w:val="007F0764"/>
    <w:rsid w:val="00823229"/>
    <w:rsid w:val="008335A5"/>
    <w:rsid w:val="00897C57"/>
    <w:rsid w:val="008C5C1A"/>
    <w:rsid w:val="008F3FA5"/>
    <w:rsid w:val="00A01633"/>
    <w:rsid w:val="00A416AD"/>
    <w:rsid w:val="00A66B20"/>
    <w:rsid w:val="00AE431F"/>
    <w:rsid w:val="00BE69BA"/>
    <w:rsid w:val="00CE5CDB"/>
    <w:rsid w:val="00DA4E4B"/>
    <w:rsid w:val="00DA5CB0"/>
    <w:rsid w:val="00DF4CE1"/>
    <w:rsid w:val="00E25F50"/>
    <w:rsid w:val="00EC2523"/>
    <w:rsid w:val="00EC426B"/>
    <w:rsid w:val="00F05623"/>
    <w:rsid w:val="00F05BAE"/>
    <w:rsid w:val="00F35549"/>
    <w:rsid w:val="00F42D34"/>
    <w:rsid w:val="00F5030B"/>
    <w:rsid w:val="00FC075E"/>
    <w:rsid w:val="00FC2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A5E1F35-2AB2-4A80-9700-53CE6A34D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5C1A"/>
    <w:pPr>
      <w:spacing w:after="0" w:line="240" w:lineRule="auto"/>
    </w:pPr>
    <w:rPr>
      <w:rFonts w:ascii="Times New Roman" w:eastAsiaTheme="minorEastAsia" w:hAnsi="Times New Roman" w:cs="Times New Roman"/>
      <w:color w:val="000000" w:themeColor="text1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Title">
    <w:name w:val="EndNote Bibliography Title"/>
    <w:basedOn w:val="Normal"/>
    <w:link w:val="EndNoteBibliographyTitleChar"/>
    <w:rsid w:val="00897C57"/>
    <w:pPr>
      <w:jc w:val="center"/>
    </w:pPr>
    <w:rPr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897C57"/>
    <w:rPr>
      <w:rFonts w:ascii="Times New Roman" w:eastAsiaTheme="minorEastAsia" w:hAnsi="Times New Roman" w:cs="Times New Roman"/>
      <w:noProof/>
      <w:color w:val="000000" w:themeColor="text1"/>
      <w:szCs w:val="24"/>
      <w:lang w:eastAsia="ja-JP"/>
    </w:rPr>
  </w:style>
  <w:style w:type="paragraph" w:customStyle="1" w:styleId="EndNoteBibliography">
    <w:name w:val="EndNote Bibliography"/>
    <w:basedOn w:val="Normal"/>
    <w:link w:val="EndNoteBibliographyChar"/>
    <w:rsid w:val="00897C57"/>
    <w:rPr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897C57"/>
    <w:rPr>
      <w:rFonts w:ascii="Times New Roman" w:eastAsiaTheme="minorEastAsia" w:hAnsi="Times New Roman" w:cs="Times New Roman"/>
      <w:noProof/>
      <w:color w:val="000000" w:themeColor="text1"/>
      <w:szCs w:val="24"/>
      <w:lang w:eastAsia="ja-JP"/>
    </w:rPr>
  </w:style>
  <w:style w:type="character" w:styleId="Hyperlink">
    <w:name w:val="Hyperlink"/>
    <w:basedOn w:val="DefaultParagraphFont"/>
    <w:uiPriority w:val="99"/>
    <w:unhideWhenUsed/>
    <w:rsid w:val="00897C57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076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764"/>
    <w:rPr>
      <w:rFonts w:ascii="Segoe UI" w:eastAsiaTheme="minorEastAsia" w:hAnsi="Segoe UI" w:cs="Segoe UI"/>
      <w:color w:val="000000" w:themeColor="text1"/>
      <w:sz w:val="18"/>
      <w:szCs w:val="1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B4FEFF-E41C-435A-AF65-420552F00D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487</Words>
  <Characters>2779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Central Florida</Company>
  <LinksUpToDate>false</LinksUpToDate>
  <CharactersWithSpaces>3260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Marisa Fuse</dc:creator>
  <cp:keywords/>
  <dc:description/>
  <cp:lastModifiedBy>Marisa Fuse</cp:lastModifiedBy>
  <cp:revision>7</cp:revision>
  <cp:lastPrinted>2017-06-28T20:30:00Z</cp:lastPrinted>
  <dcterms:created xsi:type="dcterms:W3CDTF">2017-07-06T17:06:00Z</dcterms:created>
  <dcterms:modified xsi:type="dcterms:W3CDTF">2017-07-06T18:05:00Z</dcterms:modified>
</cp:coreProperties>
</file>