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3BB3" w14:textId="7F2A198A" w:rsidR="001C7D15" w:rsidRDefault="00902547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902547">
        <w:rPr>
          <w:rFonts w:ascii="Arial" w:hAnsi="Arial" w:cs="Arial"/>
          <w:b/>
          <w:bCs/>
          <w:iCs/>
          <w:sz w:val="20"/>
          <w:szCs w:val="20"/>
        </w:rPr>
        <w:t>Supplementary Figure 1.</w:t>
      </w:r>
      <w:proofErr w:type="gramEnd"/>
      <w:r w:rsidRPr="009025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902547">
        <w:rPr>
          <w:rFonts w:ascii="Arial" w:hAnsi="Arial" w:cs="Arial"/>
          <w:b/>
          <w:bCs/>
          <w:sz w:val="20"/>
          <w:szCs w:val="20"/>
        </w:rPr>
        <w:t>Decitabine</w:t>
      </w:r>
      <w:proofErr w:type="spellEnd"/>
      <w:r w:rsidRPr="00902547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902547">
        <w:rPr>
          <w:rFonts w:ascii="Arial" w:eastAsiaTheme="minorHAnsi" w:hAnsi="Arial" w:cs="Arial"/>
          <w:b/>
          <w:bCs/>
          <w:sz w:val="20"/>
          <w:szCs w:val="20"/>
        </w:rPr>
        <w:t>MUC1-C inhibitor combination increases hydrogen peroxide (H</w:t>
      </w:r>
      <w:r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 w:rsidRPr="00902547">
        <w:rPr>
          <w:rFonts w:ascii="Arial" w:eastAsiaTheme="minorHAnsi" w:hAnsi="Arial" w:cs="Arial"/>
          <w:b/>
          <w:bCs/>
          <w:sz w:val="20"/>
          <w:szCs w:val="20"/>
        </w:rPr>
        <w:t>O</w:t>
      </w:r>
      <w:r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 w:rsidRPr="00902547">
        <w:rPr>
          <w:rFonts w:ascii="Arial" w:eastAsiaTheme="minorHAnsi" w:hAnsi="Arial" w:cs="Arial"/>
          <w:b/>
          <w:bCs/>
          <w:sz w:val="20"/>
          <w:szCs w:val="20"/>
        </w:rPr>
        <w:t>) levels, which is abrogated by addition of NAC</w:t>
      </w:r>
      <w:r w:rsidR="006B3D73">
        <w:rPr>
          <w:rFonts w:ascii="Arial" w:eastAsiaTheme="minorHAnsi" w:hAnsi="Arial" w:cs="Arial"/>
          <w:b/>
          <w:bCs/>
          <w:sz w:val="20"/>
          <w:szCs w:val="20"/>
        </w:rPr>
        <w:t xml:space="preserve"> and 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 xml:space="preserve">is </w:t>
      </w:r>
      <w:r w:rsidR="006B3D73">
        <w:rPr>
          <w:rFonts w:ascii="Arial" w:hAnsi="Arial" w:cs="Arial"/>
          <w:b/>
          <w:bCs/>
          <w:iCs/>
          <w:sz w:val="20"/>
          <w:szCs w:val="20"/>
        </w:rPr>
        <w:t xml:space="preserve">not 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>synergistic</w:t>
      </w:r>
      <w:r w:rsidR="006B3D73">
        <w:rPr>
          <w:rFonts w:ascii="Arial" w:hAnsi="Arial" w:cs="Arial"/>
          <w:b/>
          <w:bCs/>
          <w:iCs/>
          <w:sz w:val="20"/>
          <w:szCs w:val="20"/>
        </w:rPr>
        <w:t xml:space="preserve"> in inducing 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>cytotoxic</w:t>
      </w:r>
      <w:r w:rsidR="006B3D73">
        <w:rPr>
          <w:rFonts w:ascii="Arial" w:hAnsi="Arial" w:cs="Arial"/>
          <w:b/>
          <w:bCs/>
          <w:iCs/>
          <w:sz w:val="20"/>
          <w:szCs w:val="20"/>
        </w:rPr>
        <w:t>ity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 xml:space="preserve"> in </w:t>
      </w:r>
      <w:r w:rsidR="006B3D73">
        <w:rPr>
          <w:rFonts w:ascii="Arial" w:hAnsi="Arial" w:cs="Arial"/>
          <w:b/>
          <w:bCs/>
          <w:iCs/>
          <w:sz w:val="20"/>
          <w:szCs w:val="20"/>
        </w:rPr>
        <w:t xml:space="preserve">MUC1-C low/negative 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>CTCL cell</w:t>
      </w:r>
      <w:r w:rsidR="00374662">
        <w:rPr>
          <w:rFonts w:ascii="Arial" w:hAnsi="Arial" w:cs="Arial"/>
          <w:b/>
          <w:bCs/>
          <w:iCs/>
          <w:sz w:val="20"/>
          <w:szCs w:val="20"/>
        </w:rPr>
        <w:t xml:space="preserve"> lines. </w:t>
      </w:r>
      <w:r w:rsidRPr="00902547">
        <w:rPr>
          <w:rFonts w:ascii="Arial" w:eastAsiaTheme="minorHAnsi" w:hAnsi="Arial" w:cs="Arial"/>
          <w:sz w:val="20"/>
          <w:szCs w:val="20"/>
        </w:rPr>
        <w:t xml:space="preserve">A–B, Representative FACS histograms of H9 and HuT-78 cells; untreated, treated with 3 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μM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GO-203 each day for 3 days, single dose of 25 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or 40 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Decitabine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or the combination followed by measurement of fluorescence of oxidized DCF at 96 hours are shown. The combination treated cells were also incubated in the presence of 5 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mM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NAC for the last 2 days.</w:t>
      </w:r>
      <w:r w:rsidR="006B3D73">
        <w:rPr>
          <w:rFonts w:ascii="Arial" w:eastAsiaTheme="minorHAnsi" w:hAnsi="Arial" w:cs="Arial"/>
          <w:sz w:val="20"/>
          <w:szCs w:val="20"/>
        </w:rPr>
        <w:t xml:space="preserve"> </w:t>
      </w:r>
      <w:r w:rsidR="006B3D73">
        <w:rPr>
          <w:rFonts w:ascii="Arial" w:hAnsi="Arial" w:cs="Arial"/>
          <w:bCs/>
          <w:iCs/>
          <w:sz w:val="20"/>
          <w:szCs w:val="20"/>
        </w:rPr>
        <w:t>C-D</w:t>
      </w:r>
      <w:r w:rsidR="006B3D73" w:rsidRPr="00902547">
        <w:rPr>
          <w:rFonts w:ascii="Arial" w:hAnsi="Arial" w:cs="Arial"/>
          <w:bCs/>
          <w:iCs/>
          <w:sz w:val="20"/>
          <w:szCs w:val="20"/>
        </w:rPr>
        <w:t>,</w:t>
      </w:r>
      <w:r w:rsidR="006B3D73" w:rsidRPr="009025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6B3D73">
        <w:rPr>
          <w:rFonts w:ascii="Arial" w:hAnsi="Arial" w:cs="Arial"/>
          <w:bCs/>
          <w:iCs/>
          <w:sz w:val="20"/>
          <w:szCs w:val="20"/>
        </w:rPr>
        <w:t>SeAx</w:t>
      </w:r>
      <w:proofErr w:type="spellEnd"/>
      <w:r w:rsidR="006B3D73" w:rsidRPr="00902547">
        <w:rPr>
          <w:rFonts w:ascii="Arial" w:hAnsi="Arial" w:cs="Arial"/>
          <w:bCs/>
          <w:iCs/>
          <w:sz w:val="20"/>
          <w:szCs w:val="20"/>
        </w:rPr>
        <w:t xml:space="preserve"> and </w:t>
      </w:r>
      <w:r w:rsidR="006B3D73">
        <w:rPr>
          <w:rFonts w:ascii="Arial" w:hAnsi="Arial" w:cs="Arial"/>
          <w:bCs/>
          <w:iCs/>
          <w:sz w:val="20"/>
          <w:szCs w:val="20"/>
        </w:rPr>
        <w:t>HH</w:t>
      </w:r>
      <w:r w:rsidR="006B3D73" w:rsidRPr="00902547">
        <w:rPr>
          <w:rFonts w:ascii="Arial" w:hAnsi="Arial" w:cs="Arial"/>
          <w:bCs/>
          <w:iCs/>
          <w:sz w:val="20"/>
          <w:szCs w:val="20"/>
        </w:rPr>
        <w:t xml:space="preserve"> cells were left untreated, treated with </w:t>
      </w:r>
      <w:r w:rsidR="006B3D73">
        <w:rPr>
          <w:rFonts w:ascii="Arial" w:hAnsi="Arial" w:cs="Arial"/>
          <w:bCs/>
          <w:iCs/>
          <w:sz w:val="20"/>
          <w:szCs w:val="20"/>
        </w:rPr>
        <w:t>GO-203 (</w:t>
      </w:r>
      <w:r w:rsidR="006B3D73" w:rsidRPr="00902547">
        <w:rPr>
          <w:rFonts w:ascii="Arial" w:hAnsi="Arial" w:cs="Arial"/>
          <w:bCs/>
          <w:iCs/>
          <w:sz w:val="20"/>
          <w:szCs w:val="20"/>
        </w:rPr>
        <w:t xml:space="preserve">3 </w:t>
      </w:r>
      <w:proofErr w:type="spellStart"/>
      <w:r w:rsidR="006B3D73" w:rsidRPr="00902547">
        <w:rPr>
          <w:rFonts w:ascii="Arial" w:hAnsi="Arial" w:cs="Arial"/>
          <w:bCs/>
          <w:iCs/>
          <w:sz w:val="20"/>
          <w:szCs w:val="20"/>
        </w:rPr>
        <w:t>uM</w:t>
      </w:r>
      <w:proofErr w:type="spellEnd"/>
      <w:r w:rsidR="006B3D73" w:rsidRPr="00902547">
        <w:rPr>
          <w:rFonts w:ascii="Arial" w:hAnsi="Arial" w:cs="Arial"/>
          <w:bCs/>
          <w:iCs/>
          <w:sz w:val="20"/>
          <w:szCs w:val="20"/>
        </w:rPr>
        <w:t xml:space="preserve">) each day for </w:t>
      </w:r>
      <w:r w:rsidR="006B3D73">
        <w:rPr>
          <w:rFonts w:ascii="Arial" w:hAnsi="Arial" w:cs="Arial"/>
          <w:bCs/>
          <w:iCs/>
          <w:sz w:val="20"/>
          <w:szCs w:val="20"/>
        </w:rPr>
        <w:t xml:space="preserve">3 days, single dose of </w:t>
      </w:r>
      <w:proofErr w:type="spellStart"/>
      <w:r w:rsidR="006B3D73"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 w:rsidR="006B3D73">
        <w:rPr>
          <w:rFonts w:ascii="Arial" w:hAnsi="Arial" w:cs="Arial"/>
          <w:bCs/>
          <w:iCs/>
          <w:sz w:val="20"/>
          <w:szCs w:val="20"/>
        </w:rPr>
        <w:t xml:space="preserve"> (</w:t>
      </w:r>
      <w:r w:rsidR="006B3D73" w:rsidRPr="00902547">
        <w:rPr>
          <w:rFonts w:ascii="Arial" w:hAnsi="Arial" w:cs="Arial"/>
          <w:bCs/>
          <w:iCs/>
          <w:sz w:val="20"/>
          <w:szCs w:val="20"/>
        </w:rPr>
        <w:t xml:space="preserve">40 </w:t>
      </w:r>
      <w:proofErr w:type="spellStart"/>
      <w:r w:rsidR="006B3D73" w:rsidRPr="00902547">
        <w:rPr>
          <w:rFonts w:ascii="Arial" w:hAnsi="Arial" w:cs="Arial"/>
          <w:bCs/>
          <w:iCs/>
          <w:sz w:val="20"/>
          <w:szCs w:val="20"/>
        </w:rPr>
        <w:t>nM</w:t>
      </w:r>
      <w:proofErr w:type="spellEnd"/>
      <w:r w:rsidR="006B3D73" w:rsidRPr="00902547">
        <w:rPr>
          <w:rFonts w:ascii="Arial" w:hAnsi="Arial" w:cs="Arial"/>
          <w:bCs/>
          <w:iCs/>
          <w:sz w:val="20"/>
          <w:szCs w:val="20"/>
        </w:rPr>
        <w:t>) or the combination</w:t>
      </w:r>
      <w:r w:rsidR="006B3D73">
        <w:rPr>
          <w:rFonts w:ascii="Arial" w:eastAsiaTheme="minorHAnsi" w:hAnsi="Arial" w:cs="Arial"/>
          <w:sz w:val="20"/>
          <w:szCs w:val="20"/>
        </w:rPr>
        <w:t xml:space="preserve">. </w:t>
      </w:r>
      <w:r w:rsidR="006B3D73" w:rsidRPr="00902547">
        <w:rPr>
          <w:rFonts w:ascii="Arial" w:eastAsiaTheme="minorHAnsi" w:hAnsi="Arial" w:cs="Arial"/>
          <w:iCs/>
          <w:sz w:val="20"/>
          <w:szCs w:val="20"/>
        </w:rPr>
        <w:t xml:space="preserve">Cell Titer </w:t>
      </w:r>
      <w:proofErr w:type="spellStart"/>
      <w:r w:rsidR="006B3D73" w:rsidRPr="00902547">
        <w:rPr>
          <w:rFonts w:ascii="Arial" w:eastAsiaTheme="minorHAnsi" w:hAnsi="Arial" w:cs="Arial"/>
          <w:iCs/>
          <w:sz w:val="20"/>
          <w:szCs w:val="20"/>
        </w:rPr>
        <w:t>Glo</w:t>
      </w:r>
      <w:proofErr w:type="spellEnd"/>
      <w:r w:rsidR="006B3D73" w:rsidRPr="00902547">
        <w:rPr>
          <w:rFonts w:ascii="Arial" w:eastAsiaTheme="minorHAnsi" w:hAnsi="Arial" w:cs="Arial"/>
          <w:iCs/>
          <w:sz w:val="20"/>
          <w:szCs w:val="20"/>
        </w:rPr>
        <w:t xml:space="preserve"> was added and viability was measured at 96 hours. </w:t>
      </w:r>
      <w:r w:rsidR="006B3D73" w:rsidRPr="00902547">
        <w:rPr>
          <w:rFonts w:ascii="Arial" w:eastAsiaTheme="minorHAnsi" w:hAnsi="Arial" w:cs="Arial"/>
          <w:sz w:val="20"/>
          <w:szCs w:val="20"/>
        </w:rPr>
        <w:t>The results are expressed as relative percentage viability (mean ± SD of 3 determinations) compared to the control.</w:t>
      </w:r>
      <w:r w:rsidR="00374662">
        <w:rPr>
          <w:rFonts w:ascii="Arial" w:eastAsiaTheme="minorHAnsi" w:hAnsi="Arial" w:cs="Arial"/>
          <w:sz w:val="20"/>
          <w:szCs w:val="20"/>
        </w:rPr>
        <w:t xml:space="preserve"> E-F, Amino acid sequence and chemical structure of the MUC1-C inhibitor, GO-203 </w:t>
      </w:r>
      <w:proofErr w:type="gramStart"/>
      <w:r w:rsidR="00374662">
        <w:rPr>
          <w:rFonts w:ascii="Arial" w:eastAsiaTheme="minorHAnsi" w:hAnsi="Arial" w:cs="Arial"/>
          <w:sz w:val="20"/>
          <w:szCs w:val="20"/>
        </w:rPr>
        <w:t>are</w:t>
      </w:r>
      <w:proofErr w:type="gramEnd"/>
      <w:r w:rsidR="00374662">
        <w:rPr>
          <w:rFonts w:ascii="Arial" w:eastAsiaTheme="minorHAnsi" w:hAnsi="Arial" w:cs="Arial"/>
          <w:sz w:val="20"/>
          <w:szCs w:val="20"/>
        </w:rPr>
        <w:t xml:space="preserve"> presented. </w:t>
      </w:r>
      <w:bookmarkStart w:id="0" w:name="_GoBack"/>
      <w:bookmarkEnd w:id="0"/>
    </w:p>
    <w:p w14:paraId="1D281978" w14:textId="77777777" w:rsidR="006D523F" w:rsidRDefault="006D523F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FDC456C" w14:textId="3750D7D4" w:rsidR="006A516C" w:rsidRDefault="001C7D15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Cs/>
          <w:sz w:val="20"/>
          <w:szCs w:val="20"/>
        </w:rPr>
        <w:t>Supplementary Figure 2</w:t>
      </w:r>
      <w:r w:rsidRPr="00902547">
        <w:rPr>
          <w:rFonts w:ascii="Arial" w:hAnsi="Arial" w:cs="Arial"/>
          <w:b/>
          <w:bCs/>
          <w:iCs/>
          <w:sz w:val="20"/>
          <w:szCs w:val="20"/>
        </w:rPr>
        <w:t>.</w:t>
      </w:r>
      <w:proofErr w:type="gramEnd"/>
      <w:r w:rsidRPr="009025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902547">
        <w:rPr>
          <w:rFonts w:ascii="Arial" w:hAnsi="Arial" w:cs="Arial"/>
          <w:b/>
          <w:bCs/>
          <w:sz w:val="20"/>
          <w:szCs w:val="20"/>
        </w:rPr>
        <w:t>Decitabine</w:t>
      </w:r>
      <w:proofErr w:type="spellEnd"/>
      <w:r w:rsidRPr="00902547"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902547">
        <w:rPr>
          <w:rFonts w:ascii="Arial" w:eastAsiaTheme="minorHAnsi" w:hAnsi="Arial" w:cs="Arial"/>
          <w:b/>
          <w:bCs/>
          <w:sz w:val="20"/>
          <w:szCs w:val="20"/>
        </w:rPr>
        <w:t>MUC1-C inhibitor combination increases hydrogen peroxide (H</w:t>
      </w:r>
      <w:r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 w:rsidRPr="00902547">
        <w:rPr>
          <w:rFonts w:ascii="Arial" w:eastAsiaTheme="minorHAnsi" w:hAnsi="Arial" w:cs="Arial"/>
          <w:b/>
          <w:bCs/>
          <w:sz w:val="20"/>
          <w:szCs w:val="20"/>
        </w:rPr>
        <w:t>O</w:t>
      </w:r>
      <w:r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) levels and is cytotoxic in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</w:rPr>
        <w:t>Myla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</w:rPr>
        <w:t xml:space="preserve"> cells. </w:t>
      </w:r>
      <w:r>
        <w:rPr>
          <w:rFonts w:ascii="Arial" w:eastAsiaTheme="minorHAnsi" w:hAnsi="Arial" w:cs="Arial"/>
          <w:sz w:val="20"/>
          <w:szCs w:val="20"/>
        </w:rPr>
        <w:t>A-B</w:t>
      </w:r>
      <w:r w:rsidRPr="00CE2A03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sz w:val="20"/>
          <w:szCs w:val="20"/>
        </w:rPr>
        <w:t>Myla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cells were left untreated, treated with 3 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μM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GO-203 each day for 3 days, single dose of 40 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Decitabine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Dac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) or the combination. The combination treated cells were also incubated in the presence of 5 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mM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NAC for the last 2 days (combination plus NAC). At 96 hours harvested cells were incubated with c-H</w:t>
      </w:r>
      <w:r w:rsidRPr="00CE2A03">
        <w:rPr>
          <w:rFonts w:ascii="Arial" w:eastAsiaTheme="minorHAnsi" w:hAnsi="Arial" w:cs="Arial"/>
          <w:sz w:val="20"/>
          <w:szCs w:val="20"/>
          <w:vertAlign w:val="subscript"/>
        </w:rPr>
        <w:t>2</w:t>
      </w:r>
      <w:r w:rsidRPr="00CE2A03">
        <w:rPr>
          <w:rFonts w:ascii="Arial" w:eastAsiaTheme="minorHAnsi" w:hAnsi="Arial" w:cs="Arial"/>
          <w:sz w:val="20"/>
          <w:szCs w:val="20"/>
        </w:rPr>
        <w:t xml:space="preserve">DCFDA for 30 minutes. Fluorescence of oxidized DCF was measured by flow </w:t>
      </w:r>
      <w:proofErr w:type="spellStart"/>
      <w:r w:rsidRPr="00CE2A03">
        <w:rPr>
          <w:rFonts w:ascii="Arial" w:eastAsiaTheme="minorHAnsi" w:hAnsi="Arial" w:cs="Arial"/>
          <w:sz w:val="20"/>
          <w:szCs w:val="20"/>
        </w:rPr>
        <w:t>cytometry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. The results are expressed as the relative hydrogen peroxide levels in live cells (mean ± SD of 3 determinations) compared with that obtained for control cells. C-D, </w:t>
      </w:r>
      <w:proofErr w:type="spellStart"/>
      <w:r>
        <w:rPr>
          <w:rFonts w:ascii="Arial" w:eastAsiaTheme="minorHAnsi" w:hAnsi="Arial" w:cs="Arial"/>
          <w:sz w:val="20"/>
          <w:szCs w:val="20"/>
        </w:rPr>
        <w:t>Myla</w:t>
      </w:r>
      <w:proofErr w:type="spellEnd"/>
      <w:r w:rsidRPr="00CE2A03">
        <w:rPr>
          <w:rFonts w:ascii="Arial" w:eastAsiaTheme="minorHAnsi" w:hAnsi="Arial" w:cs="Arial"/>
          <w:sz w:val="20"/>
          <w:szCs w:val="20"/>
        </w:rPr>
        <w:t xml:space="preserve"> cells </w:t>
      </w:r>
      <w:r w:rsidRPr="00902547">
        <w:rPr>
          <w:rFonts w:ascii="Arial" w:hAnsi="Arial" w:cs="Arial"/>
          <w:bCs/>
          <w:iCs/>
          <w:sz w:val="20"/>
          <w:szCs w:val="20"/>
        </w:rPr>
        <w:t>were left untreated, treated with varying concentr</w:t>
      </w:r>
      <w:r>
        <w:rPr>
          <w:rFonts w:ascii="Arial" w:hAnsi="Arial" w:cs="Arial"/>
          <w:bCs/>
          <w:iCs/>
          <w:sz w:val="20"/>
          <w:szCs w:val="20"/>
        </w:rPr>
        <w:t>ations of GO-203 (GO or G; 1.5-2.5</w:t>
      </w:r>
      <w:r w:rsidRPr="00902547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902547">
        <w:rPr>
          <w:rFonts w:ascii="Arial" w:hAnsi="Arial" w:cs="Arial"/>
          <w:bCs/>
          <w:iCs/>
          <w:sz w:val="20"/>
          <w:szCs w:val="20"/>
        </w:rPr>
        <w:t>uM</w:t>
      </w:r>
      <w:proofErr w:type="spellEnd"/>
      <w:r w:rsidRPr="00902547">
        <w:rPr>
          <w:rFonts w:ascii="Arial" w:hAnsi="Arial" w:cs="Arial"/>
          <w:bCs/>
          <w:iCs/>
          <w:sz w:val="20"/>
          <w:szCs w:val="20"/>
        </w:rPr>
        <w:t>) each day for 3 days, s</w:t>
      </w:r>
      <w:r>
        <w:rPr>
          <w:rFonts w:ascii="Arial" w:hAnsi="Arial" w:cs="Arial"/>
          <w:bCs/>
          <w:iCs/>
          <w:sz w:val="20"/>
          <w:szCs w:val="20"/>
        </w:rPr>
        <w:t xml:space="preserve">ingle dose of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or D; </w:t>
      </w:r>
      <w:r w:rsidRPr="00902547">
        <w:rPr>
          <w:rFonts w:ascii="Arial" w:hAnsi="Arial" w:cs="Arial"/>
          <w:bCs/>
          <w:iCs/>
          <w:sz w:val="20"/>
          <w:szCs w:val="20"/>
        </w:rPr>
        <w:t xml:space="preserve">40 </w:t>
      </w:r>
      <w:proofErr w:type="spellStart"/>
      <w:r w:rsidRPr="00902547">
        <w:rPr>
          <w:rFonts w:ascii="Arial" w:hAnsi="Arial" w:cs="Arial"/>
          <w:bCs/>
          <w:iCs/>
          <w:sz w:val="20"/>
          <w:szCs w:val="20"/>
        </w:rPr>
        <w:t>nM</w:t>
      </w:r>
      <w:proofErr w:type="spellEnd"/>
      <w:r w:rsidRPr="00902547">
        <w:rPr>
          <w:rFonts w:ascii="Arial" w:hAnsi="Arial" w:cs="Arial"/>
          <w:bCs/>
          <w:iCs/>
          <w:sz w:val="20"/>
          <w:szCs w:val="20"/>
        </w:rPr>
        <w:t>) or the combination</w:t>
      </w:r>
      <w:r w:rsidRPr="00902547">
        <w:rPr>
          <w:rFonts w:ascii="Arial" w:eastAsiaTheme="minorHAnsi" w:hAnsi="Arial" w:cs="Arial"/>
          <w:sz w:val="20"/>
          <w:szCs w:val="20"/>
        </w:rPr>
        <w:t xml:space="preserve">.  </w:t>
      </w:r>
      <w:r w:rsidRPr="00902547">
        <w:rPr>
          <w:rFonts w:ascii="Arial" w:eastAsiaTheme="minorHAnsi" w:hAnsi="Arial" w:cs="Arial"/>
          <w:iCs/>
          <w:sz w:val="20"/>
          <w:szCs w:val="20"/>
        </w:rPr>
        <w:t xml:space="preserve">Cell Titer </w:t>
      </w:r>
      <w:proofErr w:type="spellStart"/>
      <w:r w:rsidRPr="00902547">
        <w:rPr>
          <w:rFonts w:ascii="Arial" w:eastAsiaTheme="minorHAnsi" w:hAnsi="Arial" w:cs="Arial"/>
          <w:iCs/>
          <w:sz w:val="20"/>
          <w:szCs w:val="20"/>
        </w:rPr>
        <w:t>Glo</w:t>
      </w:r>
      <w:proofErr w:type="spellEnd"/>
      <w:r w:rsidRPr="00902547">
        <w:rPr>
          <w:rFonts w:ascii="Arial" w:eastAsiaTheme="minorHAnsi" w:hAnsi="Arial" w:cs="Arial"/>
          <w:iCs/>
          <w:sz w:val="20"/>
          <w:szCs w:val="20"/>
        </w:rPr>
        <w:t xml:space="preserve"> was added and viability was measured at 96 hours. </w:t>
      </w:r>
      <w:r w:rsidRPr="00902547">
        <w:rPr>
          <w:rFonts w:ascii="Arial" w:eastAsiaTheme="minorHAnsi" w:hAnsi="Arial" w:cs="Arial"/>
          <w:sz w:val="20"/>
          <w:szCs w:val="20"/>
        </w:rPr>
        <w:t>The results are expressed as relative percentage viability (mean ± SD of 3 determinations) compared to the control. Excess over Bliss independence Model was used to calculate synergy co-</w:t>
      </w:r>
      <w:proofErr w:type="spellStart"/>
      <w:r w:rsidRPr="00902547">
        <w:rPr>
          <w:rFonts w:ascii="Arial" w:eastAsiaTheme="minorHAnsi" w:hAnsi="Arial" w:cs="Arial"/>
          <w:sz w:val="20"/>
          <w:szCs w:val="20"/>
        </w:rPr>
        <w:t>efficients</w:t>
      </w:r>
      <w:proofErr w:type="spellEnd"/>
      <w:r w:rsidRPr="00902547">
        <w:rPr>
          <w:rFonts w:ascii="Arial" w:eastAsiaTheme="minorHAnsi" w:hAnsi="Arial" w:cs="Arial"/>
          <w:sz w:val="20"/>
          <w:szCs w:val="20"/>
        </w:rPr>
        <w:t xml:space="preserve"> reported in adjoining tables. Values greater than 10 signify synergy. Combination Index (CI) was used to confirm synergy and is report</w:t>
      </w:r>
      <w:r w:rsidR="006D523F">
        <w:rPr>
          <w:rFonts w:ascii="Arial" w:eastAsiaTheme="minorHAnsi" w:hAnsi="Arial" w:cs="Arial"/>
          <w:sz w:val="20"/>
          <w:szCs w:val="20"/>
        </w:rPr>
        <w:t>ed. Values &lt;1 represent synergy.</w:t>
      </w:r>
    </w:p>
    <w:p w14:paraId="2665DAED" w14:textId="77777777" w:rsidR="006D523F" w:rsidRPr="006D523F" w:rsidRDefault="006D523F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06450121" w14:textId="1EABA56D" w:rsidR="006A516C" w:rsidRDefault="006A516C" w:rsidP="006A516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bCs/>
          <w:sz w:val="20"/>
          <w:szCs w:val="20"/>
        </w:rPr>
        <w:t>Supplementary Figure 3.</w:t>
      </w:r>
      <w:proofErr w:type="gramEnd"/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6A516C">
        <w:rPr>
          <w:rFonts w:ascii="Arial" w:eastAsiaTheme="minorHAnsi" w:hAnsi="Arial" w:cs="Arial"/>
          <w:bCs/>
          <w:sz w:val="20"/>
          <w:szCs w:val="20"/>
        </w:rPr>
        <w:t xml:space="preserve">A schema of the </w:t>
      </w:r>
      <w:r>
        <w:rPr>
          <w:rFonts w:ascii="Arial" w:eastAsiaTheme="minorHAnsi" w:hAnsi="Arial" w:cs="Arial"/>
          <w:bCs/>
          <w:sz w:val="20"/>
          <w:szCs w:val="20"/>
        </w:rPr>
        <w:t xml:space="preserve">various </w:t>
      </w:r>
      <w:proofErr w:type="spellStart"/>
      <w:r w:rsidRPr="006A516C">
        <w:rPr>
          <w:rFonts w:ascii="Arial" w:eastAsiaTheme="minorHAnsi" w:hAnsi="Arial" w:cs="Arial"/>
          <w:bCs/>
          <w:sz w:val="20"/>
          <w:szCs w:val="20"/>
        </w:rPr>
        <w:t>CpG</w:t>
      </w:r>
      <w:proofErr w:type="spellEnd"/>
      <w:r w:rsidRPr="006A516C">
        <w:rPr>
          <w:rFonts w:ascii="Arial" w:eastAsiaTheme="minorHAnsi" w:hAnsi="Arial" w:cs="Arial"/>
          <w:bCs/>
          <w:sz w:val="20"/>
          <w:szCs w:val="20"/>
        </w:rPr>
        <w:t xml:space="preserve"> locations </w:t>
      </w:r>
      <w:r>
        <w:rPr>
          <w:rFonts w:ascii="Arial" w:eastAsiaTheme="minorHAnsi" w:hAnsi="Arial" w:cs="Arial"/>
          <w:bCs/>
          <w:sz w:val="20"/>
          <w:szCs w:val="20"/>
        </w:rPr>
        <w:t xml:space="preserve">that were analyzed </w:t>
      </w:r>
      <w:r w:rsidRPr="006A516C">
        <w:rPr>
          <w:rFonts w:ascii="Arial" w:eastAsiaTheme="minorHAnsi" w:hAnsi="Arial" w:cs="Arial"/>
          <w:bCs/>
          <w:sz w:val="20"/>
          <w:szCs w:val="20"/>
        </w:rPr>
        <w:t xml:space="preserve">in the </w:t>
      </w:r>
      <w:r>
        <w:rPr>
          <w:rFonts w:ascii="Arial" w:eastAsiaTheme="minorHAnsi" w:hAnsi="Arial" w:cs="Arial"/>
          <w:bCs/>
          <w:sz w:val="20"/>
          <w:szCs w:val="20"/>
        </w:rPr>
        <w:t>Nox4 promoter of the gene is presented.</w:t>
      </w:r>
    </w:p>
    <w:p w14:paraId="5AC57069" w14:textId="02B748CB" w:rsidR="006A516C" w:rsidRDefault="006A516C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bCs/>
          <w:sz w:val="20"/>
          <w:szCs w:val="20"/>
        </w:rPr>
        <w:t>Supplementary Figure 4.</w:t>
      </w:r>
      <w:proofErr w:type="gramEnd"/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6A516C">
        <w:rPr>
          <w:rFonts w:ascii="Arial" w:eastAsiaTheme="minorHAnsi" w:hAnsi="Arial" w:cs="Arial"/>
          <w:bCs/>
          <w:sz w:val="20"/>
          <w:szCs w:val="20"/>
        </w:rPr>
        <w:t xml:space="preserve">A schema of the </w:t>
      </w:r>
      <w:r>
        <w:rPr>
          <w:rFonts w:ascii="Arial" w:eastAsiaTheme="minorHAnsi" w:hAnsi="Arial" w:cs="Arial"/>
          <w:bCs/>
          <w:sz w:val="20"/>
          <w:szCs w:val="20"/>
        </w:rPr>
        <w:t xml:space="preserve">various </w:t>
      </w:r>
      <w:proofErr w:type="spellStart"/>
      <w:r w:rsidRPr="006A516C">
        <w:rPr>
          <w:rFonts w:ascii="Arial" w:eastAsiaTheme="minorHAnsi" w:hAnsi="Arial" w:cs="Arial"/>
          <w:bCs/>
          <w:sz w:val="20"/>
          <w:szCs w:val="20"/>
        </w:rPr>
        <w:t>CpG</w:t>
      </w:r>
      <w:proofErr w:type="spellEnd"/>
      <w:r w:rsidRPr="006A516C">
        <w:rPr>
          <w:rFonts w:ascii="Arial" w:eastAsiaTheme="minorHAnsi" w:hAnsi="Arial" w:cs="Arial"/>
          <w:bCs/>
          <w:sz w:val="20"/>
          <w:szCs w:val="20"/>
        </w:rPr>
        <w:t xml:space="preserve"> locations </w:t>
      </w:r>
      <w:r>
        <w:rPr>
          <w:rFonts w:ascii="Arial" w:eastAsiaTheme="minorHAnsi" w:hAnsi="Arial" w:cs="Arial"/>
          <w:bCs/>
          <w:sz w:val="20"/>
          <w:szCs w:val="20"/>
        </w:rPr>
        <w:t xml:space="preserve">that were analyzed </w:t>
      </w:r>
      <w:r w:rsidRPr="006A516C">
        <w:rPr>
          <w:rFonts w:ascii="Arial" w:eastAsiaTheme="minorHAnsi" w:hAnsi="Arial" w:cs="Arial"/>
          <w:bCs/>
          <w:sz w:val="20"/>
          <w:szCs w:val="20"/>
        </w:rPr>
        <w:t xml:space="preserve">in the </w:t>
      </w:r>
      <w:r>
        <w:rPr>
          <w:rFonts w:ascii="Arial" w:eastAsiaTheme="minorHAnsi" w:hAnsi="Arial" w:cs="Arial"/>
          <w:bCs/>
          <w:sz w:val="20"/>
          <w:szCs w:val="20"/>
        </w:rPr>
        <w:t>Duox2 promoter of the gene is presented.</w:t>
      </w:r>
    </w:p>
    <w:p w14:paraId="2C8C70C5" w14:textId="77777777" w:rsidR="006D523F" w:rsidRPr="006A516C" w:rsidRDefault="006D523F" w:rsidP="001C7D1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E43B016" w14:textId="05F838E7" w:rsidR="00E92523" w:rsidRPr="00E92523" w:rsidRDefault="006D523F" w:rsidP="003822C4">
      <w:pPr>
        <w:spacing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sz w:val="20"/>
          <w:szCs w:val="20"/>
        </w:rPr>
        <w:t>Supplementary Figure 5</w:t>
      </w:r>
      <w:r w:rsidR="00E92523" w:rsidRPr="00E92523">
        <w:rPr>
          <w:rFonts w:ascii="Arial" w:eastAsiaTheme="minorHAnsi" w:hAnsi="Arial" w:cs="Arial"/>
          <w:b/>
          <w:sz w:val="20"/>
          <w:szCs w:val="20"/>
        </w:rPr>
        <w:t>.</w:t>
      </w:r>
      <w:proofErr w:type="gramEnd"/>
      <w:r w:rsidR="00E92523" w:rsidRPr="00E92523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E92523"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E92523" w:rsidRPr="00CE2A03">
        <w:rPr>
          <w:rFonts w:ascii="Arial" w:hAnsi="Arial" w:cs="Arial"/>
          <w:b/>
          <w:sz w:val="20"/>
          <w:szCs w:val="20"/>
        </w:rPr>
        <w:t>Decitabine</w:t>
      </w:r>
      <w:proofErr w:type="spellEnd"/>
      <w:r w:rsidR="00E92523" w:rsidRPr="00CE2A03">
        <w:rPr>
          <w:rFonts w:ascii="Arial" w:hAnsi="Arial" w:cs="Arial"/>
          <w:b/>
          <w:sz w:val="20"/>
          <w:szCs w:val="20"/>
        </w:rPr>
        <w:t xml:space="preserve"> and</w:t>
      </w:r>
      <w:r w:rsidR="00E92523" w:rsidRPr="00CE2A03">
        <w:rPr>
          <w:rFonts w:ascii="Arial" w:hAnsi="Arial" w:cs="Arial"/>
          <w:sz w:val="20"/>
          <w:szCs w:val="20"/>
        </w:rPr>
        <w:t xml:space="preserve"> </w:t>
      </w:r>
      <w:r w:rsidR="00E92523" w:rsidRPr="00CE2A03">
        <w:rPr>
          <w:rFonts w:ascii="Arial" w:hAnsi="Arial" w:cs="Arial"/>
          <w:b/>
          <w:bCs/>
          <w:iCs/>
          <w:sz w:val="20"/>
          <w:szCs w:val="20"/>
        </w:rPr>
        <w:t>GO-203 combination</w:t>
      </w:r>
      <w:r w:rsidR="00E92523">
        <w:rPr>
          <w:rFonts w:ascii="Arial" w:hAnsi="Arial" w:cs="Arial"/>
          <w:b/>
          <w:bCs/>
          <w:iCs/>
          <w:sz w:val="20"/>
          <w:szCs w:val="20"/>
        </w:rPr>
        <w:t xml:space="preserve"> increases Nox4 and Duox2 mRNA levels. </w:t>
      </w:r>
      <w:r w:rsidR="00E92523" w:rsidRPr="00E92523">
        <w:rPr>
          <w:rFonts w:ascii="Arial" w:eastAsiaTheme="minorHAnsi" w:hAnsi="Arial" w:cs="Arial"/>
          <w:sz w:val="20"/>
          <w:szCs w:val="20"/>
        </w:rPr>
        <w:t>A-B</w:t>
      </w:r>
      <w:r w:rsidR="00E92523">
        <w:rPr>
          <w:rFonts w:ascii="Arial" w:eastAsiaTheme="minorHAnsi" w:hAnsi="Arial" w:cs="Arial"/>
          <w:b/>
          <w:sz w:val="20"/>
          <w:szCs w:val="20"/>
        </w:rPr>
        <w:t xml:space="preserve">, </w:t>
      </w:r>
      <w:r w:rsidR="00E92523" w:rsidRPr="00CE2A03">
        <w:rPr>
          <w:rFonts w:ascii="Arial" w:eastAsiaTheme="minorHAnsi" w:hAnsi="Arial" w:cs="Arial"/>
          <w:sz w:val="20"/>
          <w:szCs w:val="20"/>
        </w:rPr>
        <w:t xml:space="preserve">H9 cells were </w:t>
      </w:r>
      <w:r w:rsidR="00E92523" w:rsidRPr="00CE2A03">
        <w:rPr>
          <w:rFonts w:ascii="Arial" w:hAnsi="Arial" w:cs="Arial"/>
          <w:bCs/>
          <w:iCs/>
          <w:sz w:val="20"/>
          <w:szCs w:val="20"/>
        </w:rPr>
        <w:t xml:space="preserve">left untreated, treated with GO-203 3 </w:t>
      </w:r>
      <w:proofErr w:type="spellStart"/>
      <w:r w:rsidR="00E92523" w:rsidRPr="00CE2A03">
        <w:rPr>
          <w:rFonts w:ascii="Arial" w:hAnsi="Arial" w:cs="Arial"/>
          <w:bCs/>
          <w:iCs/>
          <w:sz w:val="20"/>
          <w:szCs w:val="20"/>
        </w:rPr>
        <w:t>uM</w:t>
      </w:r>
      <w:proofErr w:type="spellEnd"/>
      <w:r w:rsidR="00E92523" w:rsidRPr="00CE2A03">
        <w:rPr>
          <w:rFonts w:ascii="Arial" w:hAnsi="Arial" w:cs="Arial"/>
          <w:bCs/>
          <w:iCs/>
          <w:sz w:val="20"/>
          <w:szCs w:val="20"/>
        </w:rPr>
        <w:t xml:space="preserve"> each day for 3 days, single dose of </w:t>
      </w:r>
      <w:proofErr w:type="spellStart"/>
      <w:r w:rsidR="00E92523" w:rsidRPr="00CE2A03">
        <w:rPr>
          <w:rFonts w:ascii="Arial" w:hAnsi="Arial" w:cs="Arial"/>
          <w:bCs/>
          <w:iCs/>
          <w:sz w:val="20"/>
          <w:szCs w:val="20"/>
        </w:rPr>
        <w:t>decitabine</w:t>
      </w:r>
      <w:proofErr w:type="spellEnd"/>
      <w:r w:rsidR="00E92523" w:rsidRPr="00CE2A03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E92523" w:rsidRPr="00CE2A03"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 w:rsidR="00E92523" w:rsidRPr="00CE2A03">
        <w:rPr>
          <w:rFonts w:ascii="Arial" w:hAnsi="Arial" w:cs="Arial"/>
          <w:bCs/>
          <w:iCs/>
          <w:sz w:val="20"/>
          <w:szCs w:val="20"/>
        </w:rPr>
        <w:t xml:space="preserve">) 40 </w:t>
      </w:r>
      <w:proofErr w:type="spellStart"/>
      <w:r w:rsidR="00E92523" w:rsidRPr="00CE2A03">
        <w:rPr>
          <w:rFonts w:ascii="Arial" w:hAnsi="Arial" w:cs="Arial"/>
          <w:bCs/>
          <w:iCs/>
          <w:sz w:val="20"/>
          <w:szCs w:val="20"/>
        </w:rPr>
        <w:t>nM</w:t>
      </w:r>
      <w:proofErr w:type="spellEnd"/>
      <w:r w:rsidR="00E92523" w:rsidRPr="00CE2A03">
        <w:rPr>
          <w:rFonts w:ascii="Arial" w:hAnsi="Arial" w:cs="Arial"/>
          <w:bCs/>
          <w:iCs/>
          <w:sz w:val="20"/>
          <w:szCs w:val="20"/>
        </w:rPr>
        <w:t xml:space="preserve"> or the combination</w:t>
      </w:r>
      <w:r w:rsidR="00E92523">
        <w:rPr>
          <w:rFonts w:ascii="Arial" w:hAnsi="Arial" w:cs="Arial"/>
          <w:bCs/>
          <w:iCs/>
          <w:sz w:val="20"/>
          <w:szCs w:val="20"/>
        </w:rPr>
        <w:t>.</w:t>
      </w:r>
      <w:r w:rsidR="00E92523" w:rsidRPr="00E92523">
        <w:rPr>
          <w:rFonts w:ascii="Arial" w:eastAsiaTheme="minorHAnsi" w:hAnsi="Arial" w:cs="Arial"/>
          <w:sz w:val="20"/>
          <w:szCs w:val="20"/>
        </w:rPr>
        <w:t xml:space="preserve"> Real-time</w:t>
      </w:r>
      <w:r w:rsidR="00E92523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E92523">
        <w:rPr>
          <w:rFonts w:ascii="Arial" w:eastAsiaTheme="minorHAnsi" w:hAnsi="Arial" w:cs="Arial"/>
          <w:sz w:val="20"/>
          <w:szCs w:val="20"/>
        </w:rPr>
        <w:t>qPCR</w:t>
      </w:r>
      <w:proofErr w:type="spellEnd"/>
      <w:r w:rsidR="00E92523">
        <w:rPr>
          <w:rFonts w:ascii="Arial" w:eastAsiaTheme="minorHAnsi" w:hAnsi="Arial" w:cs="Arial"/>
          <w:sz w:val="20"/>
          <w:szCs w:val="20"/>
        </w:rPr>
        <w:t xml:space="preserve"> was performed with primers amplifying </w:t>
      </w:r>
      <w:proofErr w:type="spellStart"/>
      <w:r w:rsidR="00E92523">
        <w:rPr>
          <w:rFonts w:ascii="Arial" w:eastAsiaTheme="minorHAnsi" w:hAnsi="Arial" w:cs="Arial"/>
          <w:sz w:val="20"/>
          <w:szCs w:val="20"/>
        </w:rPr>
        <w:t>cDNA</w:t>
      </w:r>
      <w:proofErr w:type="spellEnd"/>
      <w:r w:rsidR="00E92523">
        <w:rPr>
          <w:rFonts w:ascii="Arial" w:eastAsiaTheme="minorHAnsi" w:hAnsi="Arial" w:cs="Arial"/>
          <w:sz w:val="20"/>
          <w:szCs w:val="20"/>
        </w:rPr>
        <w:t xml:space="preserve"> fragments specific for human Nox4, Duox2 or GAPDH. Quantification was performed by </w:t>
      </w:r>
      <w:r w:rsidR="003E3A9D">
        <w:rPr>
          <w:rFonts w:ascii="Arial" w:eastAsiaTheme="minorHAnsi" w:hAnsi="Arial" w:cs="Arial"/>
          <w:sz w:val="20"/>
          <w:szCs w:val="20"/>
        </w:rPr>
        <w:t>∆</w:t>
      </w:r>
      <w:r w:rsidR="00E92523">
        <w:rPr>
          <w:rFonts w:ascii="Arial" w:eastAsiaTheme="minorHAnsi" w:hAnsi="Arial" w:cs="Arial"/>
          <w:sz w:val="20"/>
          <w:szCs w:val="20"/>
        </w:rPr>
        <w:t xml:space="preserve">CT calculation. C-D, Similar conditions were used for analysis of </w:t>
      </w:r>
      <w:r w:rsidR="00E92523">
        <w:rPr>
          <w:rFonts w:ascii="Arial" w:hAnsi="Arial" w:cs="Arial"/>
          <w:bCs/>
          <w:iCs/>
          <w:sz w:val="20"/>
          <w:szCs w:val="20"/>
        </w:rPr>
        <w:t>Nox4 and Duox2 mRNA levels</w:t>
      </w:r>
      <w:r w:rsidR="00E9252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92523" w:rsidRPr="00212756">
        <w:rPr>
          <w:rFonts w:ascii="Arial" w:hAnsi="Arial" w:cs="Arial"/>
          <w:bCs/>
          <w:iCs/>
          <w:sz w:val="20"/>
          <w:szCs w:val="20"/>
        </w:rPr>
        <w:t>in</w:t>
      </w:r>
      <w:r w:rsidR="00E9252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92523">
        <w:rPr>
          <w:rFonts w:ascii="Arial" w:eastAsiaTheme="minorHAnsi" w:hAnsi="Arial" w:cs="Arial"/>
          <w:sz w:val="20"/>
          <w:szCs w:val="20"/>
        </w:rPr>
        <w:t xml:space="preserve">HuT-78 cells. </w:t>
      </w:r>
    </w:p>
    <w:p w14:paraId="4006A087" w14:textId="7DB833F1" w:rsidR="00BE6D7D" w:rsidRDefault="006D523F" w:rsidP="003822C4">
      <w:pPr>
        <w:spacing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Supplementary Figure 6</w:t>
      </w:r>
      <w:r w:rsidR="00BE6D7D" w:rsidRPr="00CE2A03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BE6D7D" w:rsidRPr="00CE2A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D7D" w:rsidRPr="00CE2A03">
        <w:rPr>
          <w:rFonts w:ascii="Arial" w:hAnsi="Arial" w:cs="Arial"/>
          <w:b/>
          <w:sz w:val="20"/>
          <w:szCs w:val="20"/>
        </w:rPr>
        <w:t>Decitabine</w:t>
      </w:r>
      <w:proofErr w:type="spellEnd"/>
      <w:r w:rsidR="00BE6D7D" w:rsidRPr="00CE2A03">
        <w:rPr>
          <w:rFonts w:ascii="Arial" w:hAnsi="Arial" w:cs="Arial"/>
          <w:b/>
          <w:sz w:val="20"/>
          <w:szCs w:val="20"/>
        </w:rPr>
        <w:t xml:space="preserve"> and</w:t>
      </w:r>
      <w:r w:rsidR="00BE6D7D" w:rsidRPr="00CE2A03">
        <w:rPr>
          <w:rFonts w:ascii="Arial" w:hAnsi="Arial" w:cs="Arial"/>
          <w:sz w:val="20"/>
          <w:szCs w:val="20"/>
        </w:rPr>
        <w:t xml:space="preserve"> </w:t>
      </w:r>
      <w:r w:rsidR="00BE6D7D" w:rsidRPr="00CE2A03">
        <w:rPr>
          <w:rFonts w:ascii="Arial" w:hAnsi="Arial" w:cs="Arial"/>
          <w:b/>
          <w:bCs/>
          <w:iCs/>
          <w:sz w:val="20"/>
          <w:szCs w:val="20"/>
        </w:rPr>
        <w:t xml:space="preserve">GO-203 combination induces apoptosis in CTCL cells. </w:t>
      </w:r>
      <w:r w:rsidR="00BE6D7D" w:rsidRPr="00CE2A03">
        <w:rPr>
          <w:rFonts w:ascii="Arial" w:eastAsiaTheme="minorHAnsi" w:hAnsi="Arial" w:cs="Arial"/>
          <w:sz w:val="20"/>
          <w:szCs w:val="20"/>
        </w:rPr>
        <w:t xml:space="preserve">A-B, H9 and HuT-78 cells were </w:t>
      </w:r>
      <w:r w:rsidR="00BE6D7D" w:rsidRPr="00CE2A03">
        <w:rPr>
          <w:rFonts w:ascii="Arial" w:hAnsi="Arial" w:cs="Arial"/>
          <w:bCs/>
          <w:iCs/>
          <w:sz w:val="20"/>
          <w:szCs w:val="20"/>
        </w:rPr>
        <w:t xml:space="preserve">left untreated, treated with GO-203 3 </w:t>
      </w:r>
      <w:proofErr w:type="spellStart"/>
      <w:r w:rsidR="00BE6D7D" w:rsidRPr="00CE2A03">
        <w:rPr>
          <w:rFonts w:ascii="Arial" w:hAnsi="Arial" w:cs="Arial"/>
          <w:bCs/>
          <w:iCs/>
          <w:sz w:val="20"/>
          <w:szCs w:val="20"/>
        </w:rPr>
        <w:t>uM</w:t>
      </w:r>
      <w:proofErr w:type="spellEnd"/>
      <w:r w:rsidR="00BE6D7D" w:rsidRPr="00CE2A03">
        <w:rPr>
          <w:rFonts w:ascii="Arial" w:hAnsi="Arial" w:cs="Arial"/>
          <w:bCs/>
          <w:iCs/>
          <w:sz w:val="20"/>
          <w:szCs w:val="20"/>
        </w:rPr>
        <w:t xml:space="preserve"> each day for 3 days, single dose of </w:t>
      </w:r>
      <w:proofErr w:type="spellStart"/>
      <w:r w:rsidR="00BE6D7D" w:rsidRPr="00CE2A03">
        <w:rPr>
          <w:rFonts w:ascii="Arial" w:hAnsi="Arial" w:cs="Arial"/>
          <w:bCs/>
          <w:iCs/>
          <w:sz w:val="20"/>
          <w:szCs w:val="20"/>
        </w:rPr>
        <w:t>decitabine</w:t>
      </w:r>
      <w:proofErr w:type="spellEnd"/>
      <w:r w:rsidR="00BE6D7D" w:rsidRPr="00CE2A03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BE6D7D" w:rsidRPr="00CE2A03"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 w:rsidR="00BE6D7D" w:rsidRPr="00CE2A03">
        <w:rPr>
          <w:rFonts w:ascii="Arial" w:hAnsi="Arial" w:cs="Arial"/>
          <w:bCs/>
          <w:iCs/>
          <w:sz w:val="20"/>
          <w:szCs w:val="20"/>
        </w:rPr>
        <w:t xml:space="preserve">) 40 </w:t>
      </w:r>
      <w:proofErr w:type="spellStart"/>
      <w:r w:rsidR="00BE6D7D" w:rsidRPr="00CE2A03">
        <w:rPr>
          <w:rFonts w:ascii="Arial" w:hAnsi="Arial" w:cs="Arial"/>
          <w:bCs/>
          <w:iCs/>
          <w:sz w:val="20"/>
          <w:szCs w:val="20"/>
        </w:rPr>
        <w:t>nM</w:t>
      </w:r>
      <w:proofErr w:type="spellEnd"/>
      <w:r w:rsidR="00BE6D7D" w:rsidRPr="00CE2A03">
        <w:rPr>
          <w:rFonts w:ascii="Arial" w:hAnsi="Arial" w:cs="Arial"/>
          <w:bCs/>
          <w:iCs/>
          <w:sz w:val="20"/>
          <w:szCs w:val="20"/>
        </w:rPr>
        <w:t xml:space="preserve"> or the combination</w:t>
      </w:r>
      <w:r w:rsidR="00BE6D7D" w:rsidRPr="00CE2A03">
        <w:rPr>
          <w:rFonts w:ascii="Arial" w:eastAsiaTheme="minorHAnsi" w:hAnsi="Arial" w:cs="Arial"/>
          <w:sz w:val="20"/>
          <w:szCs w:val="20"/>
        </w:rPr>
        <w:t xml:space="preserve">. Cells were exposed to N-acetyl cysteine (NAC) 5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mM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for the last 2 days. Cells were incubated with PI and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annexin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V, and analyzed by flow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cytometry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at 96 hours. The results are expressed as percentage of cells with early, late apoptosis and necrosis (mean ± SD of 3 determinations). C-D, Representative flow plots of H9 and HuT-78 cells untreated, treated with 3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μM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GO-203 each day for 3 days, single dose of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decitabine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Dac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25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or 40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) or the combination followed by measurement of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Annexin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/PI stained cells at 96 hours are shown. The combination treated cells were also incubated in the presence of 5 </w:t>
      </w:r>
      <w:proofErr w:type="spellStart"/>
      <w:r w:rsidR="00BE6D7D" w:rsidRPr="00CE2A03">
        <w:rPr>
          <w:rFonts w:ascii="Arial" w:eastAsiaTheme="minorHAnsi" w:hAnsi="Arial" w:cs="Arial"/>
          <w:sz w:val="20"/>
          <w:szCs w:val="20"/>
        </w:rPr>
        <w:t>mM</w:t>
      </w:r>
      <w:proofErr w:type="spellEnd"/>
      <w:r w:rsidR="00BE6D7D" w:rsidRPr="00CE2A03">
        <w:rPr>
          <w:rFonts w:ascii="Arial" w:eastAsiaTheme="minorHAnsi" w:hAnsi="Arial" w:cs="Arial"/>
          <w:sz w:val="20"/>
          <w:szCs w:val="20"/>
        </w:rPr>
        <w:t xml:space="preserve"> NAC for the last 2 days.</w:t>
      </w:r>
    </w:p>
    <w:p w14:paraId="6B82D130" w14:textId="3555D1B2" w:rsidR="003E3A9D" w:rsidRDefault="006D523F" w:rsidP="006D523F">
      <w:pPr>
        <w:spacing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Supplementary Figure 7</w:t>
      </w:r>
      <w:r w:rsidR="00BE6D7D">
        <w:rPr>
          <w:rFonts w:ascii="Arial" w:hAnsi="Arial" w:cs="Arial"/>
          <w:b/>
          <w:sz w:val="20"/>
          <w:szCs w:val="20"/>
        </w:rPr>
        <w:t>.</w:t>
      </w:r>
      <w:proofErr w:type="gramEnd"/>
      <w:r w:rsidR="00BE6D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6D7D" w:rsidRPr="00902547">
        <w:rPr>
          <w:rFonts w:ascii="Arial" w:hAnsi="Arial" w:cs="Arial"/>
          <w:b/>
          <w:sz w:val="20"/>
          <w:szCs w:val="20"/>
        </w:rPr>
        <w:t>Decitabine</w:t>
      </w:r>
      <w:proofErr w:type="spellEnd"/>
      <w:r w:rsidR="00BE6D7D" w:rsidRPr="00902547">
        <w:rPr>
          <w:rFonts w:ascii="Arial" w:hAnsi="Arial" w:cs="Arial"/>
          <w:b/>
          <w:sz w:val="20"/>
          <w:szCs w:val="20"/>
        </w:rPr>
        <w:t xml:space="preserve"> and</w:t>
      </w:r>
      <w:r w:rsidR="00BE6D7D" w:rsidRPr="00902547">
        <w:rPr>
          <w:rFonts w:ascii="Arial" w:hAnsi="Arial" w:cs="Arial"/>
          <w:sz w:val="20"/>
          <w:szCs w:val="20"/>
        </w:rPr>
        <w:t xml:space="preserve"> </w:t>
      </w:r>
      <w:r w:rsidR="00BE6D7D" w:rsidRPr="00902547">
        <w:rPr>
          <w:rFonts w:ascii="Arial" w:hAnsi="Arial" w:cs="Arial"/>
          <w:b/>
          <w:bCs/>
          <w:iCs/>
          <w:sz w:val="20"/>
          <w:szCs w:val="20"/>
        </w:rPr>
        <w:t>GO-203 combination is synergistically cytotoxic in CTCL cells.</w:t>
      </w:r>
      <w:r w:rsidR="00BE6D7D" w:rsidRPr="00902547">
        <w:rPr>
          <w:rFonts w:ascii="Arial" w:hAnsi="Arial" w:cs="Arial"/>
          <w:bCs/>
          <w:iCs/>
          <w:sz w:val="20"/>
          <w:szCs w:val="20"/>
        </w:rPr>
        <w:t xml:space="preserve"> A-B,</w:t>
      </w:r>
      <w:r w:rsidR="00BE6D7D" w:rsidRPr="009025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E6D7D" w:rsidRPr="00902547">
        <w:rPr>
          <w:rFonts w:ascii="Arial" w:hAnsi="Arial" w:cs="Arial"/>
          <w:bCs/>
          <w:iCs/>
          <w:sz w:val="20"/>
          <w:szCs w:val="20"/>
        </w:rPr>
        <w:t xml:space="preserve">H9 and HuT-78 cells were left untreated, treated with varying concentrations of GO-203 (GO or G; 1.5-3 </w:t>
      </w:r>
      <w:proofErr w:type="spellStart"/>
      <w:r w:rsidR="00BE6D7D" w:rsidRPr="00902547">
        <w:rPr>
          <w:rFonts w:ascii="Arial" w:hAnsi="Arial" w:cs="Arial"/>
          <w:bCs/>
          <w:iCs/>
          <w:sz w:val="20"/>
          <w:szCs w:val="20"/>
        </w:rPr>
        <w:t>uM</w:t>
      </w:r>
      <w:proofErr w:type="spellEnd"/>
      <w:r w:rsidR="00BE6D7D" w:rsidRPr="00902547">
        <w:rPr>
          <w:rFonts w:ascii="Arial" w:hAnsi="Arial" w:cs="Arial"/>
          <w:bCs/>
          <w:iCs/>
          <w:sz w:val="20"/>
          <w:szCs w:val="20"/>
        </w:rPr>
        <w:t xml:space="preserve">) each day for 3 days, single dose of </w:t>
      </w:r>
      <w:proofErr w:type="spellStart"/>
      <w:r w:rsidR="00BE6D7D" w:rsidRPr="00902547"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 w:rsidR="00BE6D7D" w:rsidRPr="00902547">
        <w:rPr>
          <w:rFonts w:ascii="Arial" w:hAnsi="Arial" w:cs="Arial"/>
          <w:bCs/>
          <w:iCs/>
          <w:sz w:val="20"/>
          <w:szCs w:val="20"/>
        </w:rPr>
        <w:t xml:space="preserve"> (</w:t>
      </w:r>
      <w:proofErr w:type="spellStart"/>
      <w:r w:rsidR="00BE6D7D" w:rsidRPr="00902547">
        <w:rPr>
          <w:rFonts w:ascii="Arial" w:hAnsi="Arial" w:cs="Arial"/>
          <w:bCs/>
          <w:iCs/>
          <w:sz w:val="20"/>
          <w:szCs w:val="20"/>
        </w:rPr>
        <w:t>Dac</w:t>
      </w:r>
      <w:proofErr w:type="spellEnd"/>
      <w:r w:rsidR="00BE6D7D" w:rsidRPr="00902547">
        <w:rPr>
          <w:rFonts w:ascii="Arial" w:hAnsi="Arial" w:cs="Arial"/>
          <w:bCs/>
          <w:iCs/>
          <w:sz w:val="20"/>
          <w:szCs w:val="20"/>
        </w:rPr>
        <w:t xml:space="preserve"> or D; 10-40 </w:t>
      </w:r>
      <w:proofErr w:type="spellStart"/>
      <w:r w:rsidR="00BE6D7D" w:rsidRPr="00902547">
        <w:rPr>
          <w:rFonts w:ascii="Arial" w:hAnsi="Arial" w:cs="Arial"/>
          <w:bCs/>
          <w:iCs/>
          <w:sz w:val="20"/>
          <w:szCs w:val="20"/>
        </w:rPr>
        <w:t>nM</w:t>
      </w:r>
      <w:proofErr w:type="spellEnd"/>
      <w:r w:rsidR="00BE6D7D" w:rsidRPr="00902547">
        <w:rPr>
          <w:rFonts w:ascii="Arial" w:hAnsi="Arial" w:cs="Arial"/>
          <w:bCs/>
          <w:iCs/>
          <w:sz w:val="20"/>
          <w:szCs w:val="20"/>
        </w:rPr>
        <w:t>) or the combination</w:t>
      </w:r>
      <w:r w:rsidR="00BE6D7D" w:rsidRPr="00902547">
        <w:rPr>
          <w:rFonts w:ascii="Arial" w:eastAsiaTheme="minorHAnsi" w:hAnsi="Arial" w:cs="Arial"/>
          <w:sz w:val="20"/>
          <w:szCs w:val="20"/>
        </w:rPr>
        <w:t xml:space="preserve">.  </w:t>
      </w:r>
      <w:r w:rsidR="00BE6D7D" w:rsidRPr="00902547">
        <w:rPr>
          <w:rFonts w:ascii="Arial" w:eastAsiaTheme="minorHAnsi" w:hAnsi="Arial" w:cs="Arial"/>
          <w:iCs/>
          <w:sz w:val="20"/>
          <w:szCs w:val="20"/>
        </w:rPr>
        <w:t xml:space="preserve">Cell Titer </w:t>
      </w:r>
      <w:proofErr w:type="spellStart"/>
      <w:r w:rsidR="00BE6D7D" w:rsidRPr="00902547">
        <w:rPr>
          <w:rFonts w:ascii="Arial" w:eastAsiaTheme="minorHAnsi" w:hAnsi="Arial" w:cs="Arial"/>
          <w:iCs/>
          <w:sz w:val="20"/>
          <w:szCs w:val="20"/>
        </w:rPr>
        <w:t>Glo</w:t>
      </w:r>
      <w:proofErr w:type="spellEnd"/>
      <w:r w:rsidR="00BE6D7D" w:rsidRPr="00902547">
        <w:rPr>
          <w:rFonts w:ascii="Arial" w:eastAsiaTheme="minorHAnsi" w:hAnsi="Arial" w:cs="Arial"/>
          <w:iCs/>
          <w:sz w:val="20"/>
          <w:szCs w:val="20"/>
        </w:rPr>
        <w:t xml:space="preserve"> was added and viability was measured at 96 hours. </w:t>
      </w:r>
      <w:r w:rsidR="00BE6D7D" w:rsidRPr="00902547">
        <w:rPr>
          <w:rFonts w:ascii="Arial" w:eastAsiaTheme="minorHAnsi" w:hAnsi="Arial" w:cs="Arial"/>
          <w:sz w:val="20"/>
          <w:szCs w:val="20"/>
        </w:rPr>
        <w:t>The results are expressed as relative percentage viability (mean ± SD of 3 determinations) compared to the control. C-D, Excess over Bliss independence Model was used to calculate synergy co-</w:t>
      </w:r>
      <w:proofErr w:type="spellStart"/>
      <w:r w:rsidR="00BE6D7D" w:rsidRPr="00902547">
        <w:rPr>
          <w:rFonts w:ascii="Arial" w:eastAsiaTheme="minorHAnsi" w:hAnsi="Arial" w:cs="Arial"/>
          <w:sz w:val="20"/>
          <w:szCs w:val="20"/>
        </w:rPr>
        <w:t>efficients</w:t>
      </w:r>
      <w:proofErr w:type="spellEnd"/>
      <w:r w:rsidR="00BE6D7D" w:rsidRPr="00902547">
        <w:rPr>
          <w:rFonts w:ascii="Arial" w:eastAsiaTheme="minorHAnsi" w:hAnsi="Arial" w:cs="Arial"/>
          <w:sz w:val="20"/>
          <w:szCs w:val="20"/>
        </w:rPr>
        <w:t xml:space="preserve"> reported in adjoining tables. Values greater than 10 signify synergy. Combination Index (CI) was used to confirm synergy and is reported. Values &lt;1 represent synergy.</w:t>
      </w:r>
    </w:p>
    <w:p w14:paraId="70D1864E" w14:textId="03A6A7AD" w:rsidR="003E3A9D" w:rsidRDefault="003E3A9D" w:rsidP="003822C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sz w:val="20"/>
          <w:szCs w:val="20"/>
        </w:rPr>
        <w:t xml:space="preserve">Supplementary Figure </w:t>
      </w:r>
      <w:r w:rsidR="006D523F">
        <w:rPr>
          <w:rFonts w:ascii="Arial" w:eastAsiaTheme="minorHAnsi" w:hAnsi="Arial" w:cs="Arial"/>
          <w:b/>
          <w:sz w:val="20"/>
          <w:szCs w:val="20"/>
        </w:rPr>
        <w:t>8</w:t>
      </w:r>
      <w:r>
        <w:rPr>
          <w:rFonts w:ascii="Arial" w:eastAsiaTheme="minorHAnsi" w:hAnsi="Arial" w:cs="Arial"/>
          <w:b/>
          <w:sz w:val="20"/>
          <w:szCs w:val="20"/>
        </w:rPr>
        <w:t>.</w:t>
      </w:r>
      <w:proofErr w:type="gramEnd"/>
      <w:r>
        <w:rPr>
          <w:rFonts w:ascii="Arial" w:eastAsiaTheme="minorHAnsi" w:hAnsi="Arial" w:cs="Arial"/>
          <w:b/>
          <w:sz w:val="20"/>
          <w:szCs w:val="20"/>
        </w:rPr>
        <w:t xml:space="preserve"> </w:t>
      </w:r>
      <w:proofErr w:type="spellStart"/>
      <w:r w:rsidR="00FF7E19" w:rsidRPr="00902547">
        <w:rPr>
          <w:rFonts w:ascii="Arial" w:hAnsi="Arial" w:cs="Arial"/>
          <w:b/>
          <w:bCs/>
          <w:sz w:val="20"/>
          <w:szCs w:val="20"/>
        </w:rPr>
        <w:t>Decitabine</w:t>
      </w:r>
      <w:proofErr w:type="spellEnd"/>
      <w:r w:rsidR="00FF7E19" w:rsidRPr="00902547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FF7E19" w:rsidRPr="00902547">
        <w:rPr>
          <w:rFonts w:ascii="Arial" w:eastAsiaTheme="minorHAnsi" w:hAnsi="Arial" w:cs="Arial"/>
          <w:b/>
          <w:bCs/>
          <w:sz w:val="20"/>
          <w:szCs w:val="20"/>
        </w:rPr>
        <w:t>MUC1-C inhibitor combination increases hydrogen peroxide (H</w:t>
      </w:r>
      <w:r w:rsidR="00FF7E19"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 w:rsidR="00FF7E19" w:rsidRPr="00902547">
        <w:rPr>
          <w:rFonts w:ascii="Arial" w:eastAsiaTheme="minorHAnsi" w:hAnsi="Arial" w:cs="Arial"/>
          <w:b/>
          <w:bCs/>
          <w:sz w:val="20"/>
          <w:szCs w:val="20"/>
        </w:rPr>
        <w:t>O</w:t>
      </w:r>
      <w:r w:rsidR="00FF7E19" w:rsidRPr="00902547">
        <w:rPr>
          <w:rFonts w:ascii="Arial" w:eastAsiaTheme="minorHAnsi" w:hAnsi="Arial" w:cs="Arial"/>
          <w:b/>
          <w:bCs/>
          <w:sz w:val="20"/>
          <w:szCs w:val="20"/>
          <w:vertAlign w:val="subscript"/>
        </w:rPr>
        <w:t>2</w:t>
      </w:r>
      <w:r w:rsidR="00FF7E19" w:rsidRPr="00902547">
        <w:rPr>
          <w:rFonts w:ascii="Arial" w:eastAsiaTheme="minorHAnsi" w:hAnsi="Arial" w:cs="Arial"/>
          <w:b/>
          <w:bCs/>
          <w:sz w:val="20"/>
          <w:szCs w:val="20"/>
        </w:rPr>
        <w:t>) levels, which is abrogated by addition of NAC</w:t>
      </w:r>
      <w:r w:rsidR="00FF7E19">
        <w:rPr>
          <w:rFonts w:ascii="Arial" w:eastAsiaTheme="minorHAnsi" w:hAnsi="Arial" w:cs="Arial"/>
          <w:b/>
          <w:bCs/>
          <w:sz w:val="20"/>
          <w:szCs w:val="20"/>
        </w:rPr>
        <w:t xml:space="preserve"> in primary CTCL cells.  </w:t>
      </w:r>
      <w:r w:rsidR="00FF7E19" w:rsidRPr="00FF7E19">
        <w:rPr>
          <w:rFonts w:ascii="Arial" w:eastAsiaTheme="minorHAnsi" w:hAnsi="Arial" w:cs="Arial"/>
          <w:bCs/>
          <w:sz w:val="20"/>
          <w:szCs w:val="20"/>
        </w:rPr>
        <w:t>A-B</w:t>
      </w:r>
      <w:r w:rsidR="00FF7E19">
        <w:rPr>
          <w:rFonts w:ascii="Arial" w:eastAsiaTheme="minorHAnsi" w:hAnsi="Arial" w:cs="Arial"/>
          <w:b/>
          <w:bCs/>
          <w:sz w:val="20"/>
          <w:szCs w:val="20"/>
        </w:rPr>
        <w:t xml:space="preserve">, </w:t>
      </w:r>
      <w:r w:rsidR="00FF7E19">
        <w:rPr>
          <w:rFonts w:ascii="Arial" w:eastAsiaTheme="minorHAnsi" w:hAnsi="Arial" w:cs="Arial"/>
          <w:sz w:val="20"/>
          <w:szCs w:val="20"/>
        </w:rPr>
        <w:t>D</w:t>
      </w:r>
      <w:r w:rsidR="00FF7E19" w:rsidRPr="00902547">
        <w:rPr>
          <w:rFonts w:ascii="Arial" w:eastAsiaTheme="minorHAnsi" w:hAnsi="Arial" w:cs="Arial"/>
          <w:sz w:val="20"/>
          <w:szCs w:val="20"/>
        </w:rPr>
        <w:t xml:space="preserve">ouble positive, </w:t>
      </w:r>
      <w:r w:rsidR="00FF7E19" w:rsidRPr="00902547">
        <w:rPr>
          <w:rFonts w:ascii="Arial" w:hAnsi="Arial" w:cs="Arial"/>
          <w:sz w:val="20"/>
          <w:szCs w:val="20"/>
        </w:rPr>
        <w:t xml:space="preserve">TCR </w:t>
      </w:r>
      <w:r w:rsidR="00FF7E19" w:rsidRPr="00902547">
        <w:rPr>
          <w:rFonts w:ascii="Arial" w:eastAsiaTheme="minorHAnsi" w:hAnsi="Arial" w:cs="Arial"/>
          <w:sz w:val="20"/>
          <w:szCs w:val="20"/>
        </w:rPr>
        <w:t xml:space="preserve">Vβ and </w:t>
      </w:r>
      <w:r w:rsidR="00FF7E19">
        <w:rPr>
          <w:rFonts w:ascii="Arial" w:eastAsiaTheme="minorHAnsi" w:hAnsi="Arial" w:cs="Arial"/>
          <w:sz w:val="20"/>
          <w:szCs w:val="20"/>
        </w:rPr>
        <w:t>MUC1-N</w:t>
      </w:r>
      <w:r w:rsidR="00FF7E19" w:rsidRPr="00CE2A03">
        <w:rPr>
          <w:rFonts w:ascii="Arial" w:eastAsiaTheme="minorHAnsi" w:hAnsi="Arial" w:cs="Arial"/>
          <w:sz w:val="20"/>
          <w:szCs w:val="20"/>
        </w:rPr>
        <w:t xml:space="preserve"> </w:t>
      </w:r>
      <w:r w:rsidR="00FF7E19">
        <w:rPr>
          <w:rFonts w:ascii="Arial" w:eastAsiaTheme="minorHAnsi" w:hAnsi="Arial" w:cs="Arial"/>
          <w:sz w:val="20"/>
          <w:szCs w:val="20"/>
        </w:rPr>
        <w:t xml:space="preserve">primary CTCL cells from 2 patients </w:t>
      </w:r>
      <w:r w:rsidR="00FF7E19" w:rsidRPr="00CE2A03">
        <w:rPr>
          <w:rFonts w:ascii="Arial" w:eastAsiaTheme="minorHAnsi" w:hAnsi="Arial" w:cs="Arial"/>
          <w:sz w:val="20"/>
          <w:szCs w:val="20"/>
        </w:rPr>
        <w:t xml:space="preserve">were left untreated, treated with 3 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μM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 xml:space="preserve"> GO-203 each day for 3 days, single dose of 40 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nM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Decitabine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 xml:space="preserve"> (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Dac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 xml:space="preserve">) or the combination. The combination treated cells were also incubated in the presence of 5 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mM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 xml:space="preserve"> NAC for the last 2 days (combination plus NAC). At 96 hours harvested cells were incubated with c-H</w:t>
      </w:r>
      <w:r w:rsidR="00FF7E19" w:rsidRPr="00CE2A03">
        <w:rPr>
          <w:rFonts w:ascii="Arial" w:eastAsiaTheme="minorHAnsi" w:hAnsi="Arial" w:cs="Arial"/>
          <w:sz w:val="20"/>
          <w:szCs w:val="20"/>
          <w:vertAlign w:val="subscript"/>
        </w:rPr>
        <w:t>2</w:t>
      </w:r>
      <w:r w:rsidR="00FF7E19" w:rsidRPr="00CE2A03">
        <w:rPr>
          <w:rFonts w:ascii="Arial" w:eastAsiaTheme="minorHAnsi" w:hAnsi="Arial" w:cs="Arial"/>
          <w:sz w:val="20"/>
          <w:szCs w:val="20"/>
        </w:rPr>
        <w:t xml:space="preserve">DCFDA for 30 minutes. Fluorescence of oxidized DCF was measured by flow </w:t>
      </w:r>
      <w:proofErr w:type="spellStart"/>
      <w:r w:rsidR="00FF7E19" w:rsidRPr="00CE2A03">
        <w:rPr>
          <w:rFonts w:ascii="Arial" w:eastAsiaTheme="minorHAnsi" w:hAnsi="Arial" w:cs="Arial"/>
          <w:sz w:val="20"/>
          <w:szCs w:val="20"/>
        </w:rPr>
        <w:t>cytometry</w:t>
      </w:r>
      <w:proofErr w:type="spellEnd"/>
      <w:r w:rsidR="00FF7E19" w:rsidRPr="00CE2A03">
        <w:rPr>
          <w:rFonts w:ascii="Arial" w:eastAsiaTheme="minorHAnsi" w:hAnsi="Arial" w:cs="Arial"/>
          <w:sz w:val="20"/>
          <w:szCs w:val="20"/>
        </w:rPr>
        <w:t>. The results are expressed as the relative hydrogen peroxi</w:t>
      </w:r>
      <w:r w:rsidR="00E33D9C">
        <w:rPr>
          <w:rFonts w:ascii="Arial" w:eastAsiaTheme="minorHAnsi" w:hAnsi="Arial" w:cs="Arial"/>
          <w:sz w:val="20"/>
          <w:szCs w:val="20"/>
        </w:rPr>
        <w:t xml:space="preserve">de levels in live cells </w:t>
      </w:r>
      <w:r w:rsidR="00FF7E19" w:rsidRPr="00CE2A03">
        <w:rPr>
          <w:rFonts w:ascii="Arial" w:eastAsiaTheme="minorHAnsi" w:hAnsi="Arial" w:cs="Arial"/>
          <w:sz w:val="20"/>
          <w:szCs w:val="20"/>
        </w:rPr>
        <w:t>compared with that obtained for control cells</w:t>
      </w:r>
      <w:r w:rsidR="00E33D9C">
        <w:rPr>
          <w:rFonts w:ascii="Arial" w:eastAsiaTheme="minorHAnsi" w:hAnsi="Arial" w:cs="Arial"/>
          <w:sz w:val="20"/>
          <w:szCs w:val="20"/>
        </w:rPr>
        <w:t xml:space="preserve">. C-D, </w:t>
      </w:r>
      <w:r w:rsidR="00FF7E19" w:rsidRPr="00902547">
        <w:rPr>
          <w:rFonts w:ascii="Arial" w:eastAsiaTheme="minorHAnsi" w:hAnsi="Arial" w:cs="Arial"/>
          <w:sz w:val="20"/>
          <w:szCs w:val="20"/>
        </w:rPr>
        <w:t>Re</w:t>
      </w:r>
      <w:r w:rsidR="00E33D9C">
        <w:rPr>
          <w:rFonts w:ascii="Arial" w:eastAsiaTheme="minorHAnsi" w:hAnsi="Arial" w:cs="Arial"/>
          <w:sz w:val="20"/>
          <w:szCs w:val="20"/>
        </w:rPr>
        <w:t xml:space="preserve">presentative FACS histograms are presented. </w:t>
      </w:r>
    </w:p>
    <w:p w14:paraId="5B722269" w14:textId="77777777" w:rsidR="00E33D9C" w:rsidRDefault="00E33D9C" w:rsidP="003822C4">
      <w:pPr>
        <w:spacing w:after="0" w:line="48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0B3C5D4" w14:textId="6496FF39" w:rsidR="00673932" w:rsidRPr="00902547" w:rsidRDefault="00673932" w:rsidP="003822C4">
      <w:pPr>
        <w:spacing w:after="0" w:line="480" w:lineRule="auto"/>
        <w:jc w:val="both"/>
        <w:rPr>
          <w:sz w:val="20"/>
          <w:szCs w:val="20"/>
        </w:rPr>
      </w:pPr>
    </w:p>
    <w:sectPr w:rsidR="00673932" w:rsidRPr="00902547" w:rsidSect="006739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7"/>
    <w:rsid w:val="00013FD4"/>
    <w:rsid w:val="001C7D15"/>
    <w:rsid w:val="00212756"/>
    <w:rsid w:val="003151D5"/>
    <w:rsid w:val="00374662"/>
    <w:rsid w:val="003822C4"/>
    <w:rsid w:val="003E3A9D"/>
    <w:rsid w:val="00420B49"/>
    <w:rsid w:val="00427B0A"/>
    <w:rsid w:val="00456A82"/>
    <w:rsid w:val="00673932"/>
    <w:rsid w:val="006A516C"/>
    <w:rsid w:val="006B3D73"/>
    <w:rsid w:val="006D523F"/>
    <w:rsid w:val="00891794"/>
    <w:rsid w:val="00902547"/>
    <w:rsid w:val="00B1679D"/>
    <w:rsid w:val="00BE6D7D"/>
    <w:rsid w:val="00E33D9C"/>
    <w:rsid w:val="00E9252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44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47"/>
    <w:pPr>
      <w:spacing w:after="20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47"/>
    <w:pPr>
      <w:spacing w:after="20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D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818</Words>
  <Characters>4668</Characters>
  <Application>Microsoft Macintosh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Jain</dc:creator>
  <cp:keywords/>
  <dc:description/>
  <cp:lastModifiedBy>Indra Jain</cp:lastModifiedBy>
  <cp:revision>17</cp:revision>
  <dcterms:created xsi:type="dcterms:W3CDTF">2016-08-17T03:00:00Z</dcterms:created>
  <dcterms:modified xsi:type="dcterms:W3CDTF">2017-04-13T20:57:00Z</dcterms:modified>
</cp:coreProperties>
</file>