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45474" w14:textId="77777777" w:rsidR="00870D7D" w:rsidRDefault="00870D7D" w:rsidP="00870D7D">
      <w:pPr>
        <w:spacing w:line="360" w:lineRule="auto"/>
        <w:jc w:val="both"/>
        <w:outlineLvl w:val="0"/>
        <w:rPr>
          <w:rFonts w:eastAsia="Times New Roman"/>
          <w:b/>
          <w:sz w:val="22"/>
          <w:szCs w:val="22"/>
        </w:rPr>
      </w:pPr>
      <w:r>
        <w:rPr>
          <w:rFonts w:eastAsia="Times New Roman"/>
          <w:b/>
          <w:sz w:val="22"/>
          <w:szCs w:val="22"/>
        </w:rPr>
        <w:t>Supplementary Figure Legends</w:t>
      </w:r>
    </w:p>
    <w:p w14:paraId="5D18DD5A" w14:textId="77777777" w:rsidR="00870D7D" w:rsidRDefault="00870D7D" w:rsidP="00870D7D">
      <w:pPr>
        <w:spacing w:line="360" w:lineRule="auto"/>
        <w:jc w:val="both"/>
        <w:rPr>
          <w:rFonts w:eastAsia="Times New Roman"/>
          <w:b/>
          <w:sz w:val="22"/>
          <w:szCs w:val="22"/>
        </w:rPr>
      </w:pPr>
    </w:p>
    <w:p w14:paraId="1DF09F3D" w14:textId="77777777" w:rsidR="00870D7D" w:rsidRDefault="00870D7D" w:rsidP="00870D7D">
      <w:pPr>
        <w:spacing w:line="360" w:lineRule="auto"/>
        <w:jc w:val="both"/>
        <w:rPr>
          <w:rFonts w:eastAsia="Times New Roman"/>
          <w:sz w:val="22"/>
          <w:szCs w:val="22"/>
        </w:rPr>
      </w:pPr>
      <w:r>
        <w:rPr>
          <w:rFonts w:eastAsia="Times New Roman"/>
          <w:b/>
          <w:sz w:val="22"/>
          <w:szCs w:val="22"/>
        </w:rPr>
        <w:t xml:space="preserve">Supplementary Figure S1: Chromatin regulators included in this study. </w:t>
      </w:r>
      <w:r>
        <w:rPr>
          <w:rFonts w:eastAsia="Times New Roman"/>
          <w:sz w:val="22"/>
          <w:szCs w:val="22"/>
        </w:rPr>
        <w:t>A list of 551 chromatin regulators included in this study.</w:t>
      </w:r>
    </w:p>
    <w:p w14:paraId="33199CF6" w14:textId="77777777" w:rsidR="00870D7D" w:rsidRPr="0098223B" w:rsidRDefault="00870D7D" w:rsidP="00870D7D">
      <w:pPr>
        <w:spacing w:line="360" w:lineRule="auto"/>
        <w:jc w:val="both"/>
        <w:rPr>
          <w:rFonts w:eastAsia="MS Mincho"/>
          <w:sz w:val="22"/>
          <w:szCs w:val="22"/>
          <w:lang w:val="en-US"/>
        </w:rPr>
      </w:pPr>
    </w:p>
    <w:p w14:paraId="78A74CE0" w14:textId="2D628782" w:rsidR="00870D7D" w:rsidRDefault="00870D7D" w:rsidP="00870D7D">
      <w:pPr>
        <w:spacing w:line="360" w:lineRule="auto"/>
        <w:jc w:val="both"/>
        <w:rPr>
          <w:rFonts w:eastAsia="Times New Roman"/>
          <w:sz w:val="22"/>
          <w:szCs w:val="22"/>
        </w:rPr>
      </w:pPr>
      <w:r>
        <w:rPr>
          <w:rFonts w:eastAsia="Times New Roman"/>
          <w:b/>
          <w:sz w:val="22"/>
          <w:szCs w:val="22"/>
        </w:rPr>
        <w:t xml:space="preserve">Supplementary Figure S2: A chromatin regulator gene panel distinguishes </w:t>
      </w:r>
      <w:proofErr w:type="spellStart"/>
      <w:r>
        <w:rPr>
          <w:rFonts w:eastAsia="Times New Roman"/>
          <w:b/>
          <w:sz w:val="22"/>
          <w:szCs w:val="22"/>
        </w:rPr>
        <w:t>docetaxel</w:t>
      </w:r>
      <w:proofErr w:type="spellEnd"/>
      <w:r>
        <w:rPr>
          <w:rFonts w:eastAsia="Times New Roman"/>
          <w:b/>
          <w:sz w:val="22"/>
          <w:szCs w:val="22"/>
        </w:rPr>
        <w:t xml:space="preserve"> </w:t>
      </w:r>
      <w:r w:rsidR="00EC5C5F">
        <w:rPr>
          <w:rFonts w:eastAsia="Times New Roman"/>
          <w:b/>
          <w:sz w:val="22"/>
          <w:szCs w:val="22"/>
        </w:rPr>
        <w:t>high-</w:t>
      </w:r>
      <w:r>
        <w:rPr>
          <w:rFonts w:eastAsia="Times New Roman"/>
          <w:b/>
          <w:sz w:val="22"/>
          <w:szCs w:val="22"/>
        </w:rPr>
        <w:t xml:space="preserve">responders and </w:t>
      </w:r>
      <w:r w:rsidR="00EC5C5F">
        <w:rPr>
          <w:rFonts w:eastAsia="Times New Roman"/>
          <w:b/>
          <w:sz w:val="22"/>
          <w:szCs w:val="22"/>
        </w:rPr>
        <w:t>poor</w:t>
      </w:r>
      <w:r>
        <w:rPr>
          <w:rFonts w:eastAsia="Times New Roman"/>
          <w:b/>
          <w:sz w:val="22"/>
          <w:szCs w:val="22"/>
        </w:rPr>
        <w:t xml:space="preserve">-responders. A. </w:t>
      </w:r>
      <w:r>
        <w:rPr>
          <w:rFonts w:eastAsia="Times New Roman"/>
          <w:sz w:val="22"/>
          <w:szCs w:val="22"/>
        </w:rPr>
        <w:t>Correlation—as measured using R</w:t>
      </w:r>
      <w:r w:rsidRPr="00AC1B86">
        <w:rPr>
          <w:rFonts w:eastAsia="Times New Roman"/>
          <w:sz w:val="22"/>
          <w:szCs w:val="22"/>
          <w:vertAlign w:val="superscript"/>
        </w:rPr>
        <w:t>2</w:t>
      </w:r>
      <w:r>
        <w:rPr>
          <w:rFonts w:eastAsia="Times New Roman"/>
          <w:sz w:val="22"/>
          <w:szCs w:val="22"/>
          <w:vertAlign w:val="superscript"/>
        </w:rPr>
        <w:t xml:space="preserve"> </w:t>
      </w:r>
      <w:r w:rsidRPr="00AC1B86">
        <w:rPr>
          <w:rFonts w:eastAsia="Times New Roman"/>
          <w:sz w:val="22"/>
          <w:szCs w:val="22"/>
        </w:rPr>
        <w:t>value</w:t>
      </w:r>
      <w:r>
        <w:rPr>
          <w:rFonts w:eastAsia="Times New Roman"/>
          <w:sz w:val="22"/>
          <w:szCs w:val="22"/>
        </w:rPr>
        <w:t xml:space="preserve">—between predicted and </w:t>
      </w:r>
      <w:r w:rsidR="00EC5C5F">
        <w:rPr>
          <w:rFonts w:eastAsia="Times New Roman"/>
          <w:sz w:val="22"/>
          <w:szCs w:val="22"/>
        </w:rPr>
        <w:t>measured</w:t>
      </w:r>
      <w:r>
        <w:rPr>
          <w:rFonts w:eastAsia="Times New Roman"/>
          <w:sz w:val="22"/>
          <w:szCs w:val="22"/>
        </w:rPr>
        <w:t xml:space="preserve"> </w:t>
      </w:r>
      <w:proofErr w:type="spellStart"/>
      <w:r>
        <w:rPr>
          <w:rFonts w:eastAsia="Times New Roman"/>
          <w:sz w:val="22"/>
          <w:szCs w:val="22"/>
        </w:rPr>
        <w:t>tumor</w:t>
      </w:r>
      <w:proofErr w:type="spellEnd"/>
      <w:r>
        <w:rPr>
          <w:rFonts w:eastAsia="Times New Roman"/>
          <w:sz w:val="22"/>
          <w:szCs w:val="22"/>
        </w:rPr>
        <w:t xml:space="preserve"> growth inhibition (TGI) for 21 TNBC PDX models treated with </w:t>
      </w:r>
      <w:proofErr w:type="spellStart"/>
      <w:r>
        <w:rPr>
          <w:rFonts w:eastAsia="Times New Roman"/>
          <w:sz w:val="22"/>
          <w:szCs w:val="22"/>
        </w:rPr>
        <w:t>docetaxel</w:t>
      </w:r>
      <w:proofErr w:type="spellEnd"/>
      <w:r>
        <w:rPr>
          <w:rFonts w:eastAsia="Times New Roman"/>
          <w:sz w:val="22"/>
          <w:szCs w:val="22"/>
        </w:rPr>
        <w:t xml:space="preserve"> using Random Forest classification (RF, blue) and random generalized linear model (RGLM, red). The number of genes in each panel is indicated. Random indicates a random 19</w:t>
      </w:r>
      <w:r w:rsidR="00E375F9">
        <w:rPr>
          <w:rFonts w:eastAsia="Times New Roman"/>
          <w:sz w:val="22"/>
          <w:szCs w:val="22"/>
        </w:rPr>
        <w:t>-chromatin regulator gene panel and t</w:t>
      </w:r>
      <w:r w:rsidR="00EC5C5F">
        <w:rPr>
          <w:rFonts w:eastAsia="Times New Roman"/>
          <w:sz w:val="22"/>
          <w:szCs w:val="22"/>
        </w:rPr>
        <w:t>he R</w:t>
      </w:r>
      <w:r w:rsidR="00EC5C5F" w:rsidRPr="00EC5C5F">
        <w:rPr>
          <w:rFonts w:eastAsia="Times New Roman"/>
          <w:sz w:val="22"/>
          <w:szCs w:val="22"/>
          <w:vertAlign w:val="superscript"/>
        </w:rPr>
        <w:t>2</w:t>
      </w:r>
      <w:r w:rsidR="00EC5C5F">
        <w:rPr>
          <w:rFonts w:eastAsia="Times New Roman"/>
          <w:sz w:val="22"/>
          <w:szCs w:val="22"/>
        </w:rPr>
        <w:t xml:space="preserve"> value </w:t>
      </w:r>
      <w:r w:rsidR="00E375F9">
        <w:rPr>
          <w:rFonts w:eastAsia="Times New Roman"/>
          <w:sz w:val="22"/>
          <w:szCs w:val="22"/>
        </w:rPr>
        <w:t xml:space="preserve">here </w:t>
      </w:r>
      <w:r w:rsidR="00EC5C5F">
        <w:rPr>
          <w:rFonts w:eastAsia="Times New Roman"/>
          <w:sz w:val="22"/>
          <w:szCs w:val="22"/>
        </w:rPr>
        <w:t>represents the average across 3 random</w:t>
      </w:r>
      <w:r w:rsidR="00E375F9">
        <w:rPr>
          <w:rFonts w:eastAsia="Times New Roman"/>
          <w:sz w:val="22"/>
          <w:szCs w:val="22"/>
        </w:rPr>
        <w:t>,</w:t>
      </w:r>
      <w:r w:rsidR="00EC5C5F">
        <w:rPr>
          <w:rFonts w:eastAsia="Times New Roman"/>
          <w:sz w:val="22"/>
          <w:szCs w:val="22"/>
        </w:rPr>
        <w:t xml:space="preserve"> 19-chromatin regulator gene panels.</w:t>
      </w:r>
      <w:r>
        <w:rPr>
          <w:rFonts w:eastAsia="Times New Roman"/>
          <w:sz w:val="22"/>
          <w:szCs w:val="22"/>
        </w:rPr>
        <w:t xml:space="preserve"> </w:t>
      </w:r>
      <w:r w:rsidRPr="00AC1B86">
        <w:rPr>
          <w:rFonts w:eastAsia="Times New Roman"/>
          <w:b/>
          <w:sz w:val="22"/>
          <w:szCs w:val="22"/>
        </w:rPr>
        <w:t>B</w:t>
      </w:r>
      <w:r>
        <w:rPr>
          <w:rFonts w:eastAsia="Times New Roman"/>
          <w:sz w:val="22"/>
          <w:szCs w:val="22"/>
        </w:rPr>
        <w:t>. Receiver operating characteristic (ROC) curves corresponding to 100 random</w:t>
      </w:r>
      <w:r w:rsidR="00E375F9">
        <w:rPr>
          <w:rFonts w:eastAsia="Times New Roman"/>
          <w:sz w:val="22"/>
          <w:szCs w:val="22"/>
        </w:rPr>
        <w:t>,</w:t>
      </w:r>
      <w:r>
        <w:rPr>
          <w:rFonts w:eastAsia="Times New Roman"/>
          <w:sz w:val="22"/>
          <w:szCs w:val="22"/>
        </w:rPr>
        <w:t xml:space="preserve"> 19-member chromatin regulator gene panels to classify </w:t>
      </w:r>
      <w:proofErr w:type="spellStart"/>
      <w:r>
        <w:rPr>
          <w:rFonts w:eastAsia="Times New Roman"/>
          <w:sz w:val="22"/>
          <w:szCs w:val="22"/>
        </w:rPr>
        <w:t>docetaxel</w:t>
      </w:r>
      <w:proofErr w:type="spellEnd"/>
      <w:r>
        <w:rPr>
          <w:rFonts w:eastAsia="Times New Roman"/>
          <w:sz w:val="22"/>
          <w:szCs w:val="22"/>
        </w:rPr>
        <w:t xml:space="preserve"> </w:t>
      </w:r>
      <w:r w:rsidR="00EC5C5F">
        <w:rPr>
          <w:rFonts w:eastAsia="Times New Roman"/>
          <w:sz w:val="22"/>
          <w:szCs w:val="22"/>
        </w:rPr>
        <w:t>high-</w:t>
      </w:r>
      <w:r>
        <w:rPr>
          <w:rFonts w:eastAsia="Times New Roman"/>
          <w:sz w:val="22"/>
          <w:szCs w:val="22"/>
        </w:rPr>
        <w:t xml:space="preserve">responders and </w:t>
      </w:r>
      <w:r w:rsidR="00EC5C5F">
        <w:rPr>
          <w:rFonts w:eastAsia="Times New Roman"/>
          <w:sz w:val="22"/>
          <w:szCs w:val="22"/>
        </w:rPr>
        <w:t>poor</w:t>
      </w:r>
      <w:r>
        <w:rPr>
          <w:rFonts w:eastAsia="Times New Roman"/>
          <w:sz w:val="22"/>
          <w:szCs w:val="22"/>
        </w:rPr>
        <w:t xml:space="preserve">-responders. </w:t>
      </w:r>
      <w:proofErr w:type="spellStart"/>
      <w:r>
        <w:rPr>
          <w:rFonts w:eastAsia="Times New Roman"/>
          <w:sz w:val="22"/>
          <w:szCs w:val="22"/>
        </w:rPr>
        <w:t>Colored</w:t>
      </w:r>
      <w:proofErr w:type="spellEnd"/>
      <w:r>
        <w:rPr>
          <w:rFonts w:eastAsia="Times New Roman"/>
          <w:sz w:val="22"/>
          <w:szCs w:val="22"/>
        </w:rPr>
        <w:t xml:space="preserve"> bold line indicates the average of the 100 random gene panels. Bold grey line indicates the described gene panel revealed with our approach. </w:t>
      </w:r>
      <w:proofErr w:type="spellStart"/>
      <w:r>
        <w:rPr>
          <w:rFonts w:eastAsia="Times New Roman"/>
          <w:sz w:val="22"/>
          <w:szCs w:val="22"/>
        </w:rPr>
        <w:t>Color</w:t>
      </w:r>
      <w:proofErr w:type="spellEnd"/>
      <w:r>
        <w:rPr>
          <w:rFonts w:eastAsia="Times New Roman"/>
          <w:sz w:val="22"/>
          <w:szCs w:val="22"/>
        </w:rPr>
        <w:t xml:space="preserve"> indicates the cut-off threshold for classification. </w:t>
      </w:r>
      <w:r>
        <w:rPr>
          <w:rFonts w:eastAsia="Times New Roman"/>
          <w:b/>
          <w:sz w:val="22"/>
          <w:szCs w:val="22"/>
        </w:rPr>
        <w:t>C</w:t>
      </w:r>
      <w:r>
        <w:rPr>
          <w:rFonts w:eastAsia="Times New Roman"/>
          <w:sz w:val="22"/>
          <w:szCs w:val="22"/>
        </w:rPr>
        <w:t xml:space="preserve">. Clustering of 19 PDX models according to the expression of the </w:t>
      </w:r>
      <w:proofErr w:type="gramStart"/>
      <w:r>
        <w:rPr>
          <w:rFonts w:eastAsia="Times New Roman"/>
          <w:sz w:val="22"/>
          <w:szCs w:val="22"/>
        </w:rPr>
        <w:t>19 chromatin</w:t>
      </w:r>
      <w:proofErr w:type="gramEnd"/>
      <w:r>
        <w:rPr>
          <w:rFonts w:eastAsia="Times New Roman"/>
          <w:sz w:val="22"/>
          <w:szCs w:val="22"/>
        </w:rPr>
        <w:t xml:space="preserve"> regulator gene panel and the response of the PDX models to a combination of Adriamycin (doxorubicin) and cyclophosphamide</w:t>
      </w:r>
      <w:r w:rsidR="00EC5C5F">
        <w:rPr>
          <w:rFonts w:eastAsia="Times New Roman"/>
          <w:sz w:val="22"/>
          <w:szCs w:val="22"/>
        </w:rPr>
        <w:t xml:space="preserve"> (noted: “AC”)</w:t>
      </w:r>
      <w:r>
        <w:rPr>
          <w:rFonts w:eastAsia="Times New Roman"/>
          <w:sz w:val="22"/>
          <w:szCs w:val="22"/>
        </w:rPr>
        <w:t xml:space="preserve">. </w:t>
      </w:r>
      <w:r>
        <w:rPr>
          <w:rFonts w:eastAsia="Times New Roman"/>
          <w:b/>
          <w:sz w:val="22"/>
          <w:szCs w:val="22"/>
        </w:rPr>
        <w:t xml:space="preserve">D. </w:t>
      </w:r>
      <w:r>
        <w:rPr>
          <w:rFonts w:eastAsia="Times New Roman"/>
          <w:sz w:val="22"/>
          <w:szCs w:val="22"/>
        </w:rPr>
        <w:t xml:space="preserve">Clustering of 15 </w:t>
      </w:r>
      <w:proofErr w:type="spellStart"/>
      <w:r>
        <w:rPr>
          <w:rFonts w:eastAsia="Times New Roman"/>
          <w:sz w:val="22"/>
          <w:szCs w:val="22"/>
        </w:rPr>
        <w:t>organoids</w:t>
      </w:r>
      <w:proofErr w:type="spellEnd"/>
      <w:r>
        <w:rPr>
          <w:rFonts w:eastAsia="Times New Roman"/>
          <w:sz w:val="22"/>
          <w:szCs w:val="22"/>
        </w:rPr>
        <w:t xml:space="preserve"> according to the expression of 10 chromatin regulators from </w:t>
      </w:r>
      <w:r w:rsidR="00EC5C5F">
        <w:rPr>
          <w:rFonts w:eastAsia="Times New Roman"/>
          <w:sz w:val="22"/>
          <w:szCs w:val="22"/>
        </w:rPr>
        <w:t xml:space="preserve">the </w:t>
      </w:r>
      <w:r>
        <w:rPr>
          <w:rFonts w:eastAsia="Times New Roman"/>
          <w:sz w:val="22"/>
          <w:szCs w:val="22"/>
        </w:rPr>
        <w:t xml:space="preserve">19 chromatin regulator gene panel (HDAC7, SOX18, HDAC5, MBD6, MED13, RBBP4, SOX5, MCM4, RAD21, and MBD4) and the response to </w:t>
      </w:r>
      <w:proofErr w:type="spellStart"/>
      <w:r>
        <w:rPr>
          <w:rFonts w:eastAsia="Times New Roman"/>
          <w:sz w:val="22"/>
          <w:szCs w:val="22"/>
        </w:rPr>
        <w:t>docetaxel</w:t>
      </w:r>
      <w:proofErr w:type="spellEnd"/>
      <w:r>
        <w:rPr>
          <w:rFonts w:eastAsia="Times New Roman"/>
          <w:sz w:val="22"/>
          <w:szCs w:val="22"/>
        </w:rPr>
        <w:t xml:space="preserve">. </w:t>
      </w:r>
      <w:r>
        <w:rPr>
          <w:rFonts w:eastAsia="Times New Roman"/>
          <w:b/>
          <w:sz w:val="22"/>
          <w:szCs w:val="22"/>
        </w:rPr>
        <w:t xml:space="preserve">E. </w:t>
      </w:r>
      <w:r>
        <w:rPr>
          <w:rFonts w:eastAsia="Times New Roman"/>
          <w:sz w:val="22"/>
          <w:szCs w:val="22"/>
        </w:rPr>
        <w:t xml:space="preserve">Clustering of 15 </w:t>
      </w:r>
      <w:proofErr w:type="spellStart"/>
      <w:r>
        <w:rPr>
          <w:rFonts w:eastAsia="Times New Roman"/>
          <w:sz w:val="22"/>
          <w:szCs w:val="22"/>
        </w:rPr>
        <w:t>organoids</w:t>
      </w:r>
      <w:proofErr w:type="spellEnd"/>
      <w:r>
        <w:rPr>
          <w:rFonts w:eastAsia="Times New Roman"/>
          <w:sz w:val="22"/>
          <w:szCs w:val="22"/>
        </w:rPr>
        <w:t xml:space="preserve"> according to the expression of 10 chromatin regulators from 19 chromatin regulator gene panel and the response to </w:t>
      </w:r>
      <w:proofErr w:type="spellStart"/>
      <w:r w:rsidR="007C799A">
        <w:rPr>
          <w:rFonts w:eastAsia="Times New Roman"/>
          <w:sz w:val="22"/>
          <w:szCs w:val="22"/>
        </w:rPr>
        <w:t>Irinotecan</w:t>
      </w:r>
      <w:proofErr w:type="spellEnd"/>
      <w:r>
        <w:rPr>
          <w:rFonts w:eastAsia="Times New Roman"/>
          <w:sz w:val="22"/>
          <w:szCs w:val="22"/>
        </w:rPr>
        <w:t xml:space="preserve">. </w:t>
      </w:r>
    </w:p>
    <w:p w14:paraId="453D2077" w14:textId="77777777" w:rsidR="00870D7D" w:rsidRPr="005C1BF8" w:rsidRDefault="00870D7D" w:rsidP="00870D7D">
      <w:pPr>
        <w:spacing w:line="360" w:lineRule="auto"/>
        <w:jc w:val="both"/>
        <w:rPr>
          <w:rFonts w:eastAsia="Times New Roman"/>
          <w:sz w:val="22"/>
          <w:szCs w:val="22"/>
        </w:rPr>
      </w:pPr>
    </w:p>
    <w:p w14:paraId="55134F12" w14:textId="058D37A3" w:rsidR="00870D7D" w:rsidRPr="0043262F" w:rsidRDefault="00870D7D" w:rsidP="00870D7D">
      <w:pPr>
        <w:spacing w:line="360" w:lineRule="auto"/>
        <w:jc w:val="both"/>
        <w:rPr>
          <w:rFonts w:eastAsia="Times New Roman"/>
          <w:sz w:val="22"/>
          <w:szCs w:val="22"/>
        </w:rPr>
      </w:pPr>
      <w:r>
        <w:rPr>
          <w:rFonts w:eastAsia="Times New Roman"/>
          <w:b/>
          <w:sz w:val="22"/>
          <w:szCs w:val="22"/>
        </w:rPr>
        <w:t xml:space="preserve">Supplementary Figure S3: Comparison of </w:t>
      </w:r>
      <w:proofErr w:type="spellStart"/>
      <w:r w:rsidR="00E375F9">
        <w:rPr>
          <w:rFonts w:eastAsia="Times New Roman"/>
          <w:b/>
          <w:sz w:val="22"/>
          <w:szCs w:val="22"/>
        </w:rPr>
        <w:t>Affymetrix</w:t>
      </w:r>
      <w:proofErr w:type="spellEnd"/>
      <w:r w:rsidR="00E375F9">
        <w:rPr>
          <w:rFonts w:eastAsia="Times New Roman"/>
          <w:b/>
          <w:sz w:val="22"/>
          <w:szCs w:val="22"/>
        </w:rPr>
        <w:t xml:space="preserve"> and </w:t>
      </w:r>
      <w:proofErr w:type="spellStart"/>
      <w:r w:rsidR="00E375F9">
        <w:rPr>
          <w:rFonts w:eastAsia="Times New Roman"/>
          <w:b/>
          <w:sz w:val="22"/>
          <w:szCs w:val="22"/>
        </w:rPr>
        <w:t>NanoString</w:t>
      </w:r>
      <w:proofErr w:type="spellEnd"/>
      <w:r w:rsidR="00E375F9">
        <w:rPr>
          <w:rFonts w:eastAsia="Times New Roman"/>
          <w:b/>
          <w:sz w:val="22"/>
          <w:szCs w:val="22"/>
        </w:rPr>
        <w:t xml:space="preserve"> </w:t>
      </w:r>
      <w:r>
        <w:rPr>
          <w:rFonts w:eastAsia="Times New Roman"/>
          <w:b/>
          <w:sz w:val="22"/>
          <w:szCs w:val="22"/>
        </w:rPr>
        <w:t xml:space="preserve">gene expression </w:t>
      </w:r>
      <w:r w:rsidR="00E375F9">
        <w:rPr>
          <w:rFonts w:eastAsia="Times New Roman"/>
          <w:b/>
          <w:sz w:val="22"/>
          <w:szCs w:val="22"/>
        </w:rPr>
        <w:t>data</w:t>
      </w:r>
      <w:r>
        <w:rPr>
          <w:rFonts w:eastAsia="Times New Roman"/>
          <w:b/>
          <w:sz w:val="22"/>
          <w:szCs w:val="22"/>
        </w:rPr>
        <w:t>. A.</w:t>
      </w:r>
      <w:r>
        <w:rPr>
          <w:rFonts w:eastAsia="Times New Roman"/>
          <w:sz w:val="22"/>
          <w:szCs w:val="22"/>
        </w:rPr>
        <w:t xml:space="preserve"> Gene expression values for 8 PDX models for all chromatin regulators (blue) and the </w:t>
      </w:r>
      <w:proofErr w:type="gramStart"/>
      <w:r>
        <w:rPr>
          <w:rFonts w:eastAsia="Times New Roman"/>
          <w:sz w:val="22"/>
          <w:szCs w:val="22"/>
        </w:rPr>
        <w:t>19 chromatin</w:t>
      </w:r>
      <w:proofErr w:type="gramEnd"/>
      <w:r>
        <w:rPr>
          <w:rFonts w:eastAsia="Times New Roman"/>
          <w:sz w:val="22"/>
          <w:szCs w:val="22"/>
        </w:rPr>
        <w:t xml:space="preserve"> regulator gene panel (red). </w:t>
      </w:r>
      <w:r w:rsidR="00920A5C">
        <w:rPr>
          <w:rFonts w:eastAsia="Times New Roman"/>
          <w:sz w:val="22"/>
          <w:szCs w:val="22"/>
        </w:rPr>
        <w:t>CR: chromatin regulators</w:t>
      </w:r>
    </w:p>
    <w:p w14:paraId="60CD3736" w14:textId="77777777" w:rsidR="00870D7D" w:rsidRDefault="00870D7D" w:rsidP="00870D7D">
      <w:pPr>
        <w:spacing w:line="360" w:lineRule="auto"/>
        <w:jc w:val="both"/>
        <w:rPr>
          <w:rFonts w:eastAsia="Times New Roman"/>
          <w:b/>
          <w:sz w:val="22"/>
          <w:szCs w:val="22"/>
        </w:rPr>
      </w:pPr>
    </w:p>
    <w:p w14:paraId="3BCBEC02" w14:textId="0442A44C" w:rsidR="00870D7D" w:rsidRPr="00665904" w:rsidRDefault="00870D7D" w:rsidP="00870D7D">
      <w:pPr>
        <w:spacing w:line="360" w:lineRule="auto"/>
        <w:jc w:val="both"/>
        <w:rPr>
          <w:rFonts w:eastAsia="Times New Roman"/>
          <w:sz w:val="22"/>
          <w:szCs w:val="22"/>
        </w:rPr>
      </w:pPr>
      <w:r>
        <w:rPr>
          <w:rFonts w:eastAsia="Times New Roman"/>
          <w:b/>
          <w:sz w:val="22"/>
          <w:szCs w:val="22"/>
        </w:rPr>
        <w:t>Supplementary Figure S4:</w:t>
      </w:r>
      <w:r>
        <w:rPr>
          <w:rFonts w:eastAsia="Times New Roman"/>
          <w:sz w:val="22"/>
          <w:szCs w:val="22"/>
        </w:rPr>
        <w:t xml:space="preserve"> </w:t>
      </w:r>
      <w:r>
        <w:rPr>
          <w:rFonts w:eastAsia="Times New Roman"/>
          <w:b/>
          <w:sz w:val="22"/>
          <w:szCs w:val="22"/>
        </w:rPr>
        <w:t xml:space="preserve">A chromatin regulator gene panel can distinguish response in HER2+ patients treated with </w:t>
      </w:r>
      <w:proofErr w:type="spellStart"/>
      <w:r>
        <w:rPr>
          <w:rFonts w:eastAsia="Times New Roman"/>
          <w:b/>
          <w:sz w:val="22"/>
          <w:szCs w:val="22"/>
        </w:rPr>
        <w:t>docetaxel</w:t>
      </w:r>
      <w:proofErr w:type="spellEnd"/>
      <w:r>
        <w:rPr>
          <w:rFonts w:eastAsia="Times New Roman"/>
          <w:b/>
          <w:sz w:val="22"/>
          <w:szCs w:val="22"/>
        </w:rPr>
        <w:t>. A</w:t>
      </w:r>
      <w:r>
        <w:rPr>
          <w:rFonts w:eastAsia="Times New Roman"/>
          <w:sz w:val="22"/>
          <w:szCs w:val="22"/>
        </w:rPr>
        <w:t xml:space="preserve">. Boxplot of scaling factors used to normalize the Institut Curie cohort (Wilcoxon rank sum test; p=0.32) </w:t>
      </w:r>
      <w:r>
        <w:rPr>
          <w:rFonts w:eastAsia="Times New Roman"/>
          <w:b/>
          <w:sz w:val="22"/>
          <w:szCs w:val="22"/>
        </w:rPr>
        <w:t xml:space="preserve">B. </w:t>
      </w:r>
      <w:r>
        <w:rPr>
          <w:rFonts w:eastAsia="Times New Roman"/>
          <w:sz w:val="22"/>
          <w:szCs w:val="22"/>
        </w:rPr>
        <w:t xml:space="preserve">Boxplot of the </w:t>
      </w:r>
      <w:r w:rsidR="00A7769F">
        <w:rPr>
          <w:rFonts w:eastAsia="Times New Roman"/>
          <w:sz w:val="22"/>
          <w:szCs w:val="22"/>
        </w:rPr>
        <w:t xml:space="preserve">RNA </w:t>
      </w:r>
      <w:r>
        <w:rPr>
          <w:rFonts w:eastAsia="Times New Roman"/>
          <w:sz w:val="22"/>
          <w:szCs w:val="22"/>
        </w:rPr>
        <w:t xml:space="preserve">expression of the proliferation marker MKI67 in the Institut Curie responders and non-responders (Wilcoxon rank sum test; p=0.88). </w:t>
      </w:r>
      <w:r>
        <w:rPr>
          <w:rFonts w:eastAsia="Times New Roman"/>
          <w:b/>
          <w:sz w:val="22"/>
          <w:szCs w:val="22"/>
        </w:rPr>
        <w:t>C</w:t>
      </w:r>
      <w:r>
        <w:rPr>
          <w:rFonts w:eastAsia="Times New Roman"/>
          <w:sz w:val="22"/>
          <w:szCs w:val="22"/>
        </w:rPr>
        <w:t xml:space="preserve">. Boxplot of the </w:t>
      </w:r>
      <w:r w:rsidR="00A7769F">
        <w:rPr>
          <w:rFonts w:eastAsia="Times New Roman"/>
          <w:sz w:val="22"/>
          <w:szCs w:val="22"/>
        </w:rPr>
        <w:t xml:space="preserve">RNA </w:t>
      </w:r>
      <w:r>
        <w:rPr>
          <w:rFonts w:eastAsia="Times New Roman"/>
          <w:sz w:val="22"/>
          <w:szCs w:val="22"/>
        </w:rPr>
        <w:t xml:space="preserve">expression of HR (sum of ESR1 and PGR) in the Institut Curie </w:t>
      </w:r>
      <w:r w:rsidR="00A7769F">
        <w:rPr>
          <w:rFonts w:eastAsia="Times New Roman"/>
          <w:sz w:val="22"/>
          <w:szCs w:val="22"/>
        </w:rPr>
        <w:t>high-</w:t>
      </w:r>
      <w:r>
        <w:rPr>
          <w:rFonts w:eastAsia="Times New Roman"/>
          <w:sz w:val="22"/>
          <w:szCs w:val="22"/>
        </w:rPr>
        <w:t xml:space="preserve">responders and </w:t>
      </w:r>
      <w:r w:rsidR="00A7769F">
        <w:rPr>
          <w:rFonts w:eastAsia="Times New Roman"/>
          <w:sz w:val="22"/>
          <w:szCs w:val="22"/>
        </w:rPr>
        <w:t>poor</w:t>
      </w:r>
      <w:r>
        <w:rPr>
          <w:rFonts w:eastAsia="Times New Roman"/>
          <w:sz w:val="22"/>
          <w:szCs w:val="22"/>
        </w:rPr>
        <w:t xml:space="preserve">-responders (Wilcoxon rank sum test; p=0.74). </w:t>
      </w:r>
      <w:r>
        <w:rPr>
          <w:rFonts w:eastAsia="Times New Roman"/>
          <w:b/>
          <w:sz w:val="22"/>
          <w:szCs w:val="22"/>
        </w:rPr>
        <w:t>D</w:t>
      </w:r>
      <w:r>
        <w:rPr>
          <w:rFonts w:eastAsia="Times New Roman"/>
          <w:sz w:val="22"/>
          <w:szCs w:val="22"/>
        </w:rPr>
        <w:t xml:space="preserve">. </w:t>
      </w:r>
      <w:r w:rsidR="00C44349" w:rsidRPr="00131051">
        <w:rPr>
          <w:rFonts w:eastAsia="Times New Roman"/>
          <w:sz w:val="22"/>
          <w:szCs w:val="22"/>
        </w:rPr>
        <w:t xml:space="preserve">Clustering of 23 patients according to the expression of the </w:t>
      </w:r>
      <w:proofErr w:type="gramStart"/>
      <w:r w:rsidR="00C44349" w:rsidRPr="00131051">
        <w:rPr>
          <w:rFonts w:eastAsia="Times New Roman"/>
          <w:sz w:val="22"/>
          <w:szCs w:val="22"/>
        </w:rPr>
        <w:t>18 chromatin</w:t>
      </w:r>
      <w:proofErr w:type="gramEnd"/>
      <w:r w:rsidR="00C44349" w:rsidRPr="00131051">
        <w:rPr>
          <w:rFonts w:eastAsia="Times New Roman"/>
          <w:sz w:val="22"/>
          <w:szCs w:val="22"/>
        </w:rPr>
        <w:t xml:space="preserve"> regulator gene panel and the </w:t>
      </w:r>
      <w:proofErr w:type="spellStart"/>
      <w:r w:rsidR="00C44349" w:rsidRPr="00131051">
        <w:rPr>
          <w:rFonts w:eastAsia="Times New Roman"/>
          <w:sz w:val="22"/>
          <w:szCs w:val="22"/>
        </w:rPr>
        <w:t>tumor</w:t>
      </w:r>
      <w:proofErr w:type="spellEnd"/>
      <w:r w:rsidR="00C44349" w:rsidRPr="00131051">
        <w:rPr>
          <w:rFonts w:eastAsia="Times New Roman"/>
          <w:sz w:val="22"/>
          <w:szCs w:val="22"/>
        </w:rPr>
        <w:t xml:space="preserve"> stage</w:t>
      </w:r>
      <w:r w:rsidR="00C44349">
        <w:rPr>
          <w:rFonts w:eastAsia="Times New Roman"/>
          <w:sz w:val="22"/>
          <w:szCs w:val="22"/>
        </w:rPr>
        <w:t>. T</w:t>
      </w:r>
      <w:r w:rsidR="00C44349" w:rsidRPr="00131051">
        <w:rPr>
          <w:rFonts w:eastAsia="Times New Roman"/>
          <w:sz w:val="22"/>
          <w:szCs w:val="22"/>
        </w:rPr>
        <w:t xml:space="preserve">he corresponding </w:t>
      </w:r>
      <w:r w:rsidR="00C44349">
        <w:rPr>
          <w:rFonts w:eastAsia="Times New Roman"/>
          <w:sz w:val="22"/>
          <w:szCs w:val="22"/>
        </w:rPr>
        <w:t xml:space="preserve">patient </w:t>
      </w:r>
      <w:r w:rsidR="00C44349" w:rsidRPr="00131051">
        <w:rPr>
          <w:rFonts w:eastAsia="Times New Roman"/>
          <w:sz w:val="22"/>
          <w:szCs w:val="22"/>
        </w:rPr>
        <w:t>response is noted.</w:t>
      </w:r>
      <w:r w:rsidR="00C44349">
        <w:rPr>
          <w:rFonts w:eastAsia="Times New Roman"/>
          <w:sz w:val="22"/>
          <w:szCs w:val="22"/>
        </w:rPr>
        <w:t xml:space="preserve"> </w:t>
      </w:r>
      <w:r w:rsidR="00C44349">
        <w:rPr>
          <w:rFonts w:eastAsia="Times New Roman"/>
          <w:b/>
          <w:sz w:val="22"/>
          <w:szCs w:val="22"/>
        </w:rPr>
        <w:t xml:space="preserve">E. </w:t>
      </w:r>
      <w:r>
        <w:rPr>
          <w:rFonts w:eastAsia="Times New Roman"/>
          <w:sz w:val="22"/>
          <w:szCs w:val="22"/>
        </w:rPr>
        <w:t xml:space="preserve">Receiver operating </w:t>
      </w:r>
      <w:r>
        <w:rPr>
          <w:rFonts w:eastAsia="Times New Roman"/>
          <w:sz w:val="22"/>
          <w:szCs w:val="22"/>
        </w:rPr>
        <w:lastRenderedPageBreak/>
        <w:t xml:space="preserve">characteristic (ROC) curves corresponding to 100 random 18-member chromatin regulator gene panels to classify the patient response. </w:t>
      </w:r>
      <w:proofErr w:type="spellStart"/>
      <w:r>
        <w:rPr>
          <w:rFonts w:eastAsia="Times New Roman"/>
          <w:sz w:val="22"/>
          <w:szCs w:val="22"/>
        </w:rPr>
        <w:t>Color</w:t>
      </w:r>
      <w:proofErr w:type="spellEnd"/>
      <w:r>
        <w:rPr>
          <w:rFonts w:eastAsia="Times New Roman"/>
          <w:sz w:val="22"/>
          <w:szCs w:val="22"/>
        </w:rPr>
        <w:t xml:space="preserve"> indicates the cut-off threshold for classification. </w:t>
      </w:r>
      <w:r w:rsidR="00C44349">
        <w:rPr>
          <w:rFonts w:eastAsia="Times New Roman"/>
          <w:b/>
          <w:sz w:val="22"/>
          <w:szCs w:val="22"/>
        </w:rPr>
        <w:t>F</w:t>
      </w:r>
      <w:r>
        <w:rPr>
          <w:rFonts w:eastAsia="Times New Roman"/>
          <w:sz w:val="22"/>
          <w:szCs w:val="22"/>
        </w:rPr>
        <w:t>. A histogram of AUC values for 100 random 18-member chromatin regular gene panels to predict patient response. The red line marks the AUC value for the 18 chromatin regulator gene panel revealed using our approach. The highest AUC value for a random 18-member gene panel is 0.811. resp. = responders; non-resp. = non-</w:t>
      </w:r>
      <w:r w:rsidRPr="00131051">
        <w:rPr>
          <w:rFonts w:eastAsia="Times New Roman"/>
          <w:sz w:val="22"/>
          <w:szCs w:val="22"/>
        </w:rPr>
        <w:t>responders.</w:t>
      </w:r>
      <w:bookmarkStart w:id="0" w:name="_GoBack"/>
      <w:bookmarkEnd w:id="0"/>
      <w:r w:rsidRPr="00131051">
        <w:rPr>
          <w:rFonts w:eastAsia="Times New Roman"/>
          <w:b/>
          <w:sz w:val="22"/>
          <w:szCs w:val="22"/>
        </w:rPr>
        <w:t xml:space="preserve"> </w:t>
      </w:r>
    </w:p>
    <w:p w14:paraId="1929D6F4" w14:textId="77777777" w:rsidR="00870D7D" w:rsidRDefault="00870D7D" w:rsidP="00870D7D">
      <w:pPr>
        <w:spacing w:line="360" w:lineRule="auto"/>
        <w:jc w:val="both"/>
        <w:rPr>
          <w:rFonts w:eastAsia="Times New Roman"/>
          <w:sz w:val="22"/>
          <w:szCs w:val="22"/>
        </w:rPr>
      </w:pPr>
    </w:p>
    <w:p w14:paraId="75281A64" w14:textId="591134A4" w:rsidR="00870D7D" w:rsidRDefault="00870D7D" w:rsidP="00870D7D">
      <w:pPr>
        <w:spacing w:line="360" w:lineRule="auto"/>
        <w:jc w:val="both"/>
        <w:rPr>
          <w:rFonts w:eastAsia="Times New Roman"/>
          <w:sz w:val="22"/>
          <w:szCs w:val="22"/>
        </w:rPr>
      </w:pPr>
      <w:r>
        <w:rPr>
          <w:rFonts w:eastAsia="Times New Roman"/>
          <w:b/>
          <w:sz w:val="22"/>
          <w:szCs w:val="22"/>
        </w:rPr>
        <w:t xml:space="preserve">Supplementary Figure S5: The SWI/SNF chromatin </w:t>
      </w:r>
      <w:proofErr w:type="spellStart"/>
      <w:r>
        <w:rPr>
          <w:rFonts w:eastAsia="Times New Roman"/>
          <w:b/>
          <w:sz w:val="22"/>
          <w:szCs w:val="22"/>
        </w:rPr>
        <w:t>remodeler</w:t>
      </w:r>
      <w:proofErr w:type="spellEnd"/>
      <w:r>
        <w:rPr>
          <w:rFonts w:eastAsia="Times New Roman"/>
          <w:b/>
          <w:sz w:val="22"/>
          <w:szCs w:val="22"/>
        </w:rPr>
        <w:t xml:space="preserve"> is associated with </w:t>
      </w:r>
      <w:proofErr w:type="spellStart"/>
      <w:r>
        <w:rPr>
          <w:rFonts w:eastAsia="Times New Roman"/>
          <w:b/>
          <w:sz w:val="22"/>
          <w:szCs w:val="22"/>
        </w:rPr>
        <w:t>taxane</w:t>
      </w:r>
      <w:proofErr w:type="spellEnd"/>
      <w:r>
        <w:rPr>
          <w:rFonts w:eastAsia="Times New Roman"/>
          <w:b/>
          <w:sz w:val="22"/>
          <w:szCs w:val="22"/>
        </w:rPr>
        <w:t xml:space="preserve"> response. A. </w:t>
      </w:r>
      <w:r>
        <w:rPr>
          <w:rFonts w:eastAsia="Times New Roman"/>
          <w:sz w:val="22"/>
          <w:szCs w:val="22"/>
        </w:rPr>
        <w:t>A f</w:t>
      </w:r>
      <w:r w:rsidRPr="00EE634C">
        <w:rPr>
          <w:rFonts w:eastAsia="Times New Roman"/>
          <w:sz w:val="22"/>
          <w:szCs w:val="22"/>
        </w:rPr>
        <w:t xml:space="preserve">ocused analysis of the mechanisms leading to HLTF inactivation in the </w:t>
      </w:r>
      <w:r>
        <w:rPr>
          <w:rFonts w:eastAsia="Times New Roman"/>
          <w:sz w:val="22"/>
          <w:szCs w:val="22"/>
        </w:rPr>
        <w:t>NCI-60</w:t>
      </w:r>
      <w:r w:rsidRPr="00EE634C">
        <w:rPr>
          <w:rFonts w:eastAsia="Times New Roman"/>
          <w:sz w:val="22"/>
          <w:szCs w:val="22"/>
        </w:rPr>
        <w:t xml:space="preserve"> based on mRNA expression and promoter methylation. </w:t>
      </w:r>
      <w:r>
        <w:rPr>
          <w:rFonts w:eastAsia="Times New Roman"/>
          <w:sz w:val="22"/>
          <w:szCs w:val="22"/>
        </w:rPr>
        <w:t>The x-axis</w:t>
      </w:r>
      <w:r w:rsidRPr="00361DF4">
        <w:rPr>
          <w:rFonts w:eastAsia="Times New Roman"/>
          <w:sz w:val="22"/>
          <w:szCs w:val="22"/>
        </w:rPr>
        <w:t xml:space="preserve"> shows z-scored mRNA expression and </w:t>
      </w:r>
      <w:r>
        <w:rPr>
          <w:rFonts w:eastAsia="Times New Roman"/>
          <w:sz w:val="22"/>
          <w:szCs w:val="22"/>
        </w:rPr>
        <w:t xml:space="preserve">y-axis shows </w:t>
      </w:r>
      <w:r w:rsidRPr="00361DF4">
        <w:rPr>
          <w:rFonts w:eastAsia="Times New Roman"/>
          <w:sz w:val="22"/>
          <w:szCs w:val="22"/>
        </w:rPr>
        <w:t>average promoter methylation for HLTF</w:t>
      </w:r>
      <w:r>
        <w:rPr>
          <w:rFonts w:eastAsia="Times New Roman"/>
          <w:sz w:val="22"/>
          <w:szCs w:val="22"/>
        </w:rPr>
        <w:t>.</w:t>
      </w:r>
      <w:r w:rsidRPr="00361DF4">
        <w:rPr>
          <w:rFonts w:eastAsia="Times New Roman"/>
          <w:sz w:val="22"/>
          <w:szCs w:val="22"/>
        </w:rPr>
        <w:t xml:space="preserve"> Dots represent individual cell line</w:t>
      </w:r>
      <w:r>
        <w:rPr>
          <w:rFonts w:eastAsia="Times New Roman"/>
          <w:sz w:val="22"/>
          <w:szCs w:val="22"/>
        </w:rPr>
        <w:t>s from the NCI-60</w:t>
      </w:r>
      <w:r w:rsidRPr="00361DF4">
        <w:rPr>
          <w:rFonts w:eastAsia="Times New Roman"/>
          <w:sz w:val="22"/>
          <w:szCs w:val="22"/>
        </w:rPr>
        <w:t xml:space="preserve">. </w:t>
      </w:r>
      <w:r>
        <w:rPr>
          <w:rFonts w:eastAsia="Times New Roman"/>
          <w:sz w:val="22"/>
          <w:szCs w:val="22"/>
        </w:rPr>
        <w:t xml:space="preserve">Cell lines with HLTF inactivation </w:t>
      </w:r>
      <w:r w:rsidRPr="00361DF4">
        <w:rPr>
          <w:rFonts w:eastAsia="Times New Roman"/>
          <w:sz w:val="22"/>
          <w:szCs w:val="22"/>
        </w:rPr>
        <w:t xml:space="preserve">are indicated as </w:t>
      </w:r>
      <w:r>
        <w:rPr>
          <w:rFonts w:eastAsia="Times New Roman"/>
          <w:sz w:val="22"/>
          <w:szCs w:val="22"/>
        </w:rPr>
        <w:t>grey</w:t>
      </w:r>
      <w:r w:rsidRPr="00361DF4">
        <w:rPr>
          <w:rFonts w:eastAsia="Times New Roman"/>
          <w:sz w:val="22"/>
          <w:szCs w:val="22"/>
        </w:rPr>
        <w:t xml:space="preserve"> dots. </w:t>
      </w:r>
      <w:r>
        <w:rPr>
          <w:rFonts w:eastAsia="Times New Roman"/>
          <w:sz w:val="22"/>
          <w:szCs w:val="22"/>
        </w:rPr>
        <w:t xml:space="preserve">The </w:t>
      </w:r>
      <w:proofErr w:type="spellStart"/>
      <w:r>
        <w:rPr>
          <w:rFonts w:eastAsia="Times New Roman"/>
          <w:sz w:val="22"/>
          <w:szCs w:val="22"/>
        </w:rPr>
        <w:t>Illumina</w:t>
      </w:r>
      <w:proofErr w:type="spellEnd"/>
      <w:r>
        <w:rPr>
          <w:rFonts w:eastAsia="Times New Roman"/>
          <w:sz w:val="22"/>
          <w:szCs w:val="22"/>
        </w:rPr>
        <w:t xml:space="preserve"> </w:t>
      </w:r>
      <w:proofErr w:type="spellStart"/>
      <w:r>
        <w:rPr>
          <w:rFonts w:eastAsia="Times New Roman"/>
          <w:sz w:val="22"/>
          <w:szCs w:val="22"/>
        </w:rPr>
        <w:t>Infinum</w:t>
      </w:r>
      <w:proofErr w:type="spellEnd"/>
      <w:r>
        <w:rPr>
          <w:rFonts w:eastAsia="Times New Roman"/>
          <w:sz w:val="22"/>
          <w:szCs w:val="22"/>
        </w:rPr>
        <w:t xml:space="preserve"> HumanMethylation450 </w:t>
      </w:r>
      <w:proofErr w:type="spellStart"/>
      <w:r>
        <w:rPr>
          <w:rFonts w:eastAsia="Times New Roman"/>
          <w:sz w:val="22"/>
          <w:szCs w:val="22"/>
        </w:rPr>
        <w:t>BeadChip</w:t>
      </w:r>
      <w:proofErr w:type="spellEnd"/>
      <w:r>
        <w:rPr>
          <w:rFonts w:eastAsia="Times New Roman"/>
          <w:sz w:val="22"/>
          <w:szCs w:val="22"/>
        </w:rPr>
        <w:t xml:space="preserve"> array produced the genome-wide methylation data for all NCI-60 cell lines. </w:t>
      </w:r>
      <w:r w:rsidRPr="00361DF4">
        <w:rPr>
          <w:rFonts w:eastAsia="Times New Roman"/>
          <w:sz w:val="22"/>
          <w:szCs w:val="22"/>
        </w:rPr>
        <w:t xml:space="preserve">Selected probes were in </w:t>
      </w:r>
      <w:proofErr w:type="spellStart"/>
      <w:r w:rsidRPr="00361DF4">
        <w:rPr>
          <w:rFonts w:eastAsia="Times New Roman"/>
          <w:sz w:val="22"/>
          <w:szCs w:val="22"/>
        </w:rPr>
        <w:t>CpG</w:t>
      </w:r>
      <w:proofErr w:type="spellEnd"/>
      <w:r w:rsidRPr="00361DF4">
        <w:rPr>
          <w:rFonts w:eastAsia="Times New Roman"/>
          <w:sz w:val="22"/>
          <w:szCs w:val="22"/>
        </w:rPr>
        <w:t xml:space="preserve"> islands within 200 base pairs of the transcription start site. The average methylation for those probes </w:t>
      </w:r>
      <w:r>
        <w:rPr>
          <w:rFonts w:eastAsia="Times New Roman"/>
          <w:sz w:val="22"/>
          <w:szCs w:val="22"/>
        </w:rPr>
        <w:t>corresponds to</w:t>
      </w:r>
      <w:r w:rsidRPr="00361DF4">
        <w:rPr>
          <w:rFonts w:eastAsia="Times New Roman"/>
          <w:sz w:val="22"/>
          <w:szCs w:val="22"/>
        </w:rPr>
        <w:t xml:space="preserve"> the methylation level for the genes.</w:t>
      </w:r>
      <w:r>
        <w:rPr>
          <w:rFonts w:eastAsia="Times New Roman"/>
          <w:sz w:val="22"/>
          <w:szCs w:val="22"/>
        </w:rPr>
        <w:t xml:space="preserve"> </w:t>
      </w:r>
      <w:r>
        <w:rPr>
          <w:rFonts w:eastAsia="Times New Roman"/>
          <w:b/>
          <w:sz w:val="22"/>
          <w:szCs w:val="22"/>
        </w:rPr>
        <w:t xml:space="preserve">B. </w:t>
      </w:r>
      <w:r>
        <w:rPr>
          <w:rFonts w:eastAsia="Times New Roman"/>
          <w:sz w:val="22"/>
          <w:szCs w:val="22"/>
        </w:rPr>
        <w:t xml:space="preserve">HAP1 cell lines </w:t>
      </w:r>
      <w:proofErr w:type="spellStart"/>
      <w:r>
        <w:rPr>
          <w:rFonts w:eastAsia="Times New Roman"/>
          <w:sz w:val="22"/>
          <w:szCs w:val="22"/>
        </w:rPr>
        <w:t>wildtype</w:t>
      </w:r>
      <w:proofErr w:type="spellEnd"/>
      <w:r>
        <w:rPr>
          <w:rFonts w:eastAsia="Times New Roman"/>
          <w:sz w:val="22"/>
          <w:szCs w:val="22"/>
        </w:rPr>
        <w:t xml:space="preserve"> for SWI/SNF (HAP1-WT), and knockout for SMARCA4 (SMARCA4-KO) treated with a </w:t>
      </w:r>
      <w:proofErr w:type="spellStart"/>
      <w:r>
        <w:rPr>
          <w:rFonts w:eastAsia="Times New Roman"/>
          <w:sz w:val="22"/>
          <w:szCs w:val="22"/>
        </w:rPr>
        <w:t>docetaxel</w:t>
      </w:r>
      <w:proofErr w:type="spellEnd"/>
      <w:r>
        <w:rPr>
          <w:rFonts w:eastAsia="Times New Roman"/>
          <w:sz w:val="22"/>
          <w:szCs w:val="22"/>
        </w:rPr>
        <w:t xml:space="preserve"> and increasing concentrations of PFI-3, a SMARCA2/4 </w:t>
      </w:r>
      <w:proofErr w:type="spellStart"/>
      <w:r>
        <w:rPr>
          <w:rFonts w:eastAsia="Times New Roman"/>
          <w:sz w:val="22"/>
          <w:szCs w:val="22"/>
        </w:rPr>
        <w:t>bromodomain</w:t>
      </w:r>
      <w:proofErr w:type="spellEnd"/>
      <w:r>
        <w:rPr>
          <w:rFonts w:eastAsia="Times New Roman"/>
          <w:sz w:val="22"/>
          <w:szCs w:val="22"/>
        </w:rPr>
        <w:t xml:space="preserve"> inhibitor </w:t>
      </w:r>
      <w:r>
        <w:rPr>
          <w:rFonts w:eastAsia="Times New Roman"/>
          <w:sz w:val="22"/>
          <w:szCs w:val="22"/>
        </w:rPr>
        <w:fldChar w:fldCharType="begin">
          <w:fldData xml:space="preserve">PEVuZE5vdGU+PENpdGUgRXhjbHVkZVllYXI9IjEiPjxBdXRob3I+VmFuZ2FtdWRpPC9BdXRob3I+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</w:fldData>
        </w:fldChar>
      </w:r>
      <w:r>
        <w:rPr>
          <w:rFonts w:eastAsia="Times New Roman"/>
          <w:sz w:val="22"/>
          <w:szCs w:val="22"/>
        </w:rPr>
        <w:instrText xml:space="preserve"> ADDIN EN.CITE </w:instrText>
      </w:r>
      <w:r>
        <w:rPr>
          <w:rFonts w:eastAsia="Times New Roman"/>
          <w:sz w:val="22"/>
          <w:szCs w:val="22"/>
        </w:rPr>
        <w:fldChar w:fldCharType="begin">
          <w:fldData xml:space="preserve">PEVuZE5vdGU+PENpdGUgRXhjbHVkZVllYXI9IjEiPjxBdXRob3I+VmFuZ2FtdWRpPC9BdXRob3I+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</w:fldData>
        </w:fldChar>
      </w:r>
      <w:r>
        <w:rPr>
          <w:rFonts w:eastAsia="Times New Roman"/>
          <w:sz w:val="22"/>
          <w:szCs w:val="22"/>
        </w:rPr>
        <w:instrText xml:space="preserve"> ADDIN EN.CITE.DATA </w:instrText>
      </w:r>
      <w:r>
        <w:rPr>
          <w:rFonts w:eastAsia="Times New Roman"/>
          <w:sz w:val="22"/>
          <w:szCs w:val="22"/>
        </w:rPr>
      </w:r>
      <w:r>
        <w:rPr>
          <w:rFonts w:eastAsia="Times New Roman"/>
          <w:sz w:val="22"/>
          <w:szCs w:val="22"/>
        </w:rPr>
        <w:fldChar w:fldCharType="end"/>
      </w:r>
      <w:r>
        <w:rPr>
          <w:rFonts w:eastAsia="Times New Roman"/>
          <w:sz w:val="22"/>
          <w:szCs w:val="22"/>
        </w:rPr>
      </w:r>
      <w:r>
        <w:rPr>
          <w:rFonts w:eastAsia="Times New Roman"/>
          <w:sz w:val="22"/>
          <w:szCs w:val="22"/>
        </w:rPr>
        <w:fldChar w:fldCharType="separate"/>
      </w:r>
      <w:r>
        <w:rPr>
          <w:rFonts w:eastAsia="Times New Roman"/>
          <w:noProof/>
          <w:sz w:val="22"/>
          <w:szCs w:val="22"/>
        </w:rPr>
        <w:t>(37)</w:t>
      </w:r>
      <w:r>
        <w:rPr>
          <w:rFonts w:eastAsia="Times New Roman"/>
          <w:sz w:val="22"/>
          <w:szCs w:val="22"/>
        </w:rPr>
        <w:fldChar w:fldCharType="end"/>
      </w:r>
      <w:r>
        <w:rPr>
          <w:rFonts w:eastAsia="Times New Roman"/>
          <w:sz w:val="22"/>
          <w:szCs w:val="22"/>
        </w:rPr>
        <w:t xml:space="preserve">. The SMARCA2-KO follows a similar trend as the SMARCA4-KO (data not shown). </w:t>
      </w:r>
      <w:r>
        <w:rPr>
          <w:rFonts w:eastAsia="Times New Roman"/>
          <w:b/>
          <w:sz w:val="22"/>
          <w:szCs w:val="22"/>
        </w:rPr>
        <w:t xml:space="preserve">C. </w:t>
      </w:r>
      <w:r>
        <w:rPr>
          <w:rFonts w:eastAsia="Times New Roman"/>
          <w:sz w:val="22"/>
          <w:szCs w:val="22"/>
        </w:rPr>
        <w:t xml:space="preserve">Western blot analysis in HAP1 WT for SWI/SNF (WT), SMARCA4-KO, and SMARCA2-KO of several SWI/SNF components. </w:t>
      </w:r>
      <w:r>
        <w:rPr>
          <w:rFonts w:eastAsia="Times New Roman"/>
          <w:b/>
          <w:sz w:val="22"/>
          <w:szCs w:val="22"/>
        </w:rPr>
        <w:t xml:space="preserve">D. </w:t>
      </w:r>
      <w:r>
        <w:rPr>
          <w:rFonts w:eastAsia="Times New Roman"/>
          <w:sz w:val="22"/>
          <w:szCs w:val="22"/>
        </w:rPr>
        <w:t xml:space="preserve">The viability of HAP1 </w:t>
      </w:r>
      <w:proofErr w:type="spellStart"/>
      <w:r>
        <w:rPr>
          <w:rFonts w:eastAsia="Times New Roman"/>
          <w:sz w:val="22"/>
          <w:szCs w:val="22"/>
        </w:rPr>
        <w:t>wildtype</w:t>
      </w:r>
      <w:proofErr w:type="spellEnd"/>
      <w:r>
        <w:rPr>
          <w:rFonts w:eastAsia="Times New Roman"/>
          <w:sz w:val="22"/>
          <w:szCs w:val="22"/>
        </w:rPr>
        <w:t xml:space="preserve"> (WT) cells, SMARCA4-KO, and SMARCA2-KO after 8 days of varying concentrations of paclitaxel. The fraction of viable cells is plotted versus the paclitaxel concentration. </w:t>
      </w:r>
      <w:r>
        <w:rPr>
          <w:rFonts w:eastAsia="Times New Roman"/>
          <w:b/>
          <w:sz w:val="22"/>
          <w:szCs w:val="22"/>
        </w:rPr>
        <w:t xml:space="preserve">E. </w:t>
      </w:r>
      <w:r>
        <w:rPr>
          <w:rFonts w:eastAsia="Times New Roman"/>
          <w:sz w:val="22"/>
          <w:szCs w:val="22"/>
        </w:rPr>
        <w:t xml:space="preserve">Cell lines from the NCI-60 with a reported paclitaxel (NSC-125973) response are included. Alterations of SWI/SNF genes are represented by </w:t>
      </w:r>
      <w:proofErr w:type="spellStart"/>
      <w:r>
        <w:rPr>
          <w:rFonts w:eastAsia="Times New Roman"/>
          <w:sz w:val="22"/>
          <w:szCs w:val="22"/>
        </w:rPr>
        <w:t>colored</w:t>
      </w:r>
      <w:proofErr w:type="spellEnd"/>
      <w:r>
        <w:rPr>
          <w:rFonts w:eastAsia="Times New Roman"/>
          <w:sz w:val="22"/>
          <w:szCs w:val="22"/>
        </w:rPr>
        <w:t xml:space="preserve"> squares. The columns are organized first by paclitaxel sensitivity and then by tissue of origin (color-coded) where BR: breast, CNS: central nervous system, CO: colorectal, LE: </w:t>
      </w:r>
      <w:proofErr w:type="spellStart"/>
      <w:r>
        <w:rPr>
          <w:rFonts w:eastAsia="Times New Roman"/>
          <w:sz w:val="22"/>
          <w:szCs w:val="22"/>
        </w:rPr>
        <w:t>leukemia</w:t>
      </w:r>
      <w:proofErr w:type="spellEnd"/>
      <w:r>
        <w:rPr>
          <w:rFonts w:eastAsia="Times New Roman"/>
          <w:sz w:val="22"/>
          <w:szCs w:val="22"/>
        </w:rPr>
        <w:t xml:space="preserve">, LC: lung, OV: ovarian, RE: renal. The rows present the SWI/SNF genes ranked by alteration frequency in the NCI-60. </w:t>
      </w:r>
    </w:p>
    <w:p w14:paraId="1E8960AC" w14:textId="77777777" w:rsidR="00870D7D" w:rsidRDefault="00870D7D" w:rsidP="00870D7D">
      <w:pPr>
        <w:spacing w:line="360" w:lineRule="auto"/>
        <w:jc w:val="both"/>
        <w:rPr>
          <w:rFonts w:eastAsia="Times New Roman"/>
          <w:b/>
          <w:sz w:val="22"/>
          <w:szCs w:val="22"/>
        </w:rPr>
      </w:pPr>
    </w:p>
    <w:p w14:paraId="174E6128" w14:textId="77777777" w:rsidR="00870D7D" w:rsidRPr="00720389" w:rsidRDefault="00870D7D" w:rsidP="00870D7D">
      <w:pPr>
        <w:spacing w:line="360" w:lineRule="auto"/>
        <w:jc w:val="both"/>
        <w:rPr>
          <w:rFonts w:eastAsia="Times New Roman"/>
          <w:sz w:val="22"/>
          <w:szCs w:val="22"/>
        </w:rPr>
      </w:pPr>
      <w:r w:rsidRPr="006D2DFE">
        <w:rPr>
          <w:rFonts w:eastAsia="Times New Roman"/>
          <w:b/>
          <w:sz w:val="22"/>
          <w:szCs w:val="22"/>
        </w:rPr>
        <w:t>Supplementary Table S1</w:t>
      </w:r>
      <w:r>
        <w:rPr>
          <w:rFonts w:eastAsia="Times New Roman"/>
          <w:b/>
          <w:sz w:val="22"/>
          <w:szCs w:val="22"/>
        </w:rPr>
        <w:t>: Clinical characteristics of the Institut Curie patient cohort.</w:t>
      </w:r>
      <w:r w:rsidR="00720389">
        <w:rPr>
          <w:rFonts w:eastAsia="Times New Roman"/>
          <w:b/>
          <w:sz w:val="22"/>
          <w:szCs w:val="22"/>
        </w:rPr>
        <w:t xml:space="preserve"> </w:t>
      </w:r>
      <w:r w:rsidR="00720389">
        <w:rPr>
          <w:rFonts w:eastAsia="Times New Roman"/>
          <w:sz w:val="22"/>
          <w:szCs w:val="22"/>
        </w:rPr>
        <w:t>For more information, see Materials and Methods.</w:t>
      </w:r>
    </w:p>
    <w:p w14:paraId="34F1F7A0" w14:textId="77777777" w:rsidR="00867246" w:rsidRDefault="00867246"/>
    <w:sectPr w:rsidR="00867246" w:rsidSect="003E2F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7D"/>
    <w:rsid w:val="00011670"/>
    <w:rsid w:val="000304E9"/>
    <w:rsid w:val="001D33B1"/>
    <w:rsid w:val="003E2FCF"/>
    <w:rsid w:val="0048102E"/>
    <w:rsid w:val="005575CD"/>
    <w:rsid w:val="00687D8A"/>
    <w:rsid w:val="006B7467"/>
    <w:rsid w:val="00720389"/>
    <w:rsid w:val="007A39EA"/>
    <w:rsid w:val="007C799A"/>
    <w:rsid w:val="00867246"/>
    <w:rsid w:val="00870D7D"/>
    <w:rsid w:val="008A5670"/>
    <w:rsid w:val="00920A5C"/>
    <w:rsid w:val="00A7769F"/>
    <w:rsid w:val="00C44349"/>
    <w:rsid w:val="00D666B0"/>
    <w:rsid w:val="00D75152"/>
    <w:rsid w:val="00DF7C38"/>
    <w:rsid w:val="00E375F9"/>
    <w:rsid w:val="00EC5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7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7D"/>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D7D"/>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4403</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Supplementary Figure Legends</vt:lpstr>
    </vt:vector>
  </TitlesOfParts>
  <Company>Institut Curie</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Zachary Gurard-Levin</cp:lastModifiedBy>
  <cp:revision>2</cp:revision>
  <dcterms:created xsi:type="dcterms:W3CDTF">2016-04-07T13:55:00Z</dcterms:created>
  <dcterms:modified xsi:type="dcterms:W3CDTF">2016-04-07T13:55:00Z</dcterms:modified>
</cp:coreProperties>
</file>