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B7" w:rsidRPr="004D373B" w:rsidRDefault="005325A5" w:rsidP="000F6FCF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4D373B">
        <w:rPr>
          <w:rFonts w:ascii="Times New Roman" w:hAnsi="Times New Roman" w:cs="Times New Roman"/>
          <w:b/>
        </w:rPr>
        <w:t>Supplementa</w:t>
      </w:r>
      <w:r w:rsidR="00484761">
        <w:rPr>
          <w:rFonts w:ascii="Times New Roman" w:hAnsi="Times New Roman" w:cs="Times New Roman"/>
          <w:b/>
        </w:rPr>
        <w:t>ry</w:t>
      </w:r>
      <w:r w:rsidRPr="004D373B">
        <w:rPr>
          <w:rFonts w:ascii="Times New Roman" w:hAnsi="Times New Roman" w:cs="Times New Roman"/>
          <w:b/>
        </w:rPr>
        <w:t xml:space="preserve"> Information Text S1</w:t>
      </w:r>
      <w:r w:rsidRPr="004D373B">
        <w:rPr>
          <w:rFonts w:ascii="Times New Roman" w:hAnsi="Times New Roman" w:cs="Times New Roman"/>
        </w:rPr>
        <w:t>.</w:t>
      </w:r>
      <w:proofErr w:type="gramEnd"/>
      <w:r w:rsidRPr="004D373B">
        <w:rPr>
          <w:rFonts w:ascii="Times New Roman" w:hAnsi="Times New Roman" w:cs="Times New Roman"/>
        </w:rPr>
        <w:t xml:space="preserve">  To a first approximation, the theoretical maximum binding capacity (</w:t>
      </w:r>
      <w:proofErr w:type="spellStart"/>
      <w:r w:rsidRPr="004D373B">
        <w:rPr>
          <w:rFonts w:ascii="Times New Roman" w:hAnsi="Times New Roman" w:cs="Times New Roman"/>
          <w:i/>
        </w:rPr>
        <w:t>R</w:t>
      </w:r>
      <w:r w:rsidRPr="004D373B">
        <w:rPr>
          <w:rFonts w:ascii="Times New Roman" w:hAnsi="Times New Roman" w:cs="Times New Roman"/>
          <w:i/>
          <w:vertAlign w:val="subscript"/>
        </w:rPr>
        <w:t>max</w:t>
      </w:r>
      <w:proofErr w:type="spellEnd"/>
      <w:r w:rsidRPr="004D373B">
        <w:rPr>
          <w:rFonts w:ascii="Times New Roman" w:hAnsi="Times New Roman" w:cs="Times New Roman"/>
        </w:rPr>
        <w:t xml:space="preserve">) </w:t>
      </w:r>
      <w:r w:rsidR="00AD2EB5" w:rsidRPr="004D373B">
        <w:rPr>
          <w:rFonts w:ascii="Times New Roman" w:hAnsi="Times New Roman" w:cs="Times New Roman"/>
        </w:rPr>
        <w:t>of the immobilized ligand on the</w:t>
      </w:r>
      <w:r w:rsidRPr="004D373B">
        <w:rPr>
          <w:rFonts w:ascii="Times New Roman" w:hAnsi="Times New Roman" w:cs="Times New Roman"/>
        </w:rPr>
        <w:t xml:space="preserve"> </w:t>
      </w:r>
      <w:proofErr w:type="spellStart"/>
      <w:r w:rsidRPr="004D373B">
        <w:rPr>
          <w:rFonts w:ascii="Times New Roman" w:hAnsi="Times New Roman" w:cs="Times New Roman"/>
        </w:rPr>
        <w:t>Biacore</w:t>
      </w:r>
      <w:proofErr w:type="spellEnd"/>
      <w:r w:rsidRPr="004D373B">
        <w:rPr>
          <w:rFonts w:ascii="Times New Roman" w:hAnsi="Times New Roman" w:cs="Times New Roman"/>
        </w:rPr>
        <w:t xml:space="preserve"> chip surface</w:t>
      </w:r>
      <w:r w:rsidR="00AD2EB5" w:rsidRPr="004D373B">
        <w:rPr>
          <w:rFonts w:ascii="Times New Roman" w:hAnsi="Times New Roman" w:cs="Times New Roman"/>
        </w:rPr>
        <w:t xml:space="preserve"> </w:t>
      </w:r>
      <w:r w:rsidRPr="004D373B">
        <w:rPr>
          <w:rFonts w:ascii="Times New Roman" w:hAnsi="Times New Roman" w:cs="Times New Roman"/>
        </w:rPr>
        <w:t>can be estimated using the following equation:</w:t>
      </w:r>
    </w:p>
    <w:p w:rsidR="00A00FBE" w:rsidRPr="004D373B" w:rsidRDefault="005325A5" w:rsidP="000F6FCF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4D373B">
        <w:rPr>
          <w:rFonts w:ascii="Times New Roman" w:hAnsi="Times New Roman" w:cs="Times New Roman"/>
        </w:rPr>
        <w:t>Equation S1:</w:t>
      </w:r>
      <w:r w:rsidRPr="004D373B">
        <w:rPr>
          <w:rFonts w:ascii="Times New Roman" w:hAnsi="Times New Roman" w:cs="Times New Roman"/>
        </w:rPr>
        <w:tab/>
      </w:r>
      <w:r w:rsidRPr="004D373B">
        <w:rPr>
          <w:rFonts w:ascii="Times New Roman" w:hAnsi="Times New Roman" w:cs="Times New Roman"/>
        </w:rPr>
        <w:tab/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max</m:t>
            </m:r>
          </m:sub>
        </m:sSub>
        <m:r>
          <w:rPr>
            <w:rFonts w:ascii="Cambria Math" w:hAnsi="Cambria Math" w:cs="Times New Roman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MW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MW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</w:rPr>
          <m:t>×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L</m:t>
            </m:r>
          </m:sub>
        </m:sSub>
        <m:r>
          <w:rPr>
            <w:rFonts w:ascii="Cambria Math" w:hAnsi="Cambria Math" w:cs="Times New Roman"/>
          </w:rPr>
          <m:t>×s</m:t>
        </m:r>
      </m:oMath>
    </w:p>
    <w:p w:rsidR="005325A5" w:rsidRPr="004D373B" w:rsidRDefault="005325A5" w:rsidP="000F6FCF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proofErr w:type="gramStart"/>
      <w:r w:rsidRPr="004D373B">
        <w:rPr>
          <w:rFonts w:ascii="Times New Roman" w:eastAsiaTheme="minorEastAsia" w:hAnsi="Times New Roman" w:cs="Times New Roman"/>
        </w:rPr>
        <w:t>where</w:t>
      </w:r>
      <w:proofErr w:type="gramEnd"/>
      <w:r w:rsidRPr="004D373B">
        <w:rPr>
          <w:rFonts w:ascii="Times New Roman" w:eastAsiaTheme="minorEastAsia" w:hAnsi="Times New Roman" w:cs="Times New Roman"/>
        </w:rPr>
        <w:t xml:space="preserve"> </w:t>
      </w:r>
      <w:r w:rsidR="00AA21DB" w:rsidRPr="004D373B">
        <w:rPr>
          <w:rFonts w:ascii="Times New Roman" w:eastAsiaTheme="minorEastAsia" w:hAnsi="Times New Roman" w:cs="Times New Roman"/>
          <w:i/>
        </w:rPr>
        <w:t>MW</w:t>
      </w:r>
      <w:r w:rsidR="00AA21DB" w:rsidRPr="004D373B">
        <w:rPr>
          <w:rFonts w:ascii="Times New Roman" w:eastAsiaTheme="minorEastAsia" w:hAnsi="Times New Roman" w:cs="Times New Roman"/>
          <w:i/>
          <w:vertAlign w:val="subscript"/>
        </w:rPr>
        <w:t>A</w:t>
      </w:r>
      <w:r w:rsidR="00AA21DB" w:rsidRPr="004D373B">
        <w:rPr>
          <w:rFonts w:ascii="Times New Roman" w:eastAsiaTheme="minorEastAsia" w:hAnsi="Times New Roman" w:cs="Times New Roman"/>
        </w:rPr>
        <w:t xml:space="preserve"> is the molecular weight of the </w:t>
      </w:r>
      <w:proofErr w:type="spellStart"/>
      <w:r w:rsidR="00AA21DB" w:rsidRPr="004D373B">
        <w:rPr>
          <w:rFonts w:ascii="Times New Roman" w:eastAsiaTheme="minorEastAsia" w:hAnsi="Times New Roman" w:cs="Times New Roman"/>
        </w:rPr>
        <w:t>analyte</w:t>
      </w:r>
      <w:proofErr w:type="spellEnd"/>
      <w:r w:rsidR="00AA21DB" w:rsidRPr="004D373B">
        <w:rPr>
          <w:rFonts w:ascii="Times New Roman" w:eastAsiaTheme="minorEastAsia" w:hAnsi="Times New Roman" w:cs="Times New Roman"/>
        </w:rPr>
        <w:t xml:space="preserve">, </w:t>
      </w:r>
      <w:r w:rsidRPr="004D373B">
        <w:rPr>
          <w:rFonts w:ascii="Times New Roman" w:eastAsiaTheme="minorEastAsia" w:hAnsi="Times New Roman" w:cs="Times New Roman"/>
          <w:i/>
        </w:rPr>
        <w:t>MW</w:t>
      </w:r>
      <w:r w:rsidRPr="004D373B">
        <w:rPr>
          <w:rFonts w:ascii="Times New Roman" w:eastAsiaTheme="minorEastAsia" w:hAnsi="Times New Roman" w:cs="Times New Roman"/>
          <w:i/>
          <w:vertAlign w:val="subscript"/>
        </w:rPr>
        <w:t>L</w:t>
      </w:r>
      <w:r w:rsidRPr="004D373B">
        <w:rPr>
          <w:rFonts w:ascii="Times New Roman" w:eastAsiaTheme="minorEastAsia" w:hAnsi="Times New Roman" w:cs="Times New Roman"/>
        </w:rPr>
        <w:t xml:space="preserve"> is the molecular weight of the ligand, </w:t>
      </w:r>
      <w:r w:rsidRPr="004D373B">
        <w:rPr>
          <w:rFonts w:ascii="Times New Roman" w:eastAsiaTheme="minorEastAsia" w:hAnsi="Times New Roman" w:cs="Times New Roman"/>
          <w:i/>
        </w:rPr>
        <w:t>R</w:t>
      </w:r>
      <w:r w:rsidRPr="004D373B">
        <w:rPr>
          <w:rFonts w:ascii="Times New Roman" w:eastAsiaTheme="minorEastAsia" w:hAnsi="Times New Roman" w:cs="Times New Roman"/>
          <w:i/>
          <w:vertAlign w:val="subscript"/>
        </w:rPr>
        <w:t>L</w:t>
      </w:r>
      <w:r w:rsidRPr="004D373B">
        <w:rPr>
          <w:rFonts w:ascii="Times New Roman" w:eastAsiaTheme="minorEastAsia" w:hAnsi="Times New Roman" w:cs="Times New Roman"/>
        </w:rPr>
        <w:t xml:space="preserve"> is </w:t>
      </w:r>
      <w:r w:rsidR="00AA21DB" w:rsidRPr="004D373B">
        <w:rPr>
          <w:rFonts w:ascii="Times New Roman" w:eastAsiaTheme="minorEastAsia" w:hAnsi="Times New Roman" w:cs="Times New Roman"/>
        </w:rPr>
        <w:t xml:space="preserve">the </w:t>
      </w:r>
      <w:r w:rsidRPr="004D373B">
        <w:rPr>
          <w:rFonts w:ascii="Times New Roman" w:eastAsiaTheme="minorEastAsia" w:hAnsi="Times New Roman" w:cs="Times New Roman"/>
        </w:rPr>
        <w:t xml:space="preserve">response level (RU) of immobilized </w:t>
      </w:r>
      <w:r w:rsidR="00AA21DB" w:rsidRPr="004D373B">
        <w:rPr>
          <w:rFonts w:ascii="Times New Roman" w:eastAsiaTheme="minorEastAsia" w:hAnsi="Times New Roman" w:cs="Times New Roman"/>
        </w:rPr>
        <w:t xml:space="preserve">(captured) </w:t>
      </w:r>
      <w:r w:rsidRPr="004D373B">
        <w:rPr>
          <w:rFonts w:ascii="Times New Roman" w:eastAsiaTheme="minorEastAsia" w:hAnsi="Times New Roman" w:cs="Times New Roman"/>
        </w:rPr>
        <w:t xml:space="preserve">ligand, and </w:t>
      </w:r>
      <w:proofErr w:type="spellStart"/>
      <w:r w:rsidRPr="004D373B">
        <w:rPr>
          <w:rFonts w:ascii="Times New Roman" w:eastAsiaTheme="minorEastAsia" w:hAnsi="Times New Roman" w:cs="Times New Roman"/>
          <w:i/>
        </w:rPr>
        <w:t>s</w:t>
      </w:r>
      <w:proofErr w:type="spellEnd"/>
      <w:r w:rsidRPr="004D373B">
        <w:rPr>
          <w:rFonts w:ascii="Times New Roman" w:eastAsiaTheme="minorEastAsia" w:hAnsi="Times New Roman" w:cs="Times New Roman"/>
        </w:rPr>
        <w:t xml:space="preserve"> is the number of binding sites per ligand.  </w:t>
      </w:r>
      <w:r w:rsidR="00C23963" w:rsidRPr="004D373B">
        <w:rPr>
          <w:rFonts w:ascii="Times New Roman" w:eastAsiaTheme="minorEastAsia" w:hAnsi="Times New Roman" w:cs="Times New Roman"/>
        </w:rPr>
        <w:t xml:space="preserve">Incorporating </w:t>
      </w:r>
      <w:r w:rsidRPr="004D373B">
        <w:rPr>
          <w:rFonts w:ascii="Times New Roman" w:eastAsiaTheme="minorEastAsia" w:hAnsi="Times New Roman" w:cs="Times New Roman"/>
        </w:rPr>
        <w:t>the actual values for the relevant parameters</w:t>
      </w:r>
      <w:r w:rsidR="00C23963" w:rsidRPr="004D373B">
        <w:rPr>
          <w:rFonts w:ascii="Times New Roman" w:eastAsiaTheme="minorEastAsia" w:hAnsi="Times New Roman" w:cs="Times New Roman"/>
        </w:rPr>
        <w:t xml:space="preserve"> from the ERK </w:t>
      </w:r>
      <w:proofErr w:type="spellStart"/>
      <w:r w:rsidR="00C23963" w:rsidRPr="004D373B">
        <w:rPr>
          <w:rFonts w:ascii="Times New Roman" w:eastAsiaTheme="minorEastAsia" w:hAnsi="Times New Roman" w:cs="Times New Roman"/>
        </w:rPr>
        <w:t>Biacore</w:t>
      </w:r>
      <w:proofErr w:type="spellEnd"/>
      <w:r w:rsidR="00C23963" w:rsidRPr="004D373B">
        <w:rPr>
          <w:rFonts w:ascii="Times New Roman" w:eastAsiaTheme="minorEastAsia" w:hAnsi="Times New Roman" w:cs="Times New Roman"/>
        </w:rPr>
        <w:t xml:space="preserve"> analysis results in the following</w:t>
      </w:r>
      <w:r w:rsidRPr="004D373B">
        <w:rPr>
          <w:rFonts w:ascii="Times New Roman" w:eastAsiaTheme="minorEastAsia" w:hAnsi="Times New Roman" w:cs="Times New Roman"/>
        </w:rPr>
        <w:t>:</w:t>
      </w:r>
    </w:p>
    <w:p w:rsidR="005325A5" w:rsidRPr="004D373B" w:rsidRDefault="005325A5" w:rsidP="000F6FCF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4D373B">
        <w:rPr>
          <w:rFonts w:ascii="Times New Roman" w:eastAsiaTheme="minorEastAsia" w:hAnsi="Times New Roman" w:cs="Times New Roman"/>
        </w:rPr>
        <w:t xml:space="preserve"> </w:t>
      </w:r>
      <w:r w:rsidRPr="004D373B">
        <w:rPr>
          <w:rFonts w:ascii="Times New Roman" w:hAnsi="Times New Roman" w:cs="Times New Roman"/>
        </w:rPr>
        <w:t>Equation S</w:t>
      </w:r>
      <w:r w:rsidR="00A00FBE" w:rsidRPr="004D373B">
        <w:rPr>
          <w:rFonts w:ascii="Times New Roman" w:hAnsi="Times New Roman" w:cs="Times New Roman"/>
        </w:rPr>
        <w:t>2</w:t>
      </w:r>
      <w:r w:rsidRPr="004D373B">
        <w:rPr>
          <w:rFonts w:ascii="Times New Roman" w:hAnsi="Times New Roman" w:cs="Times New Roman"/>
        </w:rPr>
        <w:t>:</w:t>
      </w:r>
      <w:r w:rsidRPr="004D373B">
        <w:rPr>
          <w:rFonts w:ascii="Times New Roman" w:hAnsi="Times New Roman" w:cs="Times New Roman"/>
        </w:rPr>
        <w:tab/>
      </w:r>
      <w:r w:rsidRPr="004D373B">
        <w:rPr>
          <w:rFonts w:ascii="Times New Roman" w:hAnsi="Times New Roman" w:cs="Times New Roman"/>
        </w:rPr>
        <w:tab/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max</m:t>
            </m:r>
          </m:sub>
        </m:sSub>
        <m:r>
          <w:rPr>
            <w:rFonts w:ascii="Cambria Math" w:hAnsi="Cambria Math" w:cs="Times New Roman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 xml:space="preserve">0.587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(kDa)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 xml:space="preserve">70.5± 0.5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(kDa)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</w:rPr>
          <m:t xml:space="preserve">×(1100-1400 </m:t>
        </m:r>
        <m:r>
          <m:rPr>
            <m:sty m:val="p"/>
          </m:rPr>
          <w:rPr>
            <w:rFonts w:ascii="Cambria Math" w:hAnsi="Cambria Math" w:cs="Times New Roman"/>
          </w:rPr>
          <m:t>RU</m:t>
        </m:r>
        <m:r>
          <w:rPr>
            <w:rFonts w:ascii="Cambria Math" w:hAnsi="Cambria Math" w:cs="Times New Roman"/>
          </w:rPr>
          <m:t>)×1</m:t>
        </m:r>
      </m:oMath>
      <w:r w:rsidR="00A00FBE" w:rsidRPr="004D373B">
        <w:rPr>
          <w:rFonts w:ascii="Times New Roman" w:eastAsiaTheme="minorEastAsia" w:hAnsi="Times New Roman" w:cs="Times New Roman"/>
        </w:rPr>
        <w:t xml:space="preserve"> = </w:t>
      </w:r>
      <w:r w:rsidR="00A00FBE" w:rsidRPr="004D373B">
        <w:rPr>
          <w:rFonts w:ascii="Times New Roman" w:eastAsiaTheme="minorEastAsia" w:hAnsi="Times New Roman" w:cs="Times New Roman"/>
          <w:b/>
        </w:rPr>
        <w:t>9–11.5 RU</w:t>
      </w:r>
    </w:p>
    <w:p w:rsidR="005325A5" w:rsidRPr="004D373B" w:rsidRDefault="00A00FBE" w:rsidP="000F6FCF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4D373B">
        <w:rPr>
          <w:rFonts w:ascii="Times New Roman" w:eastAsiaTheme="minorEastAsia" w:hAnsi="Times New Roman" w:cs="Times New Roman"/>
        </w:rPr>
        <w:t xml:space="preserve">The maximal responses for each experiment, corresponding to the observed </w:t>
      </w:r>
      <w:proofErr w:type="spellStart"/>
      <w:r w:rsidRPr="004D373B">
        <w:rPr>
          <w:rFonts w:ascii="Times New Roman" w:eastAsiaTheme="minorEastAsia" w:hAnsi="Times New Roman" w:cs="Times New Roman"/>
        </w:rPr>
        <w:t>Biacore</w:t>
      </w:r>
      <w:proofErr w:type="spellEnd"/>
      <w:r w:rsidRPr="004D373B">
        <w:rPr>
          <w:rFonts w:ascii="Times New Roman" w:eastAsiaTheme="minorEastAsia" w:hAnsi="Times New Roman" w:cs="Times New Roman"/>
        </w:rPr>
        <w:t xml:space="preserve"> traces at the highest </w:t>
      </w:r>
      <w:proofErr w:type="spellStart"/>
      <w:r w:rsidRPr="004D373B">
        <w:rPr>
          <w:rFonts w:ascii="Times New Roman" w:eastAsiaTheme="minorEastAsia" w:hAnsi="Times New Roman" w:cs="Times New Roman"/>
        </w:rPr>
        <w:t>analyte</w:t>
      </w:r>
      <w:proofErr w:type="spellEnd"/>
      <w:r w:rsidRPr="004D373B">
        <w:rPr>
          <w:rFonts w:ascii="Times New Roman" w:eastAsiaTheme="minorEastAsia" w:hAnsi="Times New Roman" w:cs="Times New Roman"/>
        </w:rPr>
        <w:t xml:space="preserve"> concentrations (</w:t>
      </w:r>
      <w:r w:rsidRPr="004D373B">
        <w:rPr>
          <w:rFonts w:ascii="Times New Roman" w:eastAsiaTheme="minorEastAsia" w:hAnsi="Times New Roman" w:cs="Times New Roman"/>
          <w:b/>
        </w:rPr>
        <w:t>8-10.5 RU</w:t>
      </w:r>
      <w:r w:rsidRPr="004D373B">
        <w:rPr>
          <w:rFonts w:ascii="Times New Roman" w:eastAsiaTheme="minorEastAsia" w:hAnsi="Times New Roman" w:cs="Times New Roman"/>
        </w:rPr>
        <w:t xml:space="preserve">), can then be compared </w:t>
      </w:r>
      <w:r w:rsidR="00AA21DB" w:rsidRPr="004D373B">
        <w:rPr>
          <w:rFonts w:ascii="Times New Roman" w:eastAsiaTheme="minorEastAsia" w:hAnsi="Times New Roman" w:cs="Times New Roman"/>
        </w:rPr>
        <w:t>with</w:t>
      </w:r>
      <w:r w:rsidRPr="004D373B">
        <w:rPr>
          <w:rFonts w:ascii="Times New Roman" w:eastAsiaTheme="minorEastAsia" w:hAnsi="Times New Roman" w:cs="Times New Roman"/>
        </w:rPr>
        <w:t xml:space="preserve"> this theoretical value</w:t>
      </w:r>
      <w:r w:rsidR="00C23963" w:rsidRPr="004D373B">
        <w:rPr>
          <w:rFonts w:ascii="Times New Roman" w:eastAsiaTheme="minorEastAsia" w:hAnsi="Times New Roman" w:cs="Times New Roman"/>
        </w:rPr>
        <w:t xml:space="preserve"> to determine the percent of the maximum capacity </w:t>
      </w:r>
      <w:r w:rsidR="00AD2EB5" w:rsidRPr="004D373B">
        <w:rPr>
          <w:rFonts w:ascii="Times New Roman" w:eastAsiaTheme="minorEastAsia" w:hAnsi="Times New Roman" w:cs="Times New Roman"/>
        </w:rPr>
        <w:t>attained</w:t>
      </w:r>
      <w:r w:rsidRPr="004D373B">
        <w:rPr>
          <w:rFonts w:ascii="Times New Roman" w:eastAsiaTheme="minorEastAsia" w:hAnsi="Times New Roman" w:cs="Times New Roman"/>
        </w:rPr>
        <w:t xml:space="preserve">.  </w:t>
      </w:r>
    </w:p>
    <w:p w:rsidR="00744D07" w:rsidRPr="004D373B" w:rsidRDefault="00744D07" w:rsidP="000F6FCF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w:r w:rsidRPr="004D373B">
        <w:rPr>
          <w:rFonts w:ascii="Times New Roman" w:eastAsiaTheme="minorEastAsia" w:hAnsi="Times New Roman" w:cs="Times New Roman"/>
        </w:rPr>
        <w:t xml:space="preserve">In cases where complete saturation of </w:t>
      </w:r>
      <w:r w:rsidR="00E420DF" w:rsidRPr="004D373B">
        <w:rPr>
          <w:rFonts w:ascii="Times New Roman" w:eastAsiaTheme="minorEastAsia" w:hAnsi="Times New Roman" w:cs="Times New Roman"/>
        </w:rPr>
        <w:t>an</w:t>
      </w:r>
      <w:r w:rsidRPr="004D373B">
        <w:rPr>
          <w:rFonts w:ascii="Times New Roman" w:eastAsiaTheme="minorEastAsia" w:hAnsi="Times New Roman" w:cs="Times New Roman"/>
        </w:rPr>
        <w:t xml:space="preserve"> immobilized surface is attained (</w:t>
      </w:r>
      <w:r w:rsidRPr="004D373B">
        <w:rPr>
          <w:rFonts w:ascii="Times New Roman" w:eastAsiaTheme="minorEastAsia" w:hAnsi="Times New Roman" w:cs="Times New Roman"/>
          <w:i/>
        </w:rPr>
        <w:t>and</w:t>
      </w:r>
      <w:r w:rsidRPr="004D373B">
        <w:rPr>
          <w:rFonts w:ascii="Times New Roman" w:eastAsiaTheme="minorEastAsia" w:hAnsi="Times New Roman" w:cs="Times New Roman"/>
        </w:rPr>
        <w:t xml:space="preserve"> each protein ligand is capable of binding </w:t>
      </w:r>
      <w:proofErr w:type="spellStart"/>
      <w:r w:rsidRPr="004D373B">
        <w:rPr>
          <w:rFonts w:ascii="Times New Roman" w:eastAsiaTheme="minorEastAsia" w:hAnsi="Times New Roman" w:cs="Times New Roman"/>
        </w:rPr>
        <w:t>analyte</w:t>
      </w:r>
      <w:proofErr w:type="spellEnd"/>
      <w:r w:rsidRPr="004D373B">
        <w:rPr>
          <w:rFonts w:ascii="Times New Roman" w:eastAsiaTheme="minorEastAsia" w:hAnsi="Times New Roman" w:cs="Times New Roman"/>
        </w:rPr>
        <w:t xml:space="preserve">) the percent bound should approach 100% of the theoretical maximum level.  </w:t>
      </w:r>
      <w:r w:rsidR="0087333A" w:rsidRPr="004D373B">
        <w:rPr>
          <w:rFonts w:ascii="Times New Roman" w:eastAsiaTheme="minorEastAsia" w:hAnsi="Times New Roman" w:cs="Times New Roman"/>
        </w:rPr>
        <w:t xml:space="preserve">This was observed in both single cycle kinetic experiments with inactive WT ERK1 and </w:t>
      </w:r>
      <w:r w:rsidR="003F7A4E" w:rsidRPr="004D373B">
        <w:rPr>
          <w:rFonts w:ascii="Times New Roman" w:eastAsiaTheme="minorEastAsia" w:hAnsi="Times New Roman" w:cs="Times New Roman"/>
        </w:rPr>
        <w:t xml:space="preserve">inactive WT </w:t>
      </w:r>
      <w:r w:rsidR="0087333A" w:rsidRPr="004D373B">
        <w:rPr>
          <w:rFonts w:ascii="Times New Roman" w:eastAsiaTheme="minorEastAsia" w:hAnsi="Times New Roman" w:cs="Times New Roman"/>
        </w:rPr>
        <w:t xml:space="preserve">ERK2.  </w:t>
      </w:r>
      <w:r w:rsidR="00AD2EB5" w:rsidRPr="004D373B">
        <w:rPr>
          <w:rFonts w:ascii="Times New Roman" w:eastAsiaTheme="minorEastAsia" w:hAnsi="Times New Roman" w:cs="Times New Roman"/>
        </w:rPr>
        <w:t xml:space="preserve">Multi-cycle </w:t>
      </w:r>
      <w:proofErr w:type="spellStart"/>
      <w:r w:rsidR="00AD2EB5" w:rsidRPr="004D373B">
        <w:rPr>
          <w:rFonts w:ascii="Times New Roman" w:eastAsiaTheme="minorEastAsia" w:hAnsi="Times New Roman" w:cs="Times New Roman"/>
        </w:rPr>
        <w:t>Biacore</w:t>
      </w:r>
      <w:proofErr w:type="spellEnd"/>
      <w:r w:rsidR="00AD2EB5" w:rsidRPr="004D373B">
        <w:rPr>
          <w:rFonts w:ascii="Times New Roman" w:eastAsiaTheme="minorEastAsia" w:hAnsi="Times New Roman" w:cs="Times New Roman"/>
        </w:rPr>
        <w:t xml:space="preserve"> analysis of both </w:t>
      </w:r>
      <w:r w:rsidR="00BA59E4" w:rsidRPr="004D373B">
        <w:rPr>
          <w:rFonts w:ascii="Times New Roman" w:eastAsiaTheme="minorEastAsia" w:hAnsi="Times New Roman" w:cs="Times New Roman"/>
        </w:rPr>
        <w:t xml:space="preserve">active WT ERK1 </w:t>
      </w:r>
      <w:r w:rsidR="00BF5417">
        <w:rPr>
          <w:rFonts w:ascii="Times New Roman" w:eastAsiaTheme="minorEastAsia" w:hAnsi="Times New Roman" w:cs="Times New Roman"/>
        </w:rPr>
        <w:t xml:space="preserve">(Fig. 4B) </w:t>
      </w:r>
      <w:r w:rsidR="00BA59E4" w:rsidRPr="004D373B">
        <w:rPr>
          <w:rFonts w:ascii="Times New Roman" w:eastAsiaTheme="minorEastAsia" w:hAnsi="Times New Roman" w:cs="Times New Roman"/>
        </w:rPr>
        <w:t>and active G</w:t>
      </w:r>
      <w:r w:rsidR="00DD7FF4">
        <w:rPr>
          <w:rFonts w:ascii="Times New Roman" w:eastAsiaTheme="minorEastAsia" w:hAnsi="Times New Roman" w:cs="Times New Roman"/>
        </w:rPr>
        <w:t>1</w:t>
      </w:r>
      <w:r w:rsidR="008C6C89">
        <w:rPr>
          <w:rFonts w:ascii="Times New Roman" w:eastAsiaTheme="minorEastAsia" w:hAnsi="Times New Roman" w:cs="Times New Roman"/>
        </w:rPr>
        <w:t>69</w:t>
      </w:r>
      <w:r w:rsidR="00BA59E4" w:rsidRPr="004D373B">
        <w:rPr>
          <w:rFonts w:ascii="Times New Roman" w:eastAsiaTheme="minorEastAsia" w:hAnsi="Times New Roman" w:cs="Times New Roman"/>
        </w:rPr>
        <w:t>D ERK</w:t>
      </w:r>
      <w:r w:rsidR="008C6C89">
        <w:rPr>
          <w:rFonts w:ascii="Times New Roman" w:eastAsiaTheme="minorEastAsia" w:hAnsi="Times New Roman" w:cs="Times New Roman"/>
        </w:rPr>
        <w:t>2</w:t>
      </w:r>
      <w:r w:rsidR="00BA59E4" w:rsidRPr="004D373B">
        <w:rPr>
          <w:rFonts w:ascii="Times New Roman" w:eastAsiaTheme="minorEastAsia" w:hAnsi="Times New Roman" w:cs="Times New Roman"/>
        </w:rPr>
        <w:t xml:space="preserve"> </w:t>
      </w:r>
      <w:r w:rsidR="00BF5417">
        <w:rPr>
          <w:rFonts w:ascii="Times New Roman" w:eastAsiaTheme="minorEastAsia" w:hAnsi="Times New Roman" w:cs="Times New Roman"/>
        </w:rPr>
        <w:t xml:space="preserve">(Supplementary Information Fig. S5) </w:t>
      </w:r>
      <w:r w:rsidR="00AD2EB5" w:rsidRPr="004D373B">
        <w:rPr>
          <w:rFonts w:ascii="Times New Roman" w:eastAsiaTheme="minorEastAsia" w:hAnsi="Times New Roman" w:cs="Times New Roman"/>
        </w:rPr>
        <w:t xml:space="preserve">indicated that complete saturation for these surfaces was not reached </w:t>
      </w:r>
      <w:r w:rsidR="00BA59E4" w:rsidRPr="004D373B">
        <w:rPr>
          <w:rFonts w:ascii="Times New Roman" w:eastAsiaTheme="minorEastAsia" w:hAnsi="Times New Roman" w:cs="Times New Roman"/>
        </w:rPr>
        <w:t>(~75% of total capacity bound</w:t>
      </w:r>
      <w:r w:rsidR="00AD2EB5" w:rsidRPr="004D373B">
        <w:rPr>
          <w:rFonts w:ascii="Times New Roman" w:eastAsiaTheme="minorEastAsia" w:hAnsi="Times New Roman" w:cs="Times New Roman"/>
        </w:rPr>
        <w:t xml:space="preserve"> at highest </w:t>
      </w:r>
      <w:proofErr w:type="spellStart"/>
      <w:r w:rsidR="00AD2EB5" w:rsidRPr="004D373B">
        <w:rPr>
          <w:rFonts w:ascii="Times New Roman" w:eastAsiaTheme="minorEastAsia" w:hAnsi="Times New Roman" w:cs="Times New Roman"/>
        </w:rPr>
        <w:t>analyte</w:t>
      </w:r>
      <w:proofErr w:type="spellEnd"/>
      <w:r w:rsidR="00AD2EB5" w:rsidRPr="004D373B">
        <w:rPr>
          <w:rFonts w:ascii="Times New Roman" w:eastAsiaTheme="minorEastAsia" w:hAnsi="Times New Roman" w:cs="Times New Roman"/>
        </w:rPr>
        <w:t xml:space="preserve"> concentration</w:t>
      </w:r>
      <w:r w:rsidR="00BA59E4" w:rsidRPr="004D373B">
        <w:rPr>
          <w:rFonts w:ascii="Times New Roman" w:eastAsiaTheme="minorEastAsia" w:hAnsi="Times New Roman" w:cs="Times New Roman"/>
        </w:rPr>
        <w:t>)</w:t>
      </w:r>
      <w:r w:rsidR="00FB348E">
        <w:rPr>
          <w:rFonts w:ascii="Times New Roman" w:eastAsiaTheme="minorEastAsia" w:hAnsi="Times New Roman" w:cs="Times New Roman"/>
        </w:rPr>
        <w:t>, although based on the fitting results they are both predicted to achieve a level of</w:t>
      </w:r>
      <w:r w:rsidR="00333BFB">
        <w:rPr>
          <w:rFonts w:ascii="Times New Roman" w:eastAsiaTheme="minorEastAsia" w:hAnsi="Times New Roman" w:cs="Times New Roman"/>
        </w:rPr>
        <w:t xml:space="preserve"> </w:t>
      </w:r>
      <w:r w:rsidR="00FB348E">
        <w:rPr>
          <w:rFonts w:ascii="Times New Roman" w:eastAsiaTheme="minorEastAsia" w:hAnsi="Times New Roman" w:cs="Times New Roman"/>
        </w:rPr>
        <w:t xml:space="preserve"> &gt; 90% </w:t>
      </w:r>
      <w:r w:rsidR="00333BFB">
        <w:rPr>
          <w:rFonts w:ascii="Times New Roman" w:eastAsiaTheme="minorEastAsia" w:hAnsi="Times New Roman" w:cs="Times New Roman"/>
        </w:rPr>
        <w:t xml:space="preserve">(within error) </w:t>
      </w:r>
      <w:r w:rsidR="00FB348E">
        <w:rPr>
          <w:rFonts w:ascii="Times New Roman" w:eastAsiaTheme="minorEastAsia" w:hAnsi="Times New Roman" w:cs="Times New Roman"/>
        </w:rPr>
        <w:t>at saturation</w:t>
      </w:r>
      <w:r w:rsidR="00BA59E4" w:rsidRPr="004D373B">
        <w:rPr>
          <w:rFonts w:ascii="Times New Roman" w:eastAsiaTheme="minorEastAsia" w:hAnsi="Times New Roman" w:cs="Times New Roman"/>
        </w:rPr>
        <w:t>.  Data for t</w:t>
      </w:r>
      <w:r w:rsidR="0087333A" w:rsidRPr="004D373B">
        <w:rPr>
          <w:rFonts w:ascii="Times New Roman" w:eastAsiaTheme="minorEastAsia" w:hAnsi="Times New Roman" w:cs="Times New Roman"/>
        </w:rPr>
        <w:t xml:space="preserve">he remaining </w:t>
      </w:r>
      <w:proofErr w:type="spellStart"/>
      <w:r w:rsidR="0087333A" w:rsidRPr="004D373B">
        <w:rPr>
          <w:rFonts w:ascii="Times New Roman" w:eastAsiaTheme="minorEastAsia" w:hAnsi="Times New Roman" w:cs="Times New Roman"/>
        </w:rPr>
        <w:t>Biacore</w:t>
      </w:r>
      <w:proofErr w:type="spellEnd"/>
      <w:r w:rsidR="0087333A" w:rsidRPr="004D373B">
        <w:rPr>
          <w:rFonts w:ascii="Times New Roman" w:eastAsiaTheme="minorEastAsia" w:hAnsi="Times New Roman" w:cs="Times New Roman"/>
        </w:rPr>
        <w:t xml:space="preserve"> experiments yielded bound percentages</w:t>
      </w:r>
      <w:r w:rsidR="00BA59E4" w:rsidRPr="004D373B">
        <w:rPr>
          <w:rFonts w:ascii="Times New Roman" w:eastAsiaTheme="minorEastAsia" w:hAnsi="Times New Roman" w:cs="Times New Roman"/>
        </w:rPr>
        <w:t xml:space="preserve"> of </w:t>
      </w:r>
      <w:r w:rsidR="003530D6" w:rsidRPr="004D373B">
        <w:rPr>
          <w:rFonts w:ascii="Times New Roman" w:eastAsiaTheme="minorEastAsia" w:hAnsi="Times New Roman" w:cs="Times New Roman"/>
        </w:rPr>
        <w:t>87-92%</w:t>
      </w:r>
      <w:r w:rsidR="0087333A" w:rsidRPr="004D373B">
        <w:rPr>
          <w:rFonts w:ascii="Times New Roman" w:eastAsiaTheme="minorEastAsia" w:hAnsi="Times New Roman" w:cs="Times New Roman"/>
        </w:rPr>
        <w:t xml:space="preserve"> </w:t>
      </w:r>
      <w:r w:rsidR="003530D6" w:rsidRPr="004D373B">
        <w:rPr>
          <w:rFonts w:ascii="Times New Roman" w:eastAsiaTheme="minorEastAsia" w:hAnsi="Times New Roman" w:cs="Times New Roman"/>
        </w:rPr>
        <w:t xml:space="preserve">(&gt; 90%, within error) </w:t>
      </w:r>
      <w:r w:rsidR="0087333A" w:rsidRPr="004D373B">
        <w:rPr>
          <w:rFonts w:ascii="Times New Roman" w:eastAsiaTheme="minorEastAsia" w:hAnsi="Times New Roman" w:cs="Times New Roman"/>
        </w:rPr>
        <w:t xml:space="preserve">of the maximum level.  </w:t>
      </w:r>
      <w:bookmarkStart w:id="0" w:name="_GoBack"/>
      <w:bookmarkEnd w:id="0"/>
    </w:p>
    <w:p w:rsidR="00744D07" w:rsidRPr="004D373B" w:rsidRDefault="000D07E1" w:rsidP="000F6FCF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w:r w:rsidRPr="004D373B">
        <w:rPr>
          <w:rFonts w:ascii="Times New Roman" w:eastAsiaTheme="minorEastAsia" w:hAnsi="Times New Roman" w:cs="Times New Roman"/>
        </w:rPr>
        <w:t>It may be worth noting that t</w:t>
      </w:r>
      <w:r w:rsidR="00BA59E4" w:rsidRPr="004D373B">
        <w:rPr>
          <w:rFonts w:ascii="Times New Roman" w:eastAsiaTheme="minorEastAsia" w:hAnsi="Times New Roman" w:cs="Times New Roman"/>
        </w:rPr>
        <w:t xml:space="preserve">he total percentage of the maximum </w:t>
      </w:r>
      <w:proofErr w:type="spellStart"/>
      <w:r w:rsidR="00BA59E4" w:rsidRPr="004D373B">
        <w:rPr>
          <w:rFonts w:ascii="Times New Roman" w:eastAsiaTheme="minorEastAsia" w:hAnsi="Times New Roman" w:cs="Times New Roman"/>
        </w:rPr>
        <w:t>analyte</w:t>
      </w:r>
      <w:proofErr w:type="spellEnd"/>
      <w:r w:rsidR="00BA59E4" w:rsidRPr="004D373B">
        <w:rPr>
          <w:rFonts w:ascii="Times New Roman" w:eastAsiaTheme="minorEastAsia" w:hAnsi="Times New Roman" w:cs="Times New Roman"/>
        </w:rPr>
        <w:t xml:space="preserve"> bound (vs </w:t>
      </w:r>
      <w:proofErr w:type="spellStart"/>
      <w:r w:rsidR="00BA59E4" w:rsidRPr="004D373B">
        <w:rPr>
          <w:rFonts w:ascii="Times New Roman" w:eastAsiaTheme="minorEastAsia" w:hAnsi="Times New Roman" w:cs="Times New Roman"/>
          <w:i/>
        </w:rPr>
        <w:t>R</w:t>
      </w:r>
      <w:r w:rsidR="00BA59E4" w:rsidRPr="004D373B">
        <w:rPr>
          <w:rFonts w:ascii="Times New Roman" w:eastAsiaTheme="minorEastAsia" w:hAnsi="Times New Roman" w:cs="Times New Roman"/>
          <w:i/>
          <w:vertAlign w:val="subscript"/>
        </w:rPr>
        <w:t>max</w:t>
      </w:r>
      <w:proofErr w:type="spellEnd"/>
      <w:r w:rsidR="00BA59E4" w:rsidRPr="004D373B">
        <w:rPr>
          <w:rFonts w:ascii="Times New Roman" w:eastAsiaTheme="minorEastAsia" w:hAnsi="Times New Roman" w:cs="Times New Roman"/>
        </w:rPr>
        <w:t>) does not have any direct impact on the fitted kinetic parameters.  However observation of percentages approaching 100% can indicate that the protein is fully active (</w:t>
      </w:r>
      <w:proofErr w:type="spellStart"/>
      <w:r w:rsidR="00BA59E4" w:rsidRPr="004D373B">
        <w:rPr>
          <w:rFonts w:ascii="Times New Roman" w:eastAsiaTheme="minorEastAsia" w:hAnsi="Times New Roman" w:cs="Times New Roman"/>
        </w:rPr>
        <w:t>ie</w:t>
      </w:r>
      <w:proofErr w:type="spellEnd"/>
      <w:r w:rsidR="00BA59E4" w:rsidRPr="004D373B">
        <w:rPr>
          <w:rFonts w:ascii="Times New Roman" w:eastAsiaTheme="minorEastAsia" w:hAnsi="Times New Roman" w:cs="Times New Roman"/>
        </w:rPr>
        <w:t xml:space="preserve">. binding competent) when immobilized on the </w:t>
      </w:r>
      <w:proofErr w:type="spellStart"/>
      <w:r w:rsidR="00BA59E4" w:rsidRPr="004D373B">
        <w:rPr>
          <w:rFonts w:ascii="Times New Roman" w:eastAsiaTheme="minorEastAsia" w:hAnsi="Times New Roman" w:cs="Times New Roman"/>
        </w:rPr>
        <w:t>Biacore</w:t>
      </w:r>
      <w:proofErr w:type="spellEnd"/>
      <w:r w:rsidR="00BA59E4" w:rsidRPr="004D373B">
        <w:rPr>
          <w:rFonts w:ascii="Times New Roman" w:eastAsiaTheme="minorEastAsia" w:hAnsi="Times New Roman" w:cs="Times New Roman"/>
        </w:rPr>
        <w:t xml:space="preserve"> chip surface and that complete saturation of the surface has been attained at the highest </w:t>
      </w:r>
      <w:proofErr w:type="spellStart"/>
      <w:r w:rsidR="00BA59E4" w:rsidRPr="004D373B">
        <w:rPr>
          <w:rFonts w:ascii="Times New Roman" w:eastAsiaTheme="minorEastAsia" w:hAnsi="Times New Roman" w:cs="Times New Roman"/>
        </w:rPr>
        <w:t>analyte</w:t>
      </w:r>
      <w:proofErr w:type="spellEnd"/>
      <w:r w:rsidR="00BA59E4" w:rsidRPr="004D373B">
        <w:rPr>
          <w:rFonts w:ascii="Times New Roman" w:eastAsiaTheme="minorEastAsia" w:hAnsi="Times New Roman" w:cs="Times New Roman"/>
        </w:rPr>
        <w:t xml:space="preserve"> concentration used.</w:t>
      </w:r>
      <w:r w:rsidR="00AD2EB5" w:rsidRPr="004D373B">
        <w:rPr>
          <w:rFonts w:ascii="Times New Roman" w:eastAsiaTheme="minorEastAsia" w:hAnsi="Times New Roman" w:cs="Times New Roman"/>
        </w:rPr>
        <w:t xml:space="preserve">  As such, this </w:t>
      </w:r>
      <w:r w:rsidR="00333BFB">
        <w:rPr>
          <w:rFonts w:ascii="Times New Roman" w:eastAsiaTheme="minorEastAsia" w:hAnsi="Times New Roman" w:cs="Times New Roman"/>
        </w:rPr>
        <w:t>approximation</w:t>
      </w:r>
      <w:r w:rsidR="00AD2EB5" w:rsidRPr="004D373B">
        <w:rPr>
          <w:rFonts w:ascii="Times New Roman" w:eastAsiaTheme="minorEastAsia" w:hAnsi="Times New Roman" w:cs="Times New Roman"/>
        </w:rPr>
        <w:t xml:space="preserve"> provides a</w:t>
      </w:r>
      <w:r w:rsidRPr="004D373B">
        <w:rPr>
          <w:rFonts w:ascii="Times New Roman" w:eastAsiaTheme="minorEastAsia" w:hAnsi="Times New Roman" w:cs="Times New Roman"/>
        </w:rPr>
        <w:t xml:space="preserve">n empirical measure of whether an immobilized ligand is well behaved and additionally serves as a </w:t>
      </w:r>
      <w:r w:rsidR="00900CCB" w:rsidRPr="004D373B">
        <w:rPr>
          <w:rFonts w:ascii="Times New Roman" w:eastAsiaTheme="minorEastAsia" w:hAnsi="Times New Roman" w:cs="Times New Roman"/>
        </w:rPr>
        <w:t xml:space="preserve">useful </w:t>
      </w:r>
      <w:r w:rsidR="00AD2EB5" w:rsidRPr="004D373B">
        <w:rPr>
          <w:rFonts w:ascii="Times New Roman" w:eastAsiaTheme="minorEastAsia" w:hAnsi="Times New Roman" w:cs="Times New Roman"/>
        </w:rPr>
        <w:t xml:space="preserve">guide for evaluating data quality.  </w:t>
      </w:r>
      <w:r w:rsidR="00BA59E4" w:rsidRPr="004D373B">
        <w:rPr>
          <w:rFonts w:ascii="Times New Roman" w:eastAsiaTheme="minorEastAsia" w:hAnsi="Times New Roman" w:cs="Times New Roman"/>
        </w:rPr>
        <w:t xml:space="preserve">  </w:t>
      </w:r>
    </w:p>
    <w:p w:rsidR="00BA59E4" w:rsidRPr="004D373B" w:rsidRDefault="00BA59E4" w:rsidP="000F6FCF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sectPr w:rsidR="00BA59E4" w:rsidRPr="004D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0E" w:rsidRDefault="00CF1C0E" w:rsidP="000F6FCF">
      <w:pPr>
        <w:spacing w:after="0" w:line="240" w:lineRule="auto"/>
      </w:pPr>
      <w:r>
        <w:separator/>
      </w:r>
    </w:p>
  </w:endnote>
  <w:endnote w:type="continuationSeparator" w:id="0">
    <w:p w:rsidR="00CF1C0E" w:rsidRDefault="00CF1C0E" w:rsidP="000F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0E" w:rsidRDefault="00CF1C0E" w:rsidP="000F6FCF">
      <w:pPr>
        <w:spacing w:after="0" w:line="240" w:lineRule="auto"/>
      </w:pPr>
      <w:r>
        <w:separator/>
      </w:r>
    </w:p>
  </w:footnote>
  <w:footnote w:type="continuationSeparator" w:id="0">
    <w:p w:rsidR="00CF1C0E" w:rsidRDefault="00CF1C0E" w:rsidP="000F6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A5"/>
    <w:rsid w:val="000D07E1"/>
    <w:rsid w:val="000F6FCF"/>
    <w:rsid w:val="002454C5"/>
    <w:rsid w:val="00262FAD"/>
    <w:rsid w:val="003307A3"/>
    <w:rsid w:val="00333BFB"/>
    <w:rsid w:val="003530D6"/>
    <w:rsid w:val="003F7A4E"/>
    <w:rsid w:val="00465B06"/>
    <w:rsid w:val="00484761"/>
    <w:rsid w:val="004D373B"/>
    <w:rsid w:val="005325A5"/>
    <w:rsid w:val="006A6E7D"/>
    <w:rsid w:val="00744D07"/>
    <w:rsid w:val="007D336F"/>
    <w:rsid w:val="0087333A"/>
    <w:rsid w:val="008769BD"/>
    <w:rsid w:val="008C6C89"/>
    <w:rsid w:val="00900CCB"/>
    <w:rsid w:val="009E0EB7"/>
    <w:rsid w:val="00A00FBE"/>
    <w:rsid w:val="00A94BD5"/>
    <w:rsid w:val="00AA21DB"/>
    <w:rsid w:val="00AD2EB5"/>
    <w:rsid w:val="00BA59E4"/>
    <w:rsid w:val="00BF5417"/>
    <w:rsid w:val="00C23963"/>
    <w:rsid w:val="00CF1C0E"/>
    <w:rsid w:val="00D9390E"/>
    <w:rsid w:val="00DD7FF4"/>
    <w:rsid w:val="00E420DF"/>
    <w:rsid w:val="00F3275D"/>
    <w:rsid w:val="00F76143"/>
    <w:rsid w:val="00FB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5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FCF"/>
  </w:style>
  <w:style w:type="paragraph" w:styleId="Footer">
    <w:name w:val="footer"/>
    <w:basedOn w:val="Normal"/>
    <w:link w:val="FooterChar"/>
    <w:uiPriority w:val="99"/>
    <w:unhideWhenUsed/>
    <w:rsid w:val="000F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5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FCF"/>
  </w:style>
  <w:style w:type="paragraph" w:styleId="Footer">
    <w:name w:val="footer"/>
    <w:basedOn w:val="Normal"/>
    <w:link w:val="FooterChar"/>
    <w:uiPriority w:val="99"/>
    <w:unhideWhenUsed/>
    <w:rsid w:val="000F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D1EA-4B16-46FF-9F6C-16D9E386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schroedg</dc:creator>
  <cp:lastModifiedBy>schroedg</cp:lastModifiedBy>
  <cp:revision>31</cp:revision>
  <cp:lastPrinted>2015-11-17T12:10:00Z</cp:lastPrinted>
  <dcterms:created xsi:type="dcterms:W3CDTF">2015-11-13T16:05:00Z</dcterms:created>
  <dcterms:modified xsi:type="dcterms:W3CDTF">2015-11-18T15:02:00Z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1893332765</vt:i4>
  </property>
  <property fmtid="{D5CDD505-2E9C-101B-9397-08002B2CF9AE}" pid="3" name="_NewReviewCycle">
    <vt:lpwstr/>
  </property>
  <property fmtid="{D5CDD505-2E9C-101B-9397-08002B2CF9AE}" pid="4" name="_EmailSubject">
    <vt:lpwstr>MS# MCT-15-0172R1 - Action Required re Initial Quality Check</vt:lpwstr>
  </property>
  <property fmtid="{D5CDD505-2E9C-101B-9397-08002B2CF9AE}" pid="5" name="_AuthorEmail">
    <vt:lpwstr>gottfried.schroeder@merck.com</vt:lpwstr>
  </property>
  <property fmtid="{D5CDD505-2E9C-101B-9397-08002B2CF9AE}" pid="6" name="_AuthorEmailDisplayName">
    <vt:lpwstr>Schroeder, Gottfried</vt:lpwstr>
  </property>
</Properties>
</file>