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48" w:rsidRDefault="00306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Pr="00C7651F">
        <w:rPr>
          <w:rFonts w:ascii="Times New Roman" w:hAnsi="Times New Roman" w:cs="Times New Roman"/>
          <w:b/>
        </w:rPr>
        <w:t>upplementary Figure S</w:t>
      </w:r>
      <w:r w:rsidR="007316D0">
        <w:rPr>
          <w:rFonts w:ascii="Times New Roman" w:hAnsi="Times New Roman" w:cs="Times New Roman"/>
          <w:b/>
        </w:rPr>
        <w:t>2</w:t>
      </w:r>
      <w:r w:rsidR="000D4C34">
        <w:rPr>
          <w:rFonts w:ascii="Times New Roman" w:hAnsi="Times New Roman" w:cs="Times New Roman"/>
          <w:b/>
        </w:rPr>
        <w:t xml:space="preserve"> Additional clustering</w:t>
      </w:r>
      <w:r>
        <w:rPr>
          <w:rFonts w:ascii="Times New Roman" w:hAnsi="Times New Roman" w:cs="Times New Roman"/>
          <w:b/>
        </w:rPr>
        <w:t xml:space="preserve"> data</w:t>
      </w:r>
    </w:p>
    <w:p w:rsidR="00306B48" w:rsidRDefault="00C06C7F">
      <w:pPr>
        <w:rPr>
          <w:rFonts w:ascii="Times New Roman" w:hAnsi="Times New Roman" w:cs="Times New Roman"/>
          <w:b/>
        </w:rPr>
      </w:pPr>
      <w:r w:rsidRPr="00C7651F">
        <w:rPr>
          <w:rFonts w:ascii="Times New Roman" w:hAnsi="Times New Roman" w:cs="Times New Roman"/>
        </w:rPr>
        <w:t xml:space="preserve">Uitdehaag </w:t>
      </w:r>
      <w:r w:rsidRPr="00C7651F">
        <w:rPr>
          <w:rFonts w:ascii="Times New Roman" w:hAnsi="Times New Roman" w:cs="Times New Roman"/>
          <w:i/>
        </w:rPr>
        <w:t>et al.</w:t>
      </w:r>
      <w:r w:rsidRPr="00C7651F">
        <w:rPr>
          <w:rFonts w:ascii="Times New Roman" w:hAnsi="Times New Roman" w:cs="Times New Roman"/>
        </w:rPr>
        <w:t xml:space="preserve"> </w:t>
      </w:r>
      <w:r w:rsidR="00306B48" w:rsidRPr="00306B48">
        <w:rPr>
          <w:rFonts w:ascii="Times New Roman" w:hAnsi="Times New Roman" w:cs="Times New Roman"/>
        </w:rPr>
        <w:t xml:space="preserve">Cell panel profiling </w:t>
      </w:r>
      <w:bookmarkStart w:id="0" w:name="_GoBack"/>
      <w:bookmarkEnd w:id="0"/>
      <w:r w:rsidR="00306B48" w:rsidRPr="00306B48">
        <w:rPr>
          <w:rFonts w:ascii="Times New Roman" w:hAnsi="Times New Roman" w:cs="Times New Roman"/>
        </w:rPr>
        <w:t>reveals conserved therapeutic clusters and differentiates the mechanism of action of different PI3K/mTOR, Aurora kinase and EZH2 inhibitors</w:t>
      </w:r>
      <w:r w:rsidR="00306B48" w:rsidRPr="00306B48">
        <w:rPr>
          <w:rFonts w:ascii="Times New Roman" w:hAnsi="Times New Roman" w:cs="Times New Roman"/>
          <w:b/>
        </w:rPr>
        <w:t xml:space="preserve">  </w:t>
      </w:r>
    </w:p>
    <w:p w:rsidR="007316D0" w:rsidRDefault="00EB79C6" w:rsidP="00AF21B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nl-NL"/>
        </w:rPr>
        <w:drawing>
          <wp:inline distT="0" distB="0" distL="0" distR="0">
            <wp:extent cx="4085617" cy="6361379"/>
            <wp:effectExtent l="0" t="0" r="0" b="1905"/>
            <wp:docPr id="1" name="Afbeelding 1" descr="C:\Users\uitdehaaj\Dropbox\NTRC Documenten\Marketing\Comparative_profiling_publikatie\manuscript_figuren\SupplFiguresS2\Oncolines_hierarchicalclustering_withdup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itdehaaj\Dropbox\NTRC Documenten\Marketing\Comparative_profiling_publikatie\manuscript_figuren\SupplFiguresS2\Oncolines_hierarchicalclustering_withdupl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85" cy="636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D0" w:rsidRDefault="007316D0" w:rsidP="008D469E">
      <w:pPr>
        <w:spacing w:after="0"/>
        <w:jc w:val="both"/>
        <w:rPr>
          <w:rFonts w:ascii="Times New Roman" w:hAnsi="Times New Roman" w:cs="Times New Roman"/>
          <w:b/>
        </w:rPr>
      </w:pPr>
    </w:p>
    <w:p w:rsidR="004E6DD0" w:rsidRDefault="004E6DD0" w:rsidP="008D46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S</w:t>
      </w:r>
      <w:r w:rsidR="00EB79C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A</w:t>
      </w:r>
      <w:r w:rsidR="00B55265">
        <w:rPr>
          <w:rFonts w:ascii="Times New Roman" w:hAnsi="Times New Roman" w:cs="Times New Roman"/>
          <w:b/>
        </w:rPr>
        <w:t xml:space="preserve">. </w:t>
      </w:r>
      <w:r w:rsidR="00121AC5">
        <w:rPr>
          <w:rFonts w:ascii="Times New Roman" w:hAnsi="Times New Roman" w:cs="Times New Roman"/>
        </w:rPr>
        <w:t>Hierarchical clustering tree showing that</w:t>
      </w:r>
      <w:r w:rsidR="00EB79C6">
        <w:rPr>
          <w:rFonts w:ascii="Times New Roman" w:hAnsi="Times New Roman" w:cs="Times New Roman"/>
        </w:rPr>
        <w:t xml:space="preserve"> replicate measurements (red brackets)</w:t>
      </w:r>
      <w:r w:rsidR="00121AC5">
        <w:rPr>
          <w:rFonts w:ascii="Times New Roman" w:hAnsi="Times New Roman" w:cs="Times New Roman"/>
        </w:rPr>
        <w:t xml:space="preserve"> cluster together</w:t>
      </w:r>
      <w:r w:rsidR="00EB79C6">
        <w:rPr>
          <w:rFonts w:ascii="Times New Roman" w:hAnsi="Times New Roman" w:cs="Times New Roman"/>
        </w:rPr>
        <w:t xml:space="preserve">. Clustering parameters as described in the text. Due to the presence of replicates, </w:t>
      </w:r>
      <w:r w:rsidR="00121AC5">
        <w:rPr>
          <w:rFonts w:ascii="Times New Roman" w:hAnsi="Times New Roman" w:cs="Times New Roman"/>
        </w:rPr>
        <w:t>the order of the compounds</w:t>
      </w:r>
      <w:r w:rsidR="00EB79C6">
        <w:rPr>
          <w:rFonts w:ascii="Times New Roman" w:hAnsi="Times New Roman" w:cs="Times New Roman"/>
        </w:rPr>
        <w:t xml:space="preserve"> is different tha</w:t>
      </w:r>
      <w:r w:rsidR="001948A6">
        <w:rPr>
          <w:rFonts w:ascii="Times New Roman" w:hAnsi="Times New Roman" w:cs="Times New Roman"/>
        </w:rPr>
        <w:t xml:space="preserve">n Fig. 3, </w:t>
      </w:r>
      <w:r w:rsidR="00D66F73">
        <w:rPr>
          <w:rFonts w:ascii="Times New Roman" w:hAnsi="Times New Roman" w:cs="Times New Roman"/>
        </w:rPr>
        <w:t>al</w:t>
      </w:r>
      <w:r w:rsidR="001948A6">
        <w:rPr>
          <w:rFonts w:ascii="Times New Roman" w:hAnsi="Times New Roman" w:cs="Times New Roman"/>
        </w:rPr>
        <w:t>though c</w:t>
      </w:r>
      <w:r w:rsidR="00121AC5">
        <w:rPr>
          <w:rFonts w:ascii="Times New Roman" w:hAnsi="Times New Roman" w:cs="Times New Roman"/>
        </w:rPr>
        <w:t>lusters are maintained.</w:t>
      </w:r>
    </w:p>
    <w:p w:rsidR="00121AC5" w:rsidRDefault="00121AC5" w:rsidP="008D469E">
      <w:pPr>
        <w:spacing w:after="0"/>
        <w:jc w:val="both"/>
        <w:rPr>
          <w:rFonts w:ascii="Times New Roman" w:hAnsi="Times New Roman" w:cs="Times New Roman"/>
        </w:rPr>
      </w:pPr>
    </w:p>
    <w:p w:rsidR="00121AC5" w:rsidRDefault="00121AC5" w:rsidP="008D469E">
      <w:pPr>
        <w:spacing w:after="0"/>
        <w:jc w:val="both"/>
        <w:rPr>
          <w:rFonts w:ascii="Times New Roman" w:hAnsi="Times New Roman" w:cs="Times New Roman"/>
        </w:rPr>
      </w:pPr>
    </w:p>
    <w:p w:rsidR="00121AC5" w:rsidRDefault="00121AC5" w:rsidP="008D469E">
      <w:pPr>
        <w:spacing w:after="0"/>
        <w:jc w:val="both"/>
        <w:rPr>
          <w:rFonts w:ascii="Times New Roman" w:hAnsi="Times New Roman" w:cs="Times New Roman"/>
        </w:rPr>
      </w:pPr>
    </w:p>
    <w:p w:rsidR="00121AC5" w:rsidRDefault="00121AC5" w:rsidP="008D469E">
      <w:pPr>
        <w:spacing w:after="0"/>
        <w:jc w:val="both"/>
        <w:rPr>
          <w:rFonts w:ascii="Times New Roman" w:hAnsi="Times New Roman" w:cs="Times New Roman"/>
        </w:rPr>
      </w:pPr>
    </w:p>
    <w:p w:rsidR="00121AC5" w:rsidRDefault="00121AC5" w:rsidP="008D469E">
      <w:pPr>
        <w:spacing w:after="0"/>
        <w:jc w:val="both"/>
        <w:rPr>
          <w:rFonts w:ascii="Times New Roman" w:hAnsi="Times New Roman" w:cs="Times New Roman"/>
        </w:rPr>
      </w:pPr>
    </w:p>
    <w:p w:rsidR="00121AC5" w:rsidRDefault="00121AC5" w:rsidP="008D469E">
      <w:pPr>
        <w:spacing w:after="0"/>
        <w:jc w:val="both"/>
        <w:rPr>
          <w:rFonts w:ascii="Times New Roman" w:hAnsi="Times New Roman" w:cs="Times New Roman"/>
        </w:rPr>
      </w:pPr>
    </w:p>
    <w:p w:rsidR="00121AC5" w:rsidRDefault="00121AC5" w:rsidP="00E25791">
      <w:pPr>
        <w:spacing w:after="0"/>
        <w:jc w:val="center"/>
        <w:rPr>
          <w:rFonts w:ascii="Times New Roman" w:hAnsi="Times New Roman" w:cs="Times New Roman"/>
        </w:rPr>
      </w:pPr>
    </w:p>
    <w:p w:rsidR="00121AC5" w:rsidRDefault="00C720E0" w:rsidP="00C720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0071676A">
            <wp:extent cx="4167265" cy="3286276"/>
            <wp:effectExtent l="0" t="0" r="508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167" cy="328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1AC5" w:rsidRDefault="00121AC5" w:rsidP="008D469E">
      <w:pPr>
        <w:spacing w:after="0"/>
        <w:jc w:val="both"/>
        <w:rPr>
          <w:rFonts w:ascii="Times New Roman" w:hAnsi="Times New Roman" w:cs="Times New Roman"/>
        </w:rPr>
      </w:pPr>
    </w:p>
    <w:p w:rsidR="00121AC5" w:rsidRDefault="00121AC5" w:rsidP="008D469E">
      <w:pPr>
        <w:spacing w:after="0"/>
        <w:jc w:val="both"/>
        <w:rPr>
          <w:rFonts w:ascii="Times New Roman" w:hAnsi="Times New Roman" w:cs="Times New Roman"/>
        </w:rPr>
      </w:pPr>
    </w:p>
    <w:p w:rsidR="00121AC5" w:rsidRDefault="00121AC5" w:rsidP="008D469E">
      <w:pPr>
        <w:spacing w:after="0"/>
        <w:jc w:val="both"/>
        <w:rPr>
          <w:rFonts w:ascii="Times New Roman" w:hAnsi="Times New Roman" w:cs="Times New Roman"/>
        </w:rPr>
      </w:pPr>
    </w:p>
    <w:p w:rsidR="00121AC5" w:rsidRPr="004E6DD0" w:rsidRDefault="00121AC5" w:rsidP="008D469E">
      <w:pPr>
        <w:spacing w:after="0"/>
        <w:jc w:val="both"/>
        <w:rPr>
          <w:rFonts w:ascii="Times New Roman" w:hAnsi="Times New Roman" w:cs="Times New Roman"/>
        </w:rPr>
      </w:pPr>
      <w:r w:rsidRPr="00C720E0">
        <w:rPr>
          <w:rFonts w:ascii="Times New Roman" w:hAnsi="Times New Roman" w:cs="Times New Roman"/>
          <w:b/>
        </w:rPr>
        <w:t>Figure S2B</w:t>
      </w:r>
      <w:r w:rsidR="00C720E0">
        <w:rPr>
          <w:rFonts w:ascii="Times New Roman" w:hAnsi="Times New Roman" w:cs="Times New Roman"/>
        </w:rPr>
        <w:t xml:space="preserve">. Principal component analysis of all </w:t>
      </w:r>
      <w:r w:rsidR="00C720E0" w:rsidRPr="00C720E0">
        <w:rPr>
          <w:rFonts w:ascii="Times New Roman" w:hAnsi="Times New Roman" w:cs="Times New Roman"/>
          <w:vertAlign w:val="superscript"/>
        </w:rPr>
        <w:t>10</w:t>
      </w:r>
      <w:r w:rsidR="00C720E0">
        <w:rPr>
          <w:rFonts w:ascii="Times New Roman" w:hAnsi="Times New Roman" w:cs="Times New Roman"/>
        </w:rPr>
        <w:t>log IC</w:t>
      </w:r>
      <w:r w:rsidR="00C720E0" w:rsidRPr="00C720E0">
        <w:rPr>
          <w:rFonts w:ascii="Times New Roman" w:hAnsi="Times New Roman" w:cs="Times New Roman"/>
          <w:vertAlign w:val="subscript"/>
        </w:rPr>
        <w:t>50</w:t>
      </w:r>
      <w:r w:rsidR="00C720E0">
        <w:rPr>
          <w:rFonts w:ascii="Times New Roman" w:hAnsi="Times New Roman" w:cs="Times New Roman"/>
        </w:rPr>
        <w:t xml:space="preserve"> cell profiling data. First and second principal components are displayed (PC1 and PC2). The PC1 axis shows a continuous scattering of compounds, with very potent ones on the right, and least potent ones on the left.</w:t>
      </w:r>
      <w:r w:rsidR="00F907E7">
        <w:rPr>
          <w:rFonts w:ascii="Times New Roman" w:hAnsi="Times New Roman" w:cs="Times New Roman"/>
        </w:rPr>
        <w:t xml:space="preserve"> PC2 is further analyzed in Fig. 4I.</w:t>
      </w:r>
    </w:p>
    <w:p w:rsidR="00D00098" w:rsidRDefault="00D00098" w:rsidP="008D469E">
      <w:pPr>
        <w:jc w:val="center"/>
        <w:rPr>
          <w:rFonts w:ascii="Times New Roman" w:hAnsi="Times New Roman" w:cs="Times New Roman"/>
          <w:b/>
        </w:rPr>
      </w:pPr>
    </w:p>
    <w:p w:rsidR="008437C7" w:rsidRPr="00C7651F" w:rsidRDefault="008437C7">
      <w:pPr>
        <w:rPr>
          <w:rFonts w:ascii="Times New Roman" w:hAnsi="Times New Roman" w:cs="Times New Roman"/>
        </w:rPr>
      </w:pPr>
    </w:p>
    <w:sectPr w:rsidR="008437C7" w:rsidRPr="00C7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F"/>
    <w:rsid w:val="00064140"/>
    <w:rsid w:val="00074E91"/>
    <w:rsid w:val="000B49E4"/>
    <w:rsid w:val="000D4C34"/>
    <w:rsid w:val="000E7886"/>
    <w:rsid w:val="00121AC5"/>
    <w:rsid w:val="00173EE5"/>
    <w:rsid w:val="001948A6"/>
    <w:rsid w:val="001B2A00"/>
    <w:rsid w:val="001E7D49"/>
    <w:rsid w:val="001F75E3"/>
    <w:rsid w:val="002652B3"/>
    <w:rsid w:val="0028721B"/>
    <w:rsid w:val="002F01D1"/>
    <w:rsid w:val="00306B48"/>
    <w:rsid w:val="0032012F"/>
    <w:rsid w:val="0032028D"/>
    <w:rsid w:val="0033641B"/>
    <w:rsid w:val="00345222"/>
    <w:rsid w:val="00351411"/>
    <w:rsid w:val="00377BB9"/>
    <w:rsid w:val="004A5C9B"/>
    <w:rsid w:val="004D1B7E"/>
    <w:rsid w:val="004E6DD0"/>
    <w:rsid w:val="005E4BE8"/>
    <w:rsid w:val="00614DF1"/>
    <w:rsid w:val="006D29B2"/>
    <w:rsid w:val="007316D0"/>
    <w:rsid w:val="008437C7"/>
    <w:rsid w:val="00895DA3"/>
    <w:rsid w:val="008A7113"/>
    <w:rsid w:val="008B6760"/>
    <w:rsid w:val="008D469E"/>
    <w:rsid w:val="009660A9"/>
    <w:rsid w:val="00AF21B6"/>
    <w:rsid w:val="00AF6F99"/>
    <w:rsid w:val="00B24B64"/>
    <w:rsid w:val="00B55265"/>
    <w:rsid w:val="00B655D5"/>
    <w:rsid w:val="00C06C7F"/>
    <w:rsid w:val="00C510BE"/>
    <w:rsid w:val="00C720E0"/>
    <w:rsid w:val="00C7651F"/>
    <w:rsid w:val="00C86DE6"/>
    <w:rsid w:val="00D00098"/>
    <w:rsid w:val="00D462BC"/>
    <w:rsid w:val="00D5092A"/>
    <w:rsid w:val="00D66F73"/>
    <w:rsid w:val="00DB3414"/>
    <w:rsid w:val="00DC2539"/>
    <w:rsid w:val="00DC7E42"/>
    <w:rsid w:val="00DE252E"/>
    <w:rsid w:val="00E25791"/>
    <w:rsid w:val="00EB499E"/>
    <w:rsid w:val="00EB79C6"/>
    <w:rsid w:val="00EF4213"/>
    <w:rsid w:val="00F07F8F"/>
    <w:rsid w:val="00F43A40"/>
    <w:rsid w:val="00F907E7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5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651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F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5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651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F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uitdehaaj</dc:creator>
  <cp:lastModifiedBy>uitdehaaj</cp:lastModifiedBy>
  <cp:revision>13</cp:revision>
  <dcterms:created xsi:type="dcterms:W3CDTF">2016-05-31T14:23:00Z</dcterms:created>
  <dcterms:modified xsi:type="dcterms:W3CDTF">2016-06-22T10:10:00Z</dcterms:modified>
</cp:coreProperties>
</file>