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81E" w:rsidRPr="00F6081E" w:rsidRDefault="00F6081E" w:rsidP="00F6081E">
      <w:pPr>
        <w:keepNext/>
        <w:keepLines/>
        <w:spacing w:after="0" w:line="480" w:lineRule="auto"/>
        <w:jc w:val="both"/>
        <w:outlineLvl w:val="0"/>
        <w:rPr>
          <w:rFonts w:ascii="Arial" w:eastAsiaTheme="majorEastAsia" w:hAnsi="Arial" w:cs="Arial"/>
          <w:b/>
          <w:bCs/>
          <w:caps/>
          <w:sz w:val="28"/>
          <w:szCs w:val="28"/>
          <w:lang w:eastAsia="zh-CN"/>
        </w:rPr>
      </w:pPr>
      <w:r>
        <w:rPr>
          <w:rFonts w:ascii="Arial" w:eastAsiaTheme="majorEastAsia" w:hAnsi="Arial" w:cs="Arial"/>
          <w:b/>
          <w:bCs/>
          <w:caps/>
          <w:sz w:val="28"/>
          <w:szCs w:val="28"/>
          <w:lang w:eastAsia="zh-CN"/>
        </w:rPr>
        <w:t xml:space="preserve">Supplementary (s) </w:t>
      </w:r>
      <w:r w:rsidR="00253DAE">
        <w:rPr>
          <w:rFonts w:ascii="Arial" w:eastAsiaTheme="majorEastAsia" w:hAnsi="Arial" w:cs="Arial"/>
          <w:b/>
          <w:bCs/>
          <w:caps/>
          <w:sz w:val="28"/>
          <w:szCs w:val="28"/>
          <w:lang w:eastAsia="zh-CN"/>
        </w:rPr>
        <w:t>Figure legend</w:t>
      </w:r>
      <w:r w:rsidR="0059075E">
        <w:rPr>
          <w:rFonts w:ascii="Arial" w:eastAsiaTheme="majorEastAsia" w:hAnsi="Arial" w:cs="Arial"/>
          <w:b/>
          <w:bCs/>
          <w:caps/>
          <w:sz w:val="28"/>
          <w:szCs w:val="28"/>
          <w:lang w:eastAsia="zh-CN"/>
        </w:rPr>
        <w:t>s</w:t>
      </w:r>
    </w:p>
    <w:p w:rsidR="00751826" w:rsidRDefault="00751826" w:rsidP="00751826">
      <w:pPr>
        <w:spacing w:after="0" w:line="240" w:lineRule="auto"/>
      </w:pPr>
      <w:r w:rsidRPr="00751826">
        <w:drawing>
          <wp:inline distT="0" distB="0" distL="0" distR="0" wp14:anchorId="0624356A" wp14:editId="596E442B">
            <wp:extent cx="5943600" cy="3322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256"/>
                    <a:stretch/>
                  </pic:blipFill>
                  <pic:spPr bwMode="auto">
                    <a:xfrm>
                      <a:off x="0" y="0"/>
                      <a:ext cx="5943600" cy="332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1826">
        <w:t xml:space="preserve"> </w:t>
      </w:r>
    </w:p>
    <w:p w:rsidR="00751826" w:rsidRDefault="00751826" w:rsidP="00751826">
      <w:pPr>
        <w:spacing w:after="0" w:line="240" w:lineRule="auto"/>
      </w:pPr>
    </w:p>
    <w:p w:rsidR="00751826" w:rsidRDefault="00751826" w:rsidP="00751826">
      <w:pPr>
        <w:spacing w:after="0" w:line="240" w:lineRule="auto"/>
      </w:pPr>
    </w:p>
    <w:p w:rsidR="00376A22" w:rsidRDefault="00312326" w:rsidP="00751826">
      <w:pPr>
        <w:spacing w:after="0" w:line="240" w:lineRule="auto"/>
        <w:rPr>
          <w:rFonts w:ascii="Arial" w:eastAsiaTheme="majorEastAsia" w:hAnsi="Arial" w:cs="Arial"/>
          <w:bCs/>
          <w:sz w:val="24"/>
          <w:szCs w:val="24"/>
        </w:rPr>
      </w:pPr>
      <w:r>
        <w:rPr>
          <w:rFonts w:ascii="Arial" w:eastAsiaTheme="majorEastAsia" w:hAnsi="Arial" w:cs="Arial"/>
          <w:b/>
          <w:bCs/>
          <w:sz w:val="24"/>
          <w:szCs w:val="24"/>
        </w:rPr>
        <w:t xml:space="preserve">Figure </w:t>
      </w:r>
      <w:r w:rsidR="00F6081E">
        <w:rPr>
          <w:rFonts w:ascii="Arial" w:eastAsiaTheme="majorEastAsia" w:hAnsi="Arial" w:cs="Arial"/>
          <w:b/>
          <w:bCs/>
          <w:sz w:val="24"/>
          <w:szCs w:val="24"/>
        </w:rPr>
        <w:t>S-</w:t>
      </w:r>
      <w:r w:rsidR="00F6081E" w:rsidRPr="00F6081E">
        <w:rPr>
          <w:rFonts w:ascii="Arial" w:eastAsiaTheme="majorEastAsia" w:hAnsi="Arial" w:cs="Arial"/>
          <w:b/>
          <w:bCs/>
          <w:sz w:val="24"/>
          <w:szCs w:val="24"/>
        </w:rPr>
        <w:t>1.</w:t>
      </w:r>
      <w:r w:rsidR="00376A22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="00F6081E" w:rsidRPr="00F6081E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="00376A22" w:rsidRPr="0059075E">
        <w:rPr>
          <w:rFonts w:ascii="Arial" w:eastAsiaTheme="majorEastAsia" w:hAnsi="Arial" w:cs="Arial"/>
          <w:bCs/>
          <w:sz w:val="24"/>
          <w:szCs w:val="24"/>
        </w:rPr>
        <w:t xml:space="preserve">Chemical </w:t>
      </w:r>
      <w:r w:rsidR="00376A22">
        <w:rPr>
          <w:rFonts w:ascii="Arial" w:eastAsiaTheme="majorEastAsia" w:hAnsi="Arial" w:cs="Arial"/>
          <w:bCs/>
          <w:sz w:val="24"/>
          <w:szCs w:val="24"/>
        </w:rPr>
        <w:t>structures of aspirin and the predominant phospholipid in soybean phosphatidylcholine (PC)</w:t>
      </w:r>
      <w:r w:rsidR="00751826">
        <w:rPr>
          <w:rFonts w:ascii="Arial" w:eastAsiaTheme="majorEastAsia" w:hAnsi="Arial" w:cs="Arial"/>
          <w:bCs/>
          <w:sz w:val="24"/>
          <w:szCs w:val="24"/>
        </w:rPr>
        <w:t>.</w:t>
      </w:r>
    </w:p>
    <w:p w:rsidR="00751826" w:rsidRDefault="00751826">
      <w:pPr>
        <w:rPr>
          <w:rFonts w:ascii="Arial" w:eastAsiaTheme="majorEastAsia" w:hAnsi="Arial" w:cs="Arial"/>
          <w:bCs/>
          <w:sz w:val="24"/>
          <w:szCs w:val="24"/>
        </w:rPr>
      </w:pPr>
      <w:r>
        <w:rPr>
          <w:rFonts w:ascii="Arial" w:eastAsiaTheme="majorEastAsia" w:hAnsi="Arial" w:cs="Arial"/>
          <w:bCs/>
          <w:sz w:val="24"/>
          <w:szCs w:val="24"/>
        </w:rPr>
        <w:br w:type="page"/>
      </w:r>
    </w:p>
    <w:p w:rsidR="00376A22" w:rsidRDefault="00751826" w:rsidP="00F6081E">
      <w:pPr>
        <w:spacing w:after="0" w:line="480" w:lineRule="auto"/>
        <w:rPr>
          <w:rFonts w:ascii="Arial" w:eastAsiaTheme="majorEastAsia" w:hAnsi="Arial" w:cs="Arial"/>
          <w:bCs/>
          <w:sz w:val="24"/>
          <w:szCs w:val="24"/>
        </w:rPr>
      </w:pPr>
      <w:r w:rsidRPr="00751826">
        <w:lastRenderedPageBreak/>
        <w:drawing>
          <wp:inline distT="0" distB="0" distL="0" distR="0" wp14:anchorId="22BFE324" wp14:editId="5E88287A">
            <wp:extent cx="5263200" cy="62910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848"/>
                    <a:stretch/>
                  </pic:blipFill>
                  <pic:spPr bwMode="auto">
                    <a:xfrm>
                      <a:off x="0" y="0"/>
                      <a:ext cx="5277058" cy="630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F18" w:rsidRDefault="00312326" w:rsidP="00751826">
      <w:pPr>
        <w:spacing w:after="0" w:line="240" w:lineRule="auto"/>
        <w:jc w:val="both"/>
        <w:rPr>
          <w:rFonts w:ascii="Arial" w:eastAsiaTheme="majorEastAsia" w:hAnsi="Arial" w:cs="Arial"/>
          <w:bCs/>
          <w:sz w:val="24"/>
          <w:szCs w:val="24"/>
        </w:rPr>
      </w:pPr>
      <w:r>
        <w:rPr>
          <w:rFonts w:ascii="Arial" w:eastAsiaTheme="majorEastAsia" w:hAnsi="Arial" w:cs="Arial"/>
          <w:b/>
          <w:bCs/>
          <w:sz w:val="24"/>
          <w:szCs w:val="24"/>
        </w:rPr>
        <w:t xml:space="preserve">Figure </w:t>
      </w:r>
      <w:r w:rsidR="00F6081E">
        <w:rPr>
          <w:rFonts w:ascii="Arial" w:eastAsiaTheme="majorEastAsia" w:hAnsi="Arial" w:cs="Arial"/>
          <w:b/>
          <w:bCs/>
          <w:sz w:val="24"/>
          <w:szCs w:val="24"/>
        </w:rPr>
        <w:t>S-</w:t>
      </w:r>
      <w:r w:rsidR="00F6081E" w:rsidRPr="00F6081E">
        <w:rPr>
          <w:rFonts w:ascii="Arial" w:eastAsiaTheme="majorEastAsia" w:hAnsi="Arial" w:cs="Arial"/>
          <w:b/>
          <w:bCs/>
          <w:sz w:val="24"/>
          <w:szCs w:val="24"/>
        </w:rPr>
        <w:t>2.</w:t>
      </w:r>
      <w:r w:rsidR="00F6081E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="00F6081E">
        <w:rPr>
          <w:rFonts w:ascii="Arial" w:eastAsiaTheme="majorEastAsia" w:hAnsi="Arial" w:cs="Arial"/>
          <w:bCs/>
          <w:sz w:val="24"/>
          <w:szCs w:val="24"/>
        </w:rPr>
        <w:t xml:space="preserve">Evaluation of the effects of aspirin-PC and aspirin </w:t>
      </w:r>
      <w:r w:rsidR="0059075E">
        <w:rPr>
          <w:rFonts w:ascii="Arial" w:eastAsiaTheme="majorEastAsia" w:hAnsi="Arial" w:cs="Arial"/>
          <w:bCs/>
          <w:sz w:val="24"/>
          <w:szCs w:val="24"/>
        </w:rPr>
        <w:t xml:space="preserve">on </w:t>
      </w:r>
      <w:r w:rsidR="008B6667">
        <w:rPr>
          <w:rFonts w:ascii="Arial" w:eastAsiaTheme="majorEastAsia" w:hAnsi="Arial" w:cs="Arial"/>
          <w:bCs/>
          <w:sz w:val="24"/>
          <w:szCs w:val="24"/>
        </w:rPr>
        <w:t xml:space="preserve">tube-formation (measured </w:t>
      </w:r>
      <w:r w:rsidR="00F5344D">
        <w:rPr>
          <w:rFonts w:ascii="Arial" w:eastAsiaTheme="majorEastAsia" w:hAnsi="Arial" w:cs="Arial"/>
          <w:bCs/>
          <w:sz w:val="24"/>
          <w:szCs w:val="24"/>
        </w:rPr>
        <w:t xml:space="preserve">under microscopy </w:t>
      </w:r>
      <w:r w:rsidR="008B6667">
        <w:rPr>
          <w:rFonts w:ascii="Arial" w:eastAsiaTheme="majorEastAsia" w:hAnsi="Arial" w:cs="Arial"/>
          <w:bCs/>
          <w:sz w:val="24"/>
          <w:szCs w:val="24"/>
        </w:rPr>
        <w:t xml:space="preserve">over a 6-hr period), as an index of their possible anti-angiogenic action </w:t>
      </w:r>
      <w:r w:rsidR="00F6081E">
        <w:rPr>
          <w:rFonts w:ascii="Arial" w:eastAsiaTheme="majorEastAsia" w:hAnsi="Arial" w:cs="Arial"/>
          <w:bCs/>
          <w:sz w:val="24"/>
          <w:szCs w:val="24"/>
        </w:rPr>
        <w:t>on human umbilical vein endothelial cells (HUVECs)</w:t>
      </w:r>
      <w:r w:rsidR="008B6667">
        <w:rPr>
          <w:rFonts w:ascii="Arial" w:eastAsiaTheme="majorEastAsia" w:hAnsi="Arial" w:cs="Arial"/>
          <w:bCs/>
          <w:sz w:val="24"/>
          <w:szCs w:val="24"/>
        </w:rPr>
        <w:t xml:space="preserve"> RF24</w:t>
      </w:r>
      <w:r w:rsidR="00F6081E">
        <w:rPr>
          <w:rFonts w:ascii="Arial" w:eastAsiaTheme="majorEastAsia" w:hAnsi="Arial" w:cs="Arial"/>
          <w:bCs/>
          <w:sz w:val="24"/>
          <w:szCs w:val="24"/>
        </w:rPr>
        <w:t xml:space="preserve"> after </w:t>
      </w:r>
      <w:r w:rsidR="00775AC2">
        <w:rPr>
          <w:rFonts w:ascii="Arial" w:eastAsiaTheme="majorEastAsia" w:hAnsi="Arial" w:cs="Arial"/>
          <w:bCs/>
          <w:sz w:val="24"/>
          <w:szCs w:val="24"/>
        </w:rPr>
        <w:t xml:space="preserve">the cells were </w:t>
      </w:r>
      <w:r w:rsidR="00F6081E">
        <w:rPr>
          <w:rFonts w:ascii="Arial" w:eastAsiaTheme="majorEastAsia" w:hAnsi="Arial" w:cs="Arial"/>
          <w:bCs/>
          <w:sz w:val="24"/>
          <w:szCs w:val="24"/>
        </w:rPr>
        <w:t xml:space="preserve">incubated in medium containing the aspirin test formulations (at an aspirin dose of 0.4 </w:t>
      </w:r>
      <w:proofErr w:type="spellStart"/>
      <w:r w:rsidR="00F6081E">
        <w:rPr>
          <w:rFonts w:ascii="Arial" w:eastAsiaTheme="majorEastAsia" w:hAnsi="Arial" w:cs="Arial"/>
          <w:bCs/>
          <w:sz w:val="24"/>
          <w:szCs w:val="24"/>
        </w:rPr>
        <w:t>mM</w:t>
      </w:r>
      <w:proofErr w:type="spellEnd"/>
      <w:r w:rsidR="00F6081E">
        <w:rPr>
          <w:rFonts w:ascii="Arial" w:eastAsiaTheme="majorEastAsia" w:hAnsi="Arial" w:cs="Arial"/>
          <w:bCs/>
          <w:sz w:val="24"/>
          <w:szCs w:val="24"/>
        </w:rPr>
        <w:t>) for either 4 or 8 days</w:t>
      </w:r>
      <w:r w:rsidR="008B6667">
        <w:rPr>
          <w:rFonts w:ascii="Arial" w:eastAsiaTheme="majorEastAsia" w:hAnsi="Arial" w:cs="Arial"/>
          <w:bCs/>
          <w:sz w:val="24"/>
          <w:szCs w:val="24"/>
        </w:rPr>
        <w:t xml:space="preserve"> prior to the 6hr tube formation assay</w:t>
      </w:r>
      <w:r w:rsidR="00F6081E">
        <w:rPr>
          <w:rFonts w:ascii="Arial" w:eastAsiaTheme="majorEastAsia" w:hAnsi="Arial" w:cs="Arial"/>
          <w:bCs/>
          <w:sz w:val="24"/>
          <w:szCs w:val="24"/>
        </w:rPr>
        <w:t>.</w:t>
      </w:r>
      <w:r w:rsidR="00BF6A89">
        <w:rPr>
          <w:rFonts w:ascii="Arial" w:eastAsiaTheme="majorEastAsia" w:hAnsi="Arial" w:cs="Arial"/>
          <w:bCs/>
          <w:sz w:val="24"/>
          <w:szCs w:val="24"/>
        </w:rPr>
        <w:t xml:space="preserve"> (A) micrograph demonstrating tube-formation over 6 </w:t>
      </w:r>
      <w:proofErr w:type="spellStart"/>
      <w:r w:rsidR="00BF6A89">
        <w:rPr>
          <w:rFonts w:ascii="Arial" w:eastAsiaTheme="majorEastAsia" w:hAnsi="Arial" w:cs="Arial"/>
          <w:bCs/>
          <w:sz w:val="24"/>
          <w:szCs w:val="24"/>
        </w:rPr>
        <w:t>hr</w:t>
      </w:r>
      <w:proofErr w:type="spellEnd"/>
      <w:r w:rsidR="00BF6A89">
        <w:rPr>
          <w:rFonts w:ascii="Arial" w:eastAsiaTheme="majorEastAsia" w:hAnsi="Arial" w:cs="Arial"/>
          <w:bCs/>
          <w:sz w:val="24"/>
          <w:szCs w:val="24"/>
        </w:rPr>
        <w:t xml:space="preserve"> study period. (B) Quantitation of tube formation by counting number of formed tubes/well. It</w:t>
      </w:r>
      <w:r w:rsidR="00F6081E">
        <w:rPr>
          <w:rFonts w:ascii="Arial" w:eastAsiaTheme="majorEastAsia" w:hAnsi="Arial" w:cs="Arial"/>
          <w:bCs/>
          <w:sz w:val="24"/>
          <w:szCs w:val="24"/>
        </w:rPr>
        <w:t xml:space="preserve"> can be appreciated that</w:t>
      </w:r>
      <w:r w:rsidR="00775AC2">
        <w:rPr>
          <w:rFonts w:ascii="Arial" w:eastAsiaTheme="majorEastAsia" w:hAnsi="Arial" w:cs="Arial"/>
          <w:bCs/>
          <w:sz w:val="24"/>
          <w:szCs w:val="24"/>
        </w:rPr>
        <w:t xml:space="preserve"> although no effect was observed at 4-days, there was trend that both agents reduced tube formation at 8-days.</w:t>
      </w:r>
    </w:p>
    <w:p w:rsidR="00376A22" w:rsidRDefault="00376A22" w:rsidP="008B6667">
      <w:pPr>
        <w:spacing w:line="480" w:lineRule="auto"/>
        <w:rPr>
          <w:rFonts w:ascii="Arial" w:eastAsiaTheme="majorEastAsia" w:hAnsi="Arial" w:cs="Arial"/>
          <w:bCs/>
          <w:sz w:val="24"/>
          <w:szCs w:val="24"/>
        </w:rPr>
      </w:pPr>
    </w:p>
    <w:p w:rsidR="00751826" w:rsidRDefault="00751826" w:rsidP="00751826">
      <w:pPr>
        <w:spacing w:after="0" w:line="240" w:lineRule="auto"/>
        <w:jc w:val="both"/>
      </w:pPr>
      <w:r w:rsidRPr="00751826">
        <w:lastRenderedPageBreak/>
        <w:drawing>
          <wp:inline distT="0" distB="0" distL="0" distR="0" wp14:anchorId="4BDC5746" wp14:editId="38C76E61">
            <wp:extent cx="5943600" cy="4222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826">
        <w:t xml:space="preserve"> </w:t>
      </w:r>
    </w:p>
    <w:p w:rsidR="00751826" w:rsidRDefault="00751826" w:rsidP="00751826">
      <w:pPr>
        <w:spacing w:after="0" w:line="240" w:lineRule="auto"/>
        <w:jc w:val="both"/>
      </w:pPr>
    </w:p>
    <w:p w:rsidR="00751826" w:rsidRDefault="00751826" w:rsidP="00751826">
      <w:pPr>
        <w:spacing w:after="0" w:line="240" w:lineRule="auto"/>
        <w:jc w:val="both"/>
      </w:pPr>
    </w:p>
    <w:p w:rsidR="0059075E" w:rsidRPr="00376A22" w:rsidRDefault="0059075E" w:rsidP="00751826">
      <w:pPr>
        <w:spacing w:after="0" w:line="240" w:lineRule="auto"/>
        <w:jc w:val="both"/>
      </w:pPr>
      <w:bookmarkStart w:id="0" w:name="_GoBack"/>
      <w:bookmarkEnd w:id="0"/>
      <w:r>
        <w:rPr>
          <w:rFonts w:ascii="Arial" w:eastAsiaTheme="majorEastAsia" w:hAnsi="Arial" w:cs="Arial"/>
          <w:b/>
          <w:bCs/>
          <w:sz w:val="24"/>
          <w:szCs w:val="24"/>
        </w:rPr>
        <w:t>Figure S-3</w:t>
      </w:r>
      <w:r w:rsidRPr="00F6081E">
        <w:rPr>
          <w:rFonts w:ascii="Arial" w:eastAsiaTheme="majorEastAsia" w:hAnsi="Arial" w:cs="Arial"/>
          <w:b/>
          <w:bCs/>
          <w:sz w:val="24"/>
          <w:szCs w:val="24"/>
        </w:rPr>
        <w:t>.</w:t>
      </w:r>
      <w:r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="00376A22" w:rsidRPr="00F6081E">
        <w:rPr>
          <w:rFonts w:ascii="Arial" w:eastAsiaTheme="majorEastAsia" w:hAnsi="Arial" w:cs="Arial"/>
          <w:bCs/>
          <w:i/>
          <w:sz w:val="24"/>
          <w:szCs w:val="24"/>
        </w:rPr>
        <w:t>In vitro</w:t>
      </w:r>
      <w:r w:rsidR="00376A22" w:rsidRPr="00F6081E">
        <w:rPr>
          <w:rFonts w:ascii="Arial" w:eastAsiaTheme="majorEastAsia" w:hAnsi="Arial" w:cs="Arial"/>
          <w:bCs/>
          <w:sz w:val="24"/>
          <w:szCs w:val="24"/>
        </w:rPr>
        <w:t xml:space="preserve"> evidence that the growth inhibitory activity of aspirin-PC and aspirin of ovarian cancer cell lines derived from</w:t>
      </w:r>
      <w:r w:rsidR="00376A22">
        <w:rPr>
          <w:rFonts w:ascii="Arial" w:eastAsiaTheme="majorEastAsia" w:hAnsi="Arial" w:cs="Arial"/>
          <w:bCs/>
          <w:sz w:val="24"/>
          <w:szCs w:val="24"/>
        </w:rPr>
        <w:t>:</w:t>
      </w:r>
      <w:r w:rsidR="00376A22" w:rsidRPr="00F6081E">
        <w:rPr>
          <w:rFonts w:ascii="Arial" w:eastAsiaTheme="majorEastAsia" w:hAnsi="Arial" w:cs="Arial"/>
          <w:bCs/>
          <w:sz w:val="24"/>
          <w:szCs w:val="24"/>
        </w:rPr>
        <w:t xml:space="preserve"> </w:t>
      </w:r>
      <w:r w:rsidR="00376A22">
        <w:rPr>
          <w:rFonts w:ascii="Arial" w:eastAsiaTheme="majorEastAsia" w:hAnsi="Arial" w:cs="Arial"/>
          <w:bCs/>
          <w:sz w:val="24"/>
          <w:szCs w:val="24"/>
        </w:rPr>
        <w:t>(A) human (HeyA8);</w:t>
      </w:r>
      <w:r w:rsidR="00376A22" w:rsidRPr="00F6081E">
        <w:rPr>
          <w:rFonts w:ascii="Arial" w:eastAsiaTheme="majorEastAsia" w:hAnsi="Arial" w:cs="Arial"/>
          <w:bCs/>
          <w:sz w:val="24"/>
          <w:szCs w:val="24"/>
        </w:rPr>
        <w:t xml:space="preserve"> and </w:t>
      </w:r>
      <w:r w:rsidR="00376A22">
        <w:rPr>
          <w:rFonts w:ascii="Arial" w:eastAsiaTheme="majorEastAsia" w:hAnsi="Arial" w:cs="Arial"/>
          <w:bCs/>
          <w:sz w:val="24"/>
          <w:szCs w:val="24"/>
        </w:rPr>
        <w:t xml:space="preserve">(B) </w:t>
      </w:r>
      <w:r w:rsidR="00376A22" w:rsidRPr="00F6081E">
        <w:rPr>
          <w:rFonts w:ascii="Arial" w:eastAsiaTheme="majorEastAsia" w:hAnsi="Arial" w:cs="Arial"/>
          <w:bCs/>
          <w:sz w:val="24"/>
          <w:szCs w:val="24"/>
        </w:rPr>
        <w:t xml:space="preserve">mouse (ID8) are not affected by administering the aspirin formulations in combination with the VEGF inhibitors (bevacizumab/Bev) and B20, respectively. </w:t>
      </w:r>
      <w:r w:rsidR="00376A22">
        <w:rPr>
          <w:rFonts w:ascii="Arial" w:eastAsiaTheme="majorEastAsia" w:hAnsi="Arial" w:cs="Arial"/>
          <w:bCs/>
          <w:sz w:val="24"/>
          <w:szCs w:val="24"/>
        </w:rPr>
        <w:t xml:space="preserve">Drug concentration on x-axis refers to the final concentration of aspirin in the test formulations. </w:t>
      </w:r>
      <w:r w:rsidR="00376A22" w:rsidRPr="00F6081E">
        <w:rPr>
          <w:rFonts w:ascii="Arial" w:eastAsiaTheme="majorEastAsia" w:hAnsi="Arial" w:cs="Arial"/>
          <w:bCs/>
          <w:sz w:val="24"/>
          <w:szCs w:val="24"/>
        </w:rPr>
        <w:t>We also performed a dose-response study with the two VEGF inhibitors on the growth of</w:t>
      </w:r>
      <w:r w:rsidR="00376A22">
        <w:rPr>
          <w:rFonts w:ascii="Arial" w:eastAsiaTheme="majorEastAsia" w:hAnsi="Arial" w:cs="Arial"/>
          <w:bCs/>
          <w:sz w:val="24"/>
          <w:szCs w:val="24"/>
        </w:rPr>
        <w:t>: (C)</w:t>
      </w:r>
      <w:r w:rsidR="00376A22" w:rsidRPr="00F6081E">
        <w:rPr>
          <w:rFonts w:ascii="Arial" w:eastAsiaTheme="majorEastAsia" w:hAnsi="Arial" w:cs="Arial"/>
          <w:bCs/>
          <w:sz w:val="24"/>
          <w:szCs w:val="24"/>
        </w:rPr>
        <w:t xml:space="preserve"> H</w:t>
      </w:r>
      <w:r w:rsidR="001B1F48">
        <w:rPr>
          <w:rFonts w:ascii="Arial" w:eastAsiaTheme="majorEastAsia" w:hAnsi="Arial" w:cs="Arial"/>
          <w:bCs/>
          <w:sz w:val="24"/>
          <w:szCs w:val="24"/>
        </w:rPr>
        <w:t>ey</w:t>
      </w:r>
      <w:r w:rsidR="00376A22" w:rsidRPr="00F6081E">
        <w:rPr>
          <w:rFonts w:ascii="Arial" w:eastAsiaTheme="majorEastAsia" w:hAnsi="Arial" w:cs="Arial"/>
          <w:bCs/>
          <w:sz w:val="24"/>
          <w:szCs w:val="24"/>
        </w:rPr>
        <w:t>A8</w:t>
      </w:r>
      <w:r w:rsidR="00376A22">
        <w:rPr>
          <w:rFonts w:ascii="Arial" w:eastAsiaTheme="majorEastAsia" w:hAnsi="Arial" w:cs="Arial"/>
          <w:bCs/>
          <w:sz w:val="24"/>
          <w:szCs w:val="24"/>
        </w:rPr>
        <w:t>;</w:t>
      </w:r>
      <w:r w:rsidR="00376A22" w:rsidRPr="00F6081E">
        <w:rPr>
          <w:rFonts w:ascii="Arial" w:eastAsiaTheme="majorEastAsia" w:hAnsi="Arial" w:cs="Arial"/>
          <w:bCs/>
          <w:sz w:val="24"/>
          <w:szCs w:val="24"/>
        </w:rPr>
        <w:t xml:space="preserve"> and </w:t>
      </w:r>
      <w:r w:rsidR="00376A22">
        <w:rPr>
          <w:rFonts w:ascii="Arial" w:eastAsiaTheme="majorEastAsia" w:hAnsi="Arial" w:cs="Arial"/>
          <w:bCs/>
          <w:sz w:val="24"/>
          <w:szCs w:val="24"/>
        </w:rPr>
        <w:t xml:space="preserve">(D) </w:t>
      </w:r>
      <w:r w:rsidR="00376A22" w:rsidRPr="00F6081E">
        <w:rPr>
          <w:rFonts w:ascii="Arial" w:eastAsiaTheme="majorEastAsia" w:hAnsi="Arial" w:cs="Arial"/>
          <w:bCs/>
          <w:sz w:val="24"/>
          <w:szCs w:val="24"/>
        </w:rPr>
        <w:t>ID8 cells, which also demonstrated a lack of growth inhibitory activity on the ovarian cancer</w:t>
      </w:r>
      <w:r w:rsidR="00376A22">
        <w:rPr>
          <w:rFonts w:ascii="Arial" w:eastAsiaTheme="majorEastAsia" w:hAnsi="Arial" w:cs="Arial"/>
          <w:bCs/>
          <w:sz w:val="24"/>
          <w:szCs w:val="24"/>
        </w:rPr>
        <w:t xml:space="preserve"> cells. These experiments used </w:t>
      </w:r>
      <w:r w:rsidR="00376A22" w:rsidRPr="00F6081E">
        <w:rPr>
          <w:rFonts w:ascii="Arial" w:eastAsiaTheme="majorEastAsia" w:hAnsi="Arial" w:cs="Arial"/>
          <w:bCs/>
          <w:sz w:val="24"/>
          <w:szCs w:val="24"/>
        </w:rPr>
        <w:t xml:space="preserve">an MTT assay to assess cell growth over an 8 day culture period. </w:t>
      </w:r>
    </w:p>
    <w:sectPr w:rsidR="0059075E" w:rsidRPr="00376A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81E"/>
    <w:rsid w:val="001B1F48"/>
    <w:rsid w:val="00253DAE"/>
    <w:rsid w:val="00266F18"/>
    <w:rsid w:val="00312326"/>
    <w:rsid w:val="00376A22"/>
    <w:rsid w:val="0059075E"/>
    <w:rsid w:val="00751826"/>
    <w:rsid w:val="00775AC2"/>
    <w:rsid w:val="008B6667"/>
    <w:rsid w:val="00B33AFD"/>
    <w:rsid w:val="00B6376D"/>
    <w:rsid w:val="00BF6A89"/>
    <w:rsid w:val="00F5344D"/>
    <w:rsid w:val="00F6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02CEB9-41C6-442B-9380-717901C7C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UTH MSB</dc:creator>
  <cp:lastModifiedBy>Hu,Wei</cp:lastModifiedBy>
  <cp:revision>2</cp:revision>
  <dcterms:created xsi:type="dcterms:W3CDTF">2016-07-26T00:03:00Z</dcterms:created>
  <dcterms:modified xsi:type="dcterms:W3CDTF">2016-07-26T00:03:00Z</dcterms:modified>
</cp:coreProperties>
</file>