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68F37" w14:textId="380119CE" w:rsidR="00106B3C" w:rsidRPr="008B59F0" w:rsidRDefault="00F603DE">
      <w:pPr>
        <w:rPr>
          <w:rFonts w:ascii="Arial" w:hAnsi="Arial" w:cs="Arial"/>
          <w:b/>
        </w:rPr>
      </w:pPr>
      <w:r w:rsidRPr="008B59F0">
        <w:rPr>
          <w:rFonts w:ascii="Arial" w:hAnsi="Arial" w:cs="Arial"/>
          <w:b/>
        </w:rPr>
        <w:t>Supplemental Methods</w:t>
      </w:r>
    </w:p>
    <w:p w14:paraId="0112BA2B" w14:textId="77777777" w:rsidR="00106B3C" w:rsidRPr="008B59F0" w:rsidRDefault="00106B3C">
      <w:pPr>
        <w:rPr>
          <w:rFonts w:ascii="Arial" w:hAnsi="Arial" w:cs="Arial"/>
          <w:b/>
        </w:rPr>
      </w:pPr>
    </w:p>
    <w:p w14:paraId="35160D92" w14:textId="77777777" w:rsidR="00F603DE" w:rsidRPr="008B59F0" w:rsidRDefault="00F603DE">
      <w:pPr>
        <w:rPr>
          <w:rFonts w:ascii="Arial" w:hAnsi="Arial" w:cs="Arial"/>
          <w:b/>
        </w:rPr>
      </w:pPr>
      <w:r w:rsidRPr="008B59F0">
        <w:rPr>
          <w:rFonts w:ascii="Arial" w:hAnsi="Arial" w:cs="Arial"/>
          <w:b/>
        </w:rPr>
        <w:t>Characterisation of ADCT-301 by SEC, HIC and RPLC</w:t>
      </w:r>
    </w:p>
    <w:p w14:paraId="2A13724E" w14:textId="07DE0B99" w:rsidR="00F603DE" w:rsidRPr="008B59F0" w:rsidRDefault="00F603DE" w:rsidP="00F603DE">
      <w:pPr>
        <w:spacing w:line="480" w:lineRule="auto"/>
        <w:rPr>
          <w:rFonts w:ascii="Arial" w:hAnsi="Arial" w:cs="Arial"/>
          <w:b/>
        </w:rPr>
      </w:pPr>
      <w:r w:rsidRPr="008B59F0">
        <w:rPr>
          <w:rFonts w:ascii="Arial" w:hAnsi="Arial" w:cs="Arial"/>
        </w:rPr>
        <w:t xml:space="preserve">Characterisation of synthesised ADC was performed by size exclusion chromatography (SEC), hydrophobic interaction chromatography (HIC) and reduced reverse phase liquid chromatography (RPLC). SEC was carried out by injection of undiluted ADCT-301 across an isocratic gradient (mobile phase 200 mM Potassium Phosphate, 250 mM </w:t>
      </w:r>
      <w:r w:rsidR="007406AA" w:rsidRPr="008B59F0">
        <w:rPr>
          <w:rFonts w:ascii="Arial" w:hAnsi="Arial" w:cs="Arial"/>
        </w:rPr>
        <w:t>Potassium Chloride, 10% v/v iso</w:t>
      </w:r>
      <w:r w:rsidRPr="008B59F0">
        <w:rPr>
          <w:rFonts w:ascii="Arial" w:hAnsi="Arial" w:cs="Arial"/>
        </w:rPr>
        <w:t>Propanol (iPA), pH 6.95) at a flow rate of 0.5 ml/min on a TOSOH Bioscience TSK-Gel® GW3000SWxl , 250A, 5µm column at room temperature with detection at 280 nm. For HIC DAR determination, ADCT-301 (1-5 mg/ml) was injected across a gradient established by using mobile phase A buffer (1.5M (NH</w:t>
      </w:r>
      <w:r w:rsidRPr="008B59F0">
        <w:rPr>
          <w:rFonts w:ascii="Arial" w:hAnsi="Arial" w:cs="Arial"/>
          <w:vertAlign w:val="subscript"/>
        </w:rPr>
        <w:t>4</w:t>
      </w:r>
      <w:r w:rsidRPr="008B59F0">
        <w:rPr>
          <w:rFonts w:ascii="Arial" w:hAnsi="Arial" w:cs="Arial"/>
        </w:rPr>
        <w:t>)2SO</w:t>
      </w:r>
      <w:r w:rsidRPr="008B59F0">
        <w:rPr>
          <w:rFonts w:ascii="Arial" w:hAnsi="Arial" w:cs="Arial"/>
          <w:vertAlign w:val="subscript"/>
        </w:rPr>
        <w:t>4</w:t>
      </w:r>
      <w:r w:rsidRPr="008B59F0">
        <w:rPr>
          <w:rFonts w:ascii="Arial" w:hAnsi="Arial" w:cs="Arial"/>
        </w:rPr>
        <w:t>, 25mM NaPi, pH=6.95</w:t>
      </w:r>
      <w:r w:rsidRPr="008B59F0">
        <w:rPr>
          <w:rFonts w:ascii="Arial" w:hAnsi="Arial" w:cs="Arial" w:hint="eastAsia"/>
        </w:rPr>
        <w:t>±</w:t>
      </w:r>
      <w:r w:rsidRPr="008B59F0">
        <w:rPr>
          <w:rFonts w:ascii="Arial" w:hAnsi="Arial" w:cs="Arial"/>
        </w:rPr>
        <w:t>0.05) and mobile Phase B buffer (75% 25mM NaPi, pH=6.95</w:t>
      </w:r>
      <w:r w:rsidRPr="008B59F0">
        <w:rPr>
          <w:rFonts w:ascii="Arial" w:hAnsi="Arial" w:cs="Arial" w:hint="eastAsia"/>
        </w:rPr>
        <w:t>±</w:t>
      </w:r>
      <w:r w:rsidRPr="008B59F0">
        <w:rPr>
          <w:rFonts w:ascii="Arial" w:hAnsi="Arial" w:cs="Arial"/>
        </w:rPr>
        <w:t>0.05; 25% iPA). A TOSOH Butyl-NPR 4.6mm x 3.5cm, 2.5μm column was used for the analysis with a flow rate of 0.8 ml/min and detection at 214 nm. DAR was calculated according to the formula:</w:t>
      </w:r>
    </w:p>
    <w:p w14:paraId="2F518974" w14:textId="20D0766B" w:rsidR="006A0B61" w:rsidRPr="008B59F0" w:rsidRDefault="006A0B61" w:rsidP="00F603DE">
      <w:pPr>
        <w:spacing w:line="480" w:lineRule="auto"/>
        <w:rPr>
          <w:rFonts w:ascii="Arial" w:hAnsi="Arial" w:cs="Arial"/>
        </w:rPr>
      </w:pPr>
      <w:r w:rsidRPr="008B59F0">
        <w:rPr>
          <w:rFonts w:ascii="Arial" w:hAnsi="Arial" w:cs="Arial"/>
          <w:lang w:val="en-US"/>
        </w:rPr>
        <w:t>DAR =</w:t>
      </w:r>
      <w:r w:rsidRPr="008B59F0" w:rsidDel="006A0B61">
        <w:rPr>
          <w:rFonts w:ascii="Arial" w:hAnsi="Arial" w:cs="Arial"/>
          <w:lang w:val="en-US"/>
        </w:rPr>
        <w:t xml:space="preserve"> </w:t>
      </w:r>
      <w:r w:rsidRPr="008B59F0">
        <w:rPr>
          <w:rFonts w:ascii="Arial" w:hAnsi="Arial" w:cs="Arial"/>
        </w:rPr>
        <w:t>(sum of (n x % DAR(n))/(sum of % DAR(n)); {n= 0-8}</w:t>
      </w:r>
    </w:p>
    <w:p w14:paraId="09BFF5D5" w14:textId="6612F8E3" w:rsidR="00F603DE" w:rsidRPr="008B59F0" w:rsidRDefault="006A0B61" w:rsidP="00F603DE">
      <w:pPr>
        <w:spacing w:line="480" w:lineRule="auto"/>
        <w:rPr>
          <w:rFonts w:ascii="Arial" w:hAnsi="Arial" w:cs="Arial"/>
        </w:rPr>
      </w:pPr>
      <w:r w:rsidRPr="008B59F0">
        <w:rPr>
          <w:rFonts w:ascii="Arial" w:hAnsi="Arial" w:cs="Arial"/>
        </w:rPr>
        <w:t xml:space="preserve"> </w:t>
      </w:r>
      <w:r w:rsidR="00F603DE" w:rsidRPr="008B59F0">
        <w:rPr>
          <w:rFonts w:ascii="Arial" w:hAnsi="Arial" w:cs="Arial"/>
        </w:rPr>
        <w:t xml:space="preserve">For DAR determination by reduced RPLC, prior to injection ADCT-301 was reduced using DTT in sodium borate buffer pH 8.4 for 15 minutes. The column used for the analysis was an Agilent PLRP-S 1000A, 5μm, 50 x 2.1 mm at a column temperature of 80 ˚C. Changes in gradient across </w:t>
      </w:r>
      <w:r w:rsidR="00F603DE" w:rsidRPr="008B59F0">
        <w:rPr>
          <w:rFonts w:ascii="Arial" w:hAnsi="Arial" w:cs="Arial"/>
          <w:bCs/>
        </w:rPr>
        <w:t>Mobile Phase A buffer (0.1% TFA in Water) and Mobile Phase B buffer (0.1% TFA in 10% Water, 90% Acetonitrile)</w:t>
      </w:r>
      <w:r w:rsidR="00F603DE" w:rsidRPr="008B59F0">
        <w:rPr>
          <w:rFonts w:ascii="Arial" w:hAnsi="Arial" w:cs="Arial"/>
        </w:rPr>
        <w:t xml:space="preserve"> were used for analysis with a flow rate of 1 ml/min and detection at 214 nm.  DAR was calculated using the following formula: </w:t>
      </w:r>
    </w:p>
    <w:p w14:paraId="2446B2BD" w14:textId="3833F455" w:rsidR="00F603DE" w:rsidRPr="008B59F0" w:rsidRDefault="000A4812" w:rsidP="00F603DE">
      <w:pPr>
        <w:spacing w:line="480" w:lineRule="auto"/>
        <w:rPr>
          <w:rFonts w:ascii="Arial" w:hAnsi="Arial" w:cs="Arial"/>
          <w:lang w:val="en-US"/>
        </w:rPr>
      </w:pPr>
      <w:r w:rsidRPr="008B59F0">
        <w:rPr>
          <w:rFonts w:ascii="Arial" w:hAnsi="Arial" w:cs="Arial"/>
          <w:lang w:val="en-US"/>
        </w:rPr>
        <w:object w:dxaOrig="5535" w:dyaOrig="840" w14:anchorId="74303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45.75pt" o:ole="">
            <v:imagedata r:id="rId7" o:title=""/>
          </v:shape>
          <o:OLEObject Type="Embed" ProgID="ChemDraw.Document.6.0" ShapeID="_x0000_i1025" DrawAspect="Content" ObjectID="_1530633428" r:id="rId8"/>
        </w:object>
      </w:r>
    </w:p>
    <w:p w14:paraId="467CA364" w14:textId="77777777" w:rsidR="00106B3C" w:rsidRPr="008B59F0" w:rsidRDefault="00106B3C" w:rsidP="00241E10">
      <w:pPr>
        <w:spacing w:line="480" w:lineRule="auto"/>
        <w:rPr>
          <w:rFonts w:ascii="Arial" w:eastAsia="Calibri" w:hAnsi="Arial" w:cs="Arial"/>
          <w:b/>
          <w:lang w:eastAsia="en-US"/>
        </w:rPr>
      </w:pPr>
    </w:p>
    <w:p w14:paraId="4743C5A4" w14:textId="19AE2ADB" w:rsidR="00241E10" w:rsidRPr="008B59F0" w:rsidRDefault="00241E10" w:rsidP="00241E10">
      <w:pPr>
        <w:spacing w:line="480" w:lineRule="auto"/>
        <w:rPr>
          <w:rFonts w:ascii="Arial" w:eastAsia="Calibri" w:hAnsi="Arial" w:cs="Arial"/>
          <w:b/>
          <w:lang w:eastAsia="en-US"/>
        </w:rPr>
      </w:pPr>
      <w:r w:rsidRPr="008B59F0">
        <w:rPr>
          <w:rFonts w:ascii="Arial" w:eastAsia="Calibri" w:hAnsi="Arial" w:cs="Arial"/>
          <w:b/>
          <w:lang w:eastAsia="en-US"/>
        </w:rPr>
        <w:lastRenderedPageBreak/>
        <w:t xml:space="preserve">Assessment of ADCT-301 efficacy </w:t>
      </w:r>
      <w:r w:rsidR="004D34D8" w:rsidRPr="008B59F0">
        <w:rPr>
          <w:rFonts w:ascii="Arial" w:eastAsia="Calibri" w:hAnsi="Arial" w:cs="Arial"/>
          <w:b/>
          <w:lang w:eastAsia="en-US"/>
        </w:rPr>
        <w:t>in Karpas 299 and</w:t>
      </w:r>
      <w:r w:rsidRPr="008B59F0">
        <w:rPr>
          <w:rFonts w:ascii="Arial" w:eastAsia="Calibri" w:hAnsi="Arial" w:cs="Arial"/>
          <w:b/>
          <w:lang w:eastAsia="en-US"/>
        </w:rPr>
        <w:t xml:space="preserve"> </w:t>
      </w:r>
      <w:r w:rsidR="008656CE" w:rsidRPr="008B59F0">
        <w:rPr>
          <w:rFonts w:ascii="Arial" w:eastAsia="Calibri" w:hAnsi="Arial" w:cs="Arial"/>
          <w:b/>
          <w:lang w:eastAsia="en-US"/>
        </w:rPr>
        <w:t xml:space="preserve">Ramos </w:t>
      </w:r>
      <w:r w:rsidRPr="008B59F0">
        <w:rPr>
          <w:rFonts w:ascii="Arial" w:eastAsia="Calibri" w:hAnsi="Arial" w:cs="Arial"/>
          <w:b/>
          <w:i/>
          <w:lang w:eastAsia="en-US"/>
        </w:rPr>
        <w:t>in vivo</w:t>
      </w:r>
      <w:r w:rsidR="003324AC" w:rsidRPr="008B59F0">
        <w:rPr>
          <w:rFonts w:ascii="Arial" w:eastAsia="Calibri" w:hAnsi="Arial" w:cs="Arial"/>
          <w:b/>
          <w:i/>
          <w:lang w:eastAsia="en-US"/>
        </w:rPr>
        <w:t xml:space="preserve"> </w:t>
      </w:r>
      <w:r w:rsidR="003324AC" w:rsidRPr="008B59F0">
        <w:rPr>
          <w:rFonts w:ascii="Arial" w:eastAsia="Calibri" w:hAnsi="Arial" w:cs="Arial"/>
          <w:b/>
          <w:lang w:eastAsia="en-US"/>
        </w:rPr>
        <w:t>disseminated</w:t>
      </w:r>
      <w:r w:rsidRPr="008B59F0">
        <w:rPr>
          <w:rFonts w:ascii="Arial" w:eastAsia="Calibri" w:hAnsi="Arial" w:cs="Arial"/>
          <w:b/>
          <w:i/>
          <w:lang w:eastAsia="en-US"/>
        </w:rPr>
        <w:t xml:space="preserve"> </w:t>
      </w:r>
      <w:r w:rsidRPr="008B59F0">
        <w:rPr>
          <w:rFonts w:ascii="Arial" w:eastAsia="Calibri" w:hAnsi="Arial" w:cs="Arial"/>
          <w:b/>
          <w:lang w:eastAsia="en-US"/>
        </w:rPr>
        <w:t xml:space="preserve">models </w:t>
      </w:r>
    </w:p>
    <w:p w14:paraId="7D1165F9" w14:textId="519727FB" w:rsidR="003324AC" w:rsidRPr="008B59F0" w:rsidRDefault="008656CE" w:rsidP="00241E10">
      <w:pPr>
        <w:spacing w:line="480" w:lineRule="auto"/>
        <w:rPr>
          <w:rFonts w:ascii="Arial" w:hAnsi="Arial" w:cs="Arial"/>
        </w:rPr>
      </w:pPr>
      <w:r w:rsidRPr="008B59F0">
        <w:rPr>
          <w:rFonts w:ascii="Arial" w:hAnsi="Arial" w:cs="Arial"/>
        </w:rPr>
        <w:t xml:space="preserve">Karpas 299 or Ramos </w:t>
      </w:r>
      <w:r w:rsidR="00241E10" w:rsidRPr="008B59F0">
        <w:rPr>
          <w:rFonts w:ascii="Arial" w:hAnsi="Arial" w:cs="Arial"/>
        </w:rPr>
        <w:t>xenografts were established in female Fox Chase SCID® (C.B-17/Icr-</w:t>
      </w:r>
      <w:r w:rsidR="00241E10" w:rsidRPr="008B59F0">
        <w:rPr>
          <w:rFonts w:ascii="Arial" w:hAnsi="Arial" w:cs="Arial"/>
          <w:i/>
          <w:iCs/>
        </w:rPr>
        <w:t>Prkdcscid</w:t>
      </w:r>
      <w:r w:rsidR="00241E10" w:rsidRPr="008B59F0">
        <w:rPr>
          <w:rFonts w:ascii="Arial" w:hAnsi="Arial" w:cs="Arial"/>
        </w:rPr>
        <w:t>, Charles River) by injecting 10</w:t>
      </w:r>
      <w:r w:rsidR="00241E10" w:rsidRPr="008B59F0">
        <w:rPr>
          <w:rFonts w:ascii="Arial" w:hAnsi="Arial" w:cs="Arial"/>
          <w:vertAlign w:val="superscript"/>
        </w:rPr>
        <w:t>7</w:t>
      </w:r>
      <w:r w:rsidR="00241E10" w:rsidRPr="008B59F0">
        <w:rPr>
          <w:rFonts w:ascii="Arial" w:hAnsi="Arial" w:cs="Arial"/>
        </w:rPr>
        <w:t xml:space="preserve"> Karpas 299 </w:t>
      </w:r>
      <w:r w:rsidRPr="008B59F0">
        <w:rPr>
          <w:rFonts w:ascii="Arial" w:hAnsi="Arial" w:cs="Arial"/>
        </w:rPr>
        <w:t>or 5 x 10</w:t>
      </w:r>
      <w:r w:rsidRPr="008B59F0">
        <w:rPr>
          <w:rFonts w:ascii="Arial" w:hAnsi="Arial" w:cs="Arial"/>
          <w:vertAlign w:val="superscript"/>
        </w:rPr>
        <w:t>6</w:t>
      </w:r>
      <w:r w:rsidRPr="008B59F0">
        <w:rPr>
          <w:rFonts w:ascii="Arial" w:hAnsi="Arial" w:cs="Arial"/>
        </w:rPr>
        <w:t xml:space="preserve"> Ramos </w:t>
      </w:r>
      <w:r w:rsidR="00241E10" w:rsidRPr="008B59F0">
        <w:rPr>
          <w:rFonts w:ascii="Arial" w:hAnsi="Arial" w:cs="Arial"/>
        </w:rPr>
        <w:t>cells</w:t>
      </w:r>
      <w:r w:rsidRPr="008B59F0">
        <w:rPr>
          <w:rFonts w:ascii="Arial" w:hAnsi="Arial" w:cs="Arial"/>
        </w:rPr>
        <w:t>, respectively</w:t>
      </w:r>
      <w:r w:rsidR="00A506A5" w:rsidRPr="008B59F0">
        <w:rPr>
          <w:rFonts w:ascii="Arial" w:hAnsi="Arial" w:cs="Arial"/>
        </w:rPr>
        <w:t>,</w:t>
      </w:r>
      <w:r w:rsidR="00241E10" w:rsidRPr="008B59F0">
        <w:rPr>
          <w:rFonts w:ascii="Arial" w:hAnsi="Arial" w:cs="Arial"/>
        </w:rPr>
        <w:t xml:space="preserve"> intravenously into the lateral tail vein. 12</w:t>
      </w:r>
      <w:r w:rsidRPr="008B59F0">
        <w:rPr>
          <w:rFonts w:ascii="Arial" w:hAnsi="Arial" w:cs="Arial"/>
        </w:rPr>
        <w:t xml:space="preserve"> days</w:t>
      </w:r>
      <w:r w:rsidR="00241E10" w:rsidRPr="008B59F0">
        <w:rPr>
          <w:rFonts w:ascii="Arial" w:hAnsi="Arial" w:cs="Arial"/>
        </w:rPr>
        <w:t xml:space="preserve"> after </w:t>
      </w:r>
      <w:r w:rsidR="004D34D8" w:rsidRPr="008B59F0">
        <w:rPr>
          <w:rFonts w:ascii="Arial" w:hAnsi="Arial" w:cs="Arial"/>
        </w:rPr>
        <w:t xml:space="preserve">Karpas 299 </w:t>
      </w:r>
      <w:r w:rsidR="00241E10" w:rsidRPr="008B59F0">
        <w:rPr>
          <w:rFonts w:ascii="Arial" w:hAnsi="Arial" w:cs="Arial"/>
        </w:rPr>
        <w:t>injection</w:t>
      </w:r>
      <w:r w:rsidR="004D34D8" w:rsidRPr="008B59F0">
        <w:rPr>
          <w:rFonts w:ascii="Arial" w:hAnsi="Arial" w:cs="Arial"/>
        </w:rPr>
        <w:t>s,</w:t>
      </w:r>
      <w:r w:rsidR="00241E10" w:rsidRPr="008B59F0">
        <w:rPr>
          <w:rFonts w:ascii="Arial" w:hAnsi="Arial" w:cs="Arial"/>
        </w:rPr>
        <w:t xml:space="preserve"> mice were randomly allocated into groups to receive 0.1, 0.2, 0.4, 0.6 mg/kg of ADCT-301, 0.6 mg/kg non-binding ADC, PBS (vehicle) or 0.6 mg/kg Adcetris intravenously on Day 1 or Adcetris (0.5 mg/kg qd4 x 4). </w:t>
      </w:r>
      <w:r w:rsidR="004D34D8" w:rsidRPr="008B59F0">
        <w:rPr>
          <w:rFonts w:ascii="Arial" w:hAnsi="Arial" w:cs="Arial"/>
        </w:rPr>
        <w:t xml:space="preserve">Treatment of Ramos xenografted mice </w:t>
      </w:r>
      <w:r w:rsidR="008D6775" w:rsidRPr="008B59F0">
        <w:rPr>
          <w:rFonts w:ascii="Arial" w:hAnsi="Arial" w:cs="Arial"/>
        </w:rPr>
        <w:t xml:space="preserve">with </w:t>
      </w:r>
      <w:r w:rsidR="004D34D8" w:rsidRPr="008B59F0">
        <w:rPr>
          <w:rFonts w:ascii="Arial" w:hAnsi="Arial" w:cs="Arial"/>
        </w:rPr>
        <w:t xml:space="preserve">PBS (vehicle), or 1 mg/kg of non-binding ADC or ADCT-301 injections </w:t>
      </w:r>
      <w:r w:rsidR="008D6775" w:rsidRPr="008B59F0">
        <w:rPr>
          <w:rFonts w:ascii="Arial" w:hAnsi="Arial" w:cs="Arial"/>
        </w:rPr>
        <w:t>was in</w:t>
      </w:r>
      <w:r w:rsidR="00BB7F66" w:rsidRPr="008B59F0">
        <w:rPr>
          <w:rFonts w:ascii="Arial" w:hAnsi="Arial" w:cs="Arial"/>
        </w:rPr>
        <w:t>itiated</w:t>
      </w:r>
      <w:r w:rsidR="008D6775" w:rsidRPr="008B59F0">
        <w:rPr>
          <w:rFonts w:ascii="Arial" w:hAnsi="Arial" w:cs="Arial"/>
        </w:rPr>
        <w:t xml:space="preserve"> </w:t>
      </w:r>
      <w:r w:rsidR="004D34D8" w:rsidRPr="008B59F0">
        <w:rPr>
          <w:rFonts w:ascii="Arial" w:hAnsi="Arial" w:cs="Arial"/>
        </w:rPr>
        <w:t xml:space="preserve">7 days after tumor inoculation. </w:t>
      </w:r>
      <w:r w:rsidR="00241E10" w:rsidRPr="008B59F0">
        <w:rPr>
          <w:rFonts w:ascii="Arial" w:hAnsi="Arial" w:cs="Arial"/>
        </w:rPr>
        <w:t xml:space="preserve">The day of death or euthanasia represented the time to endpoint (TTE). Animals that did not reach the endpoint were euthanized at the end of the study, and assigned a TTE value equal to the last </w:t>
      </w:r>
      <w:r w:rsidR="00920D99" w:rsidRPr="008B59F0">
        <w:rPr>
          <w:rFonts w:ascii="Arial" w:hAnsi="Arial" w:cs="Arial"/>
        </w:rPr>
        <w:t xml:space="preserve">study </w:t>
      </w:r>
      <w:r w:rsidR="00241E10" w:rsidRPr="008B59F0">
        <w:rPr>
          <w:rFonts w:ascii="Arial" w:hAnsi="Arial" w:cs="Arial"/>
        </w:rPr>
        <w:t>day</w:t>
      </w:r>
      <w:r w:rsidR="00920D99" w:rsidRPr="008B59F0">
        <w:rPr>
          <w:rFonts w:ascii="Arial" w:hAnsi="Arial" w:cs="Arial"/>
        </w:rPr>
        <w:t xml:space="preserve">. </w:t>
      </w:r>
      <w:r w:rsidR="00241E10" w:rsidRPr="008B59F0">
        <w:rPr>
          <w:rFonts w:ascii="Arial" w:hAnsi="Arial" w:cs="Arial"/>
        </w:rPr>
        <w:t xml:space="preserve">Any animal classified as having died from treatment-related (TR) causes was assigned a TTE value equal to the day of death. Any animal classified as having died from non-treatment-related (NTR) causes was excluded from the analysis. A TTE value was recorded for each assessable animal, and the median TTE was calculated for each group. The median TTE of treated mice was expressed as a percentage of the median TTE of the control mice (%T/C), and the increase in life span (ILS) was calculated as: </w:t>
      </w:r>
    </w:p>
    <w:p w14:paraId="1F81EE7B" w14:textId="3F058324" w:rsidR="003324AC" w:rsidRPr="008B59F0" w:rsidRDefault="00236BB8" w:rsidP="00ED1938">
      <w:pPr>
        <w:spacing w:line="480" w:lineRule="auto"/>
        <w:jc w:val="center"/>
        <w:rPr>
          <w:rFonts w:ascii="Arial" w:hAnsi="Arial" w:cs="Arial"/>
        </w:rPr>
      </w:pPr>
      <w:r w:rsidRPr="008B59F0">
        <w:rPr>
          <w:rFonts w:ascii="Arial" w:hAnsi="Arial" w:cs="Arial"/>
        </w:rPr>
        <w:t>ILS = %T/C – 100%</w:t>
      </w:r>
    </w:p>
    <w:p w14:paraId="56A6A33F" w14:textId="77777777" w:rsidR="00241E10" w:rsidRPr="008B59F0" w:rsidRDefault="00241E10" w:rsidP="00241E10">
      <w:pPr>
        <w:spacing w:line="480" w:lineRule="auto"/>
        <w:rPr>
          <w:rFonts w:ascii="Arial" w:hAnsi="Arial" w:cs="Arial"/>
        </w:rPr>
      </w:pPr>
      <w:r w:rsidRPr="008B59F0">
        <w:rPr>
          <w:rFonts w:ascii="Arial" w:hAnsi="Arial" w:cs="Arial"/>
        </w:rPr>
        <w:t>where T = median TTE</w:t>
      </w:r>
      <w:r w:rsidR="003324AC" w:rsidRPr="008B59F0">
        <w:rPr>
          <w:rFonts w:ascii="Arial" w:hAnsi="Arial" w:cs="Arial"/>
        </w:rPr>
        <w:t xml:space="preserve"> </w:t>
      </w:r>
      <w:r w:rsidRPr="008B59F0">
        <w:rPr>
          <w:rFonts w:ascii="Arial" w:hAnsi="Arial" w:cs="Arial"/>
        </w:rPr>
        <w:t>treated, and C = median TTE</w:t>
      </w:r>
      <w:r w:rsidR="003324AC" w:rsidRPr="008B59F0">
        <w:rPr>
          <w:rFonts w:ascii="Arial" w:hAnsi="Arial" w:cs="Arial"/>
        </w:rPr>
        <w:t xml:space="preserve"> </w:t>
      </w:r>
      <w:r w:rsidRPr="008B59F0">
        <w:rPr>
          <w:rFonts w:ascii="Arial" w:hAnsi="Arial" w:cs="Arial"/>
        </w:rPr>
        <w:t>control. Thus, if T = C, ILS = 0%.</w:t>
      </w:r>
    </w:p>
    <w:p w14:paraId="51D19B6D" w14:textId="77777777" w:rsidR="003324AC" w:rsidRPr="008B59F0" w:rsidRDefault="003324AC" w:rsidP="00241E10">
      <w:pPr>
        <w:spacing w:line="480" w:lineRule="auto"/>
        <w:rPr>
          <w:rFonts w:ascii="Arial" w:hAnsi="Arial" w:cs="Arial"/>
        </w:rPr>
      </w:pPr>
      <w:r w:rsidRPr="008B59F0">
        <w:rPr>
          <w:rFonts w:ascii="Arial" w:hAnsi="Arial" w:cs="Arial"/>
        </w:rPr>
        <w:t>The logrank test was employed to determine the significance of the difference between the overall survival experiences (survival curves) of two groups, based on their TTE values.</w:t>
      </w:r>
    </w:p>
    <w:p w14:paraId="6FDCFBF3" w14:textId="1A6C9576" w:rsidR="001D758F" w:rsidRPr="008B59F0" w:rsidRDefault="001D758F" w:rsidP="001D758F">
      <w:pPr>
        <w:rPr>
          <w:rFonts w:ascii="Arial" w:hAnsi="Arial" w:cs="Arial"/>
        </w:rPr>
      </w:pPr>
    </w:p>
    <w:p w14:paraId="5268D2D2" w14:textId="77777777" w:rsidR="00574113" w:rsidRPr="008B59F0" w:rsidRDefault="00574113" w:rsidP="001D758F">
      <w:pPr>
        <w:rPr>
          <w:rFonts w:ascii="Arial" w:hAnsi="Arial" w:cs="Arial"/>
        </w:rPr>
      </w:pPr>
    </w:p>
    <w:p w14:paraId="6C379A68" w14:textId="36950DC5" w:rsidR="00F603DE" w:rsidRPr="008B59F0" w:rsidRDefault="00F603DE">
      <w:pPr>
        <w:rPr>
          <w:rFonts w:ascii="Arial" w:hAnsi="Arial" w:cs="Arial"/>
          <w:b/>
        </w:rPr>
      </w:pPr>
      <w:r w:rsidRPr="008B59F0">
        <w:rPr>
          <w:rFonts w:ascii="Arial" w:hAnsi="Arial" w:cs="Arial"/>
          <w:b/>
        </w:rPr>
        <w:br w:type="page"/>
      </w:r>
    </w:p>
    <w:p w14:paraId="1D519D31" w14:textId="190417BC" w:rsidR="006A2612" w:rsidRPr="008B59F0" w:rsidRDefault="00A47B18">
      <w:pPr>
        <w:rPr>
          <w:rFonts w:ascii="Arial" w:hAnsi="Arial" w:cs="Arial"/>
          <w:b/>
        </w:rPr>
      </w:pPr>
      <w:r w:rsidRPr="008B59F0">
        <w:rPr>
          <w:rFonts w:ascii="Arial" w:hAnsi="Arial" w:cs="Arial"/>
          <w:b/>
        </w:rPr>
        <w:lastRenderedPageBreak/>
        <w:t xml:space="preserve">Supplemental Tables </w:t>
      </w:r>
    </w:p>
    <w:p w14:paraId="5765B247" w14:textId="7820173F" w:rsidR="00A47B18" w:rsidRPr="008B59F0" w:rsidRDefault="006A2612" w:rsidP="00854E96">
      <w:pPr>
        <w:spacing w:line="480" w:lineRule="auto"/>
      </w:pPr>
      <w:r w:rsidRPr="008B59F0">
        <w:rPr>
          <w:rFonts w:ascii="Arial" w:hAnsi="Arial" w:cs="Arial"/>
          <w:b/>
        </w:rPr>
        <w:t>Table S1.</w:t>
      </w:r>
      <w:r w:rsidRPr="008B59F0">
        <w:t xml:space="preserve"> </w:t>
      </w:r>
      <w:r w:rsidRPr="008B59F0">
        <w:rPr>
          <w:rFonts w:ascii="Arial" w:hAnsi="Arial" w:cs="Arial"/>
        </w:rPr>
        <w:t>High molecular weight, low molecular weight and monomer designation by size exclusion chromatography showing area and percentage of each fraction occupying total area under curve at 280 nm</w:t>
      </w:r>
      <w:r w:rsidRPr="008B59F0">
        <w:t xml:space="preserve"> </w:t>
      </w:r>
    </w:p>
    <w:tbl>
      <w:tblPr>
        <w:tblStyle w:val="TableGrid"/>
        <w:tblW w:w="9243" w:type="dxa"/>
        <w:tblLook w:val="04A0" w:firstRow="1" w:lastRow="0" w:firstColumn="1" w:lastColumn="0" w:noHBand="0" w:noVBand="1"/>
      </w:tblPr>
      <w:tblGrid>
        <w:gridCol w:w="2376"/>
        <w:gridCol w:w="2552"/>
        <w:gridCol w:w="2410"/>
        <w:gridCol w:w="1905"/>
      </w:tblGrid>
      <w:tr w:rsidR="006A2612" w:rsidRPr="008B59F0" w14:paraId="3CD26BBE" w14:textId="77777777" w:rsidTr="00A506A5">
        <w:trPr>
          <w:trHeight w:val="682"/>
        </w:trPr>
        <w:tc>
          <w:tcPr>
            <w:tcW w:w="2376" w:type="dxa"/>
          </w:tcPr>
          <w:p w14:paraId="7375387D"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b/>
                <w:bCs/>
                <w:sz w:val="24"/>
                <w:szCs w:val="24"/>
              </w:rPr>
              <w:t>Retention Time (min)</w:t>
            </w:r>
          </w:p>
        </w:tc>
        <w:tc>
          <w:tcPr>
            <w:tcW w:w="2552" w:type="dxa"/>
          </w:tcPr>
          <w:p w14:paraId="7305066C"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b/>
                <w:bCs/>
                <w:sz w:val="24"/>
                <w:szCs w:val="24"/>
              </w:rPr>
              <w:t>Designation</w:t>
            </w:r>
          </w:p>
        </w:tc>
        <w:tc>
          <w:tcPr>
            <w:tcW w:w="2410" w:type="dxa"/>
          </w:tcPr>
          <w:p w14:paraId="22D4568C"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b/>
                <w:bCs/>
                <w:sz w:val="24"/>
                <w:szCs w:val="24"/>
              </w:rPr>
              <w:t>Area</w:t>
            </w:r>
            <w:r w:rsidRPr="008B59F0">
              <w:rPr>
                <w:rFonts w:ascii="Arial" w:hAnsi="Arial" w:cs="Arial"/>
                <w:b/>
                <w:bCs/>
                <w:sz w:val="24"/>
                <w:szCs w:val="24"/>
                <w:vertAlign w:val="subscript"/>
              </w:rPr>
              <w:t>280nm</w:t>
            </w:r>
          </w:p>
        </w:tc>
        <w:tc>
          <w:tcPr>
            <w:tcW w:w="1905" w:type="dxa"/>
          </w:tcPr>
          <w:p w14:paraId="4708EF55"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b/>
                <w:bCs/>
                <w:sz w:val="24"/>
                <w:szCs w:val="24"/>
              </w:rPr>
              <w:t>% Area</w:t>
            </w:r>
            <w:r w:rsidRPr="008B59F0">
              <w:rPr>
                <w:rFonts w:ascii="Arial" w:hAnsi="Arial" w:cs="Arial"/>
                <w:b/>
                <w:bCs/>
                <w:sz w:val="24"/>
                <w:szCs w:val="24"/>
                <w:vertAlign w:val="subscript"/>
              </w:rPr>
              <w:t>280nm</w:t>
            </w:r>
          </w:p>
        </w:tc>
      </w:tr>
      <w:tr w:rsidR="006A2612" w:rsidRPr="008B59F0" w14:paraId="67A402D2" w14:textId="77777777" w:rsidTr="00A506A5">
        <w:trPr>
          <w:trHeight w:val="682"/>
        </w:trPr>
        <w:tc>
          <w:tcPr>
            <w:tcW w:w="2376" w:type="dxa"/>
            <w:hideMark/>
          </w:tcPr>
          <w:p w14:paraId="6F7C2605"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14.537</w:t>
            </w:r>
          </w:p>
        </w:tc>
        <w:tc>
          <w:tcPr>
            <w:tcW w:w="2552" w:type="dxa"/>
            <w:hideMark/>
          </w:tcPr>
          <w:p w14:paraId="08CB9165"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HMW Aggregates</w:t>
            </w:r>
          </w:p>
        </w:tc>
        <w:tc>
          <w:tcPr>
            <w:tcW w:w="2410" w:type="dxa"/>
            <w:hideMark/>
          </w:tcPr>
          <w:p w14:paraId="049581AC"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154826</w:t>
            </w:r>
          </w:p>
        </w:tc>
        <w:tc>
          <w:tcPr>
            <w:tcW w:w="1905" w:type="dxa"/>
            <w:hideMark/>
          </w:tcPr>
          <w:p w14:paraId="769C5CE0"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1.457</w:t>
            </w:r>
          </w:p>
        </w:tc>
      </w:tr>
      <w:tr w:rsidR="006A2612" w:rsidRPr="008B59F0" w14:paraId="7F9589D6" w14:textId="77777777" w:rsidTr="00A506A5">
        <w:trPr>
          <w:trHeight w:val="389"/>
        </w:trPr>
        <w:tc>
          <w:tcPr>
            <w:tcW w:w="2376" w:type="dxa"/>
            <w:hideMark/>
          </w:tcPr>
          <w:p w14:paraId="1A0D1F76"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17.178</w:t>
            </w:r>
          </w:p>
        </w:tc>
        <w:tc>
          <w:tcPr>
            <w:tcW w:w="2552" w:type="dxa"/>
            <w:hideMark/>
          </w:tcPr>
          <w:p w14:paraId="047CBE4C"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Monomer</w:t>
            </w:r>
          </w:p>
        </w:tc>
        <w:tc>
          <w:tcPr>
            <w:tcW w:w="2410" w:type="dxa"/>
            <w:hideMark/>
          </w:tcPr>
          <w:p w14:paraId="409D2793"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10300767</w:t>
            </w:r>
          </w:p>
        </w:tc>
        <w:tc>
          <w:tcPr>
            <w:tcW w:w="1905" w:type="dxa"/>
          </w:tcPr>
          <w:p w14:paraId="6804148E"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96.951</w:t>
            </w:r>
          </w:p>
        </w:tc>
      </w:tr>
      <w:tr w:rsidR="006A2612" w:rsidRPr="008B59F0" w14:paraId="4065AB30" w14:textId="77777777" w:rsidTr="00A506A5">
        <w:trPr>
          <w:trHeight w:val="389"/>
        </w:trPr>
        <w:tc>
          <w:tcPr>
            <w:tcW w:w="2376" w:type="dxa"/>
            <w:hideMark/>
          </w:tcPr>
          <w:p w14:paraId="26D5D96B"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18.353</w:t>
            </w:r>
          </w:p>
        </w:tc>
        <w:tc>
          <w:tcPr>
            <w:tcW w:w="2552" w:type="dxa"/>
            <w:hideMark/>
          </w:tcPr>
          <w:p w14:paraId="7502AF51"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LMW Fragment 1</w:t>
            </w:r>
          </w:p>
        </w:tc>
        <w:tc>
          <w:tcPr>
            <w:tcW w:w="2410" w:type="dxa"/>
            <w:hideMark/>
          </w:tcPr>
          <w:p w14:paraId="030CA147"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169138</w:t>
            </w:r>
          </w:p>
        </w:tc>
        <w:tc>
          <w:tcPr>
            <w:tcW w:w="1905" w:type="dxa"/>
          </w:tcPr>
          <w:p w14:paraId="1693D52C"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1.592</w:t>
            </w:r>
          </w:p>
        </w:tc>
      </w:tr>
      <w:tr w:rsidR="006A2612" w:rsidRPr="008B59F0" w14:paraId="786F1B1E" w14:textId="77777777" w:rsidTr="00A506A5">
        <w:trPr>
          <w:trHeight w:val="389"/>
        </w:trPr>
        <w:tc>
          <w:tcPr>
            <w:tcW w:w="2376" w:type="dxa"/>
            <w:hideMark/>
          </w:tcPr>
          <w:p w14:paraId="176535BE" w14:textId="77777777" w:rsidR="006A2612" w:rsidRPr="008B59F0" w:rsidRDefault="006A2612" w:rsidP="00A506A5">
            <w:pPr>
              <w:spacing w:after="200" w:line="276" w:lineRule="auto"/>
              <w:rPr>
                <w:rFonts w:ascii="Arial" w:hAnsi="Arial" w:cs="Arial"/>
                <w:sz w:val="24"/>
                <w:szCs w:val="24"/>
              </w:rPr>
            </w:pPr>
          </w:p>
        </w:tc>
        <w:tc>
          <w:tcPr>
            <w:tcW w:w="2552" w:type="dxa"/>
            <w:hideMark/>
          </w:tcPr>
          <w:p w14:paraId="20CB83AE" w14:textId="77777777" w:rsidR="006A2612" w:rsidRPr="008B59F0" w:rsidRDefault="006A2612" w:rsidP="00A506A5">
            <w:pPr>
              <w:spacing w:after="200" w:line="276" w:lineRule="auto"/>
              <w:rPr>
                <w:rFonts w:ascii="Arial" w:hAnsi="Arial" w:cs="Arial"/>
                <w:sz w:val="24"/>
                <w:szCs w:val="24"/>
              </w:rPr>
            </w:pPr>
          </w:p>
        </w:tc>
        <w:tc>
          <w:tcPr>
            <w:tcW w:w="2410" w:type="dxa"/>
            <w:hideMark/>
          </w:tcPr>
          <w:p w14:paraId="3A8772E4"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10624730</w:t>
            </w:r>
          </w:p>
        </w:tc>
        <w:tc>
          <w:tcPr>
            <w:tcW w:w="1905" w:type="dxa"/>
          </w:tcPr>
          <w:p w14:paraId="794F7602" w14:textId="77777777" w:rsidR="006A2612" w:rsidRPr="008B59F0" w:rsidRDefault="006A2612" w:rsidP="00A506A5">
            <w:pPr>
              <w:spacing w:after="200" w:line="276" w:lineRule="auto"/>
              <w:rPr>
                <w:rFonts w:ascii="Arial" w:hAnsi="Arial" w:cs="Arial"/>
                <w:sz w:val="24"/>
                <w:szCs w:val="24"/>
              </w:rPr>
            </w:pPr>
            <w:r w:rsidRPr="008B59F0">
              <w:rPr>
                <w:rFonts w:ascii="Arial" w:hAnsi="Arial" w:cs="Arial"/>
                <w:sz w:val="24"/>
                <w:szCs w:val="24"/>
              </w:rPr>
              <w:t>100.000</w:t>
            </w:r>
          </w:p>
        </w:tc>
      </w:tr>
    </w:tbl>
    <w:p w14:paraId="5970396B" w14:textId="77777777" w:rsidR="006A2612" w:rsidRPr="008B59F0" w:rsidRDefault="006A2612">
      <w:pPr>
        <w:rPr>
          <w:rFonts w:ascii="Arial" w:hAnsi="Arial" w:cs="Arial"/>
          <w:b/>
          <w:sz w:val="24"/>
          <w:szCs w:val="24"/>
        </w:rPr>
      </w:pPr>
    </w:p>
    <w:p w14:paraId="7294A648" w14:textId="51838969" w:rsidR="006A2612" w:rsidRPr="008B59F0" w:rsidRDefault="00A47B18" w:rsidP="00A4085F">
      <w:pPr>
        <w:spacing w:line="480" w:lineRule="auto"/>
        <w:rPr>
          <w:rFonts w:ascii="Arial" w:hAnsi="Arial" w:cs="Arial"/>
          <w:b/>
        </w:rPr>
      </w:pPr>
      <w:r w:rsidRPr="008B59F0">
        <w:rPr>
          <w:rFonts w:ascii="Arial" w:hAnsi="Arial" w:cs="Arial"/>
          <w:b/>
        </w:rPr>
        <w:t>Table S2</w:t>
      </w:r>
      <w:r w:rsidR="006A2612" w:rsidRPr="008B59F0">
        <w:rPr>
          <w:rFonts w:ascii="Arial" w:hAnsi="Arial" w:cs="Arial"/>
          <w:b/>
        </w:rPr>
        <w:t xml:space="preserve">. </w:t>
      </w:r>
      <w:r w:rsidR="00241E10" w:rsidRPr="008B59F0">
        <w:rPr>
          <w:rFonts w:ascii="Arial" w:hAnsi="Arial" w:cs="Arial"/>
        </w:rPr>
        <w:t>Heavy and light chain</w:t>
      </w:r>
      <w:r w:rsidR="006A2612" w:rsidRPr="008B59F0">
        <w:rPr>
          <w:rFonts w:ascii="Arial" w:hAnsi="Arial" w:cs="Arial"/>
        </w:rPr>
        <w:t xml:space="preserve"> measurements by reduced Reverse Phase Liquid Chromatography showing area and percentage of each fraction occupying total area under curve at 214 nm</w:t>
      </w:r>
    </w:p>
    <w:tbl>
      <w:tblPr>
        <w:tblStyle w:val="TableGrid1"/>
        <w:tblW w:w="8888" w:type="dxa"/>
        <w:tblLook w:val="04A0" w:firstRow="1" w:lastRow="0" w:firstColumn="1" w:lastColumn="0" w:noHBand="0" w:noVBand="1"/>
      </w:tblPr>
      <w:tblGrid>
        <w:gridCol w:w="2222"/>
        <w:gridCol w:w="2222"/>
        <w:gridCol w:w="2222"/>
        <w:gridCol w:w="2222"/>
      </w:tblGrid>
      <w:tr w:rsidR="006A2612" w:rsidRPr="008B59F0" w14:paraId="33A2AA29" w14:textId="77777777" w:rsidTr="006A2612">
        <w:trPr>
          <w:trHeight w:val="769"/>
        </w:trPr>
        <w:tc>
          <w:tcPr>
            <w:tcW w:w="2222" w:type="dxa"/>
          </w:tcPr>
          <w:p w14:paraId="4BBC1044"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b/>
                <w:bCs/>
                <w:kern w:val="24"/>
                <w:sz w:val="24"/>
                <w:szCs w:val="24"/>
              </w:rPr>
              <w:t>Retention Time (min)</w:t>
            </w:r>
          </w:p>
        </w:tc>
        <w:tc>
          <w:tcPr>
            <w:tcW w:w="2222" w:type="dxa"/>
          </w:tcPr>
          <w:p w14:paraId="08C8E124"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b/>
                <w:bCs/>
                <w:kern w:val="24"/>
                <w:sz w:val="24"/>
                <w:szCs w:val="24"/>
              </w:rPr>
              <w:t>Designation</w:t>
            </w:r>
          </w:p>
        </w:tc>
        <w:tc>
          <w:tcPr>
            <w:tcW w:w="2222" w:type="dxa"/>
          </w:tcPr>
          <w:p w14:paraId="1D71CCCA"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b/>
                <w:bCs/>
                <w:kern w:val="24"/>
                <w:sz w:val="24"/>
                <w:szCs w:val="24"/>
              </w:rPr>
              <w:t>Area</w:t>
            </w:r>
            <w:r w:rsidRPr="008B59F0">
              <w:rPr>
                <w:rFonts w:ascii="Arial" w:eastAsia="Times New Roman" w:hAnsi="Arial" w:cs="Arial"/>
                <w:b/>
                <w:bCs/>
                <w:kern w:val="24"/>
                <w:position w:val="-6"/>
                <w:sz w:val="24"/>
                <w:szCs w:val="24"/>
                <w:vertAlign w:val="subscript"/>
              </w:rPr>
              <w:t>214nm</w:t>
            </w:r>
          </w:p>
        </w:tc>
        <w:tc>
          <w:tcPr>
            <w:tcW w:w="2222" w:type="dxa"/>
          </w:tcPr>
          <w:p w14:paraId="31CA2964"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b/>
                <w:bCs/>
                <w:kern w:val="24"/>
                <w:sz w:val="24"/>
                <w:szCs w:val="24"/>
              </w:rPr>
              <w:t>% Area</w:t>
            </w:r>
            <w:r w:rsidRPr="008B59F0">
              <w:rPr>
                <w:rFonts w:ascii="Arial" w:eastAsia="Times New Roman" w:hAnsi="Arial" w:cs="Arial"/>
                <w:b/>
                <w:bCs/>
                <w:kern w:val="24"/>
                <w:position w:val="-6"/>
                <w:sz w:val="24"/>
                <w:szCs w:val="24"/>
                <w:vertAlign w:val="subscript"/>
              </w:rPr>
              <w:t>214nm</w:t>
            </w:r>
          </w:p>
        </w:tc>
      </w:tr>
      <w:tr w:rsidR="006A2612" w:rsidRPr="008B59F0" w14:paraId="1F75F45A" w14:textId="77777777" w:rsidTr="006A2612">
        <w:trPr>
          <w:trHeight w:val="384"/>
        </w:trPr>
        <w:tc>
          <w:tcPr>
            <w:tcW w:w="2222" w:type="dxa"/>
            <w:vAlign w:val="bottom"/>
          </w:tcPr>
          <w:p w14:paraId="0266AFA7"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8.258</w:t>
            </w:r>
          </w:p>
        </w:tc>
        <w:tc>
          <w:tcPr>
            <w:tcW w:w="2222" w:type="dxa"/>
          </w:tcPr>
          <w:p w14:paraId="386D5B75"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L0</w:t>
            </w:r>
          </w:p>
        </w:tc>
        <w:tc>
          <w:tcPr>
            <w:tcW w:w="2222" w:type="dxa"/>
            <w:vAlign w:val="bottom"/>
          </w:tcPr>
          <w:p w14:paraId="565A5D6A"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12276612</w:t>
            </w:r>
          </w:p>
        </w:tc>
        <w:tc>
          <w:tcPr>
            <w:tcW w:w="2222" w:type="dxa"/>
            <w:vAlign w:val="bottom"/>
          </w:tcPr>
          <w:p w14:paraId="63BE880B"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19.834</w:t>
            </w:r>
          </w:p>
        </w:tc>
      </w:tr>
      <w:tr w:rsidR="006A2612" w:rsidRPr="008B59F0" w14:paraId="37EE6380" w14:textId="77777777" w:rsidTr="006A2612">
        <w:trPr>
          <w:trHeight w:val="357"/>
        </w:trPr>
        <w:tc>
          <w:tcPr>
            <w:tcW w:w="2222" w:type="dxa"/>
            <w:vAlign w:val="bottom"/>
          </w:tcPr>
          <w:p w14:paraId="0B2BD8D2"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10.121</w:t>
            </w:r>
          </w:p>
        </w:tc>
        <w:tc>
          <w:tcPr>
            <w:tcW w:w="2222" w:type="dxa"/>
          </w:tcPr>
          <w:p w14:paraId="2C29A5A4"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L1</w:t>
            </w:r>
          </w:p>
        </w:tc>
        <w:tc>
          <w:tcPr>
            <w:tcW w:w="2222" w:type="dxa"/>
            <w:vAlign w:val="bottom"/>
          </w:tcPr>
          <w:p w14:paraId="54C444A4"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7687771</w:t>
            </w:r>
          </w:p>
        </w:tc>
        <w:tc>
          <w:tcPr>
            <w:tcW w:w="2222" w:type="dxa"/>
            <w:vAlign w:val="bottom"/>
          </w:tcPr>
          <w:p w14:paraId="088A2D09"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12.42</w:t>
            </w:r>
          </w:p>
        </w:tc>
      </w:tr>
      <w:tr w:rsidR="006A2612" w:rsidRPr="008B59F0" w14:paraId="62A45360" w14:textId="77777777" w:rsidTr="006A2612">
        <w:trPr>
          <w:trHeight w:val="384"/>
        </w:trPr>
        <w:tc>
          <w:tcPr>
            <w:tcW w:w="2222" w:type="dxa"/>
            <w:vAlign w:val="bottom"/>
          </w:tcPr>
          <w:p w14:paraId="4F6BE5F0"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11.072</w:t>
            </w:r>
          </w:p>
        </w:tc>
        <w:tc>
          <w:tcPr>
            <w:tcW w:w="2222" w:type="dxa"/>
          </w:tcPr>
          <w:p w14:paraId="79610A1E"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H0</w:t>
            </w:r>
          </w:p>
        </w:tc>
        <w:tc>
          <w:tcPr>
            <w:tcW w:w="2222" w:type="dxa"/>
            <w:vAlign w:val="bottom"/>
          </w:tcPr>
          <w:p w14:paraId="1ACE0A40"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18622737</w:t>
            </w:r>
          </w:p>
        </w:tc>
        <w:tc>
          <w:tcPr>
            <w:tcW w:w="2222" w:type="dxa"/>
            <w:vAlign w:val="bottom"/>
          </w:tcPr>
          <w:p w14:paraId="6D6BFBB5"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30.087</w:t>
            </w:r>
          </w:p>
        </w:tc>
      </w:tr>
      <w:tr w:rsidR="006A2612" w:rsidRPr="008B59F0" w14:paraId="75CE1409" w14:textId="77777777" w:rsidTr="006A2612">
        <w:trPr>
          <w:trHeight w:val="384"/>
        </w:trPr>
        <w:tc>
          <w:tcPr>
            <w:tcW w:w="2222" w:type="dxa"/>
            <w:vAlign w:val="bottom"/>
          </w:tcPr>
          <w:p w14:paraId="551F7732"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12.009</w:t>
            </w:r>
          </w:p>
        </w:tc>
        <w:tc>
          <w:tcPr>
            <w:tcW w:w="2222" w:type="dxa"/>
          </w:tcPr>
          <w:p w14:paraId="332C9387"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H1</w:t>
            </w:r>
          </w:p>
        </w:tc>
        <w:tc>
          <w:tcPr>
            <w:tcW w:w="2222" w:type="dxa"/>
            <w:vAlign w:val="bottom"/>
          </w:tcPr>
          <w:p w14:paraId="50247E21"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16547265</w:t>
            </w:r>
          </w:p>
        </w:tc>
        <w:tc>
          <w:tcPr>
            <w:tcW w:w="2222" w:type="dxa"/>
            <w:vAlign w:val="bottom"/>
          </w:tcPr>
          <w:p w14:paraId="23079AE5"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26.734</w:t>
            </w:r>
          </w:p>
        </w:tc>
      </w:tr>
      <w:tr w:rsidR="006A2612" w:rsidRPr="008B59F0" w14:paraId="12DE6316" w14:textId="77777777" w:rsidTr="006A2612">
        <w:trPr>
          <w:trHeight w:val="357"/>
        </w:trPr>
        <w:tc>
          <w:tcPr>
            <w:tcW w:w="2222" w:type="dxa"/>
            <w:vAlign w:val="bottom"/>
          </w:tcPr>
          <w:p w14:paraId="7DE39D18"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13.512</w:t>
            </w:r>
          </w:p>
        </w:tc>
        <w:tc>
          <w:tcPr>
            <w:tcW w:w="2222" w:type="dxa"/>
          </w:tcPr>
          <w:p w14:paraId="200E9D6D"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H2</w:t>
            </w:r>
          </w:p>
        </w:tc>
        <w:tc>
          <w:tcPr>
            <w:tcW w:w="2222" w:type="dxa"/>
            <w:vAlign w:val="bottom"/>
          </w:tcPr>
          <w:p w14:paraId="6BBA343D"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5871591</w:t>
            </w:r>
          </w:p>
        </w:tc>
        <w:tc>
          <w:tcPr>
            <w:tcW w:w="2222" w:type="dxa"/>
            <w:vAlign w:val="bottom"/>
          </w:tcPr>
          <w:p w14:paraId="6172F99A"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9.486</w:t>
            </w:r>
          </w:p>
        </w:tc>
      </w:tr>
      <w:tr w:rsidR="006A2612" w:rsidRPr="008B59F0" w14:paraId="63467A9A" w14:textId="77777777" w:rsidTr="006A2612">
        <w:trPr>
          <w:trHeight w:val="384"/>
        </w:trPr>
        <w:tc>
          <w:tcPr>
            <w:tcW w:w="2222" w:type="dxa"/>
            <w:vAlign w:val="bottom"/>
          </w:tcPr>
          <w:p w14:paraId="788C0A2C"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14.641</w:t>
            </w:r>
          </w:p>
        </w:tc>
        <w:tc>
          <w:tcPr>
            <w:tcW w:w="2222" w:type="dxa"/>
          </w:tcPr>
          <w:p w14:paraId="2F6F2941"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H3</w:t>
            </w:r>
          </w:p>
        </w:tc>
        <w:tc>
          <w:tcPr>
            <w:tcW w:w="2222" w:type="dxa"/>
            <w:vAlign w:val="bottom"/>
          </w:tcPr>
          <w:p w14:paraId="568E7269"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890155</w:t>
            </w:r>
          </w:p>
        </w:tc>
        <w:tc>
          <w:tcPr>
            <w:tcW w:w="2222" w:type="dxa"/>
            <w:vAlign w:val="bottom"/>
          </w:tcPr>
          <w:p w14:paraId="31C81125"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1.438</w:t>
            </w:r>
          </w:p>
        </w:tc>
      </w:tr>
      <w:tr w:rsidR="006A2612" w:rsidRPr="008B59F0" w14:paraId="4A84F1B0" w14:textId="77777777" w:rsidTr="006A2612">
        <w:trPr>
          <w:trHeight w:val="464"/>
        </w:trPr>
        <w:tc>
          <w:tcPr>
            <w:tcW w:w="2222" w:type="dxa"/>
          </w:tcPr>
          <w:p w14:paraId="21DA4EB2" w14:textId="77777777" w:rsidR="006A2612" w:rsidRPr="008B59F0" w:rsidRDefault="006A2612" w:rsidP="006A2612">
            <w:pPr>
              <w:rPr>
                <w:rFonts w:ascii="Arial" w:eastAsia="Times New Roman" w:hAnsi="Arial" w:cs="Arial"/>
                <w:color w:val="000000" w:themeColor="dark1"/>
                <w:kern w:val="24"/>
                <w:sz w:val="24"/>
                <w:szCs w:val="24"/>
              </w:rPr>
            </w:pPr>
          </w:p>
          <w:p w14:paraId="4F09D9F4"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Total</w:t>
            </w:r>
          </w:p>
        </w:tc>
        <w:tc>
          <w:tcPr>
            <w:tcW w:w="2222" w:type="dxa"/>
          </w:tcPr>
          <w:p w14:paraId="47FB56EF" w14:textId="77777777" w:rsidR="006A2612" w:rsidRPr="008B59F0" w:rsidRDefault="006A2612" w:rsidP="006A2612">
            <w:pPr>
              <w:rPr>
                <w:rFonts w:ascii="Arial" w:eastAsia="Times New Roman" w:hAnsi="Arial" w:cs="Arial"/>
                <w:sz w:val="24"/>
                <w:szCs w:val="24"/>
              </w:rPr>
            </w:pPr>
          </w:p>
        </w:tc>
        <w:tc>
          <w:tcPr>
            <w:tcW w:w="2222" w:type="dxa"/>
            <w:vAlign w:val="bottom"/>
          </w:tcPr>
          <w:p w14:paraId="1042DAE1" w14:textId="77777777" w:rsidR="006A2612" w:rsidRPr="008B59F0" w:rsidRDefault="006A2612" w:rsidP="006A2612">
            <w:pPr>
              <w:textAlignment w:val="bottom"/>
              <w:rPr>
                <w:rFonts w:ascii="Arial" w:eastAsia="Times New Roman" w:hAnsi="Arial" w:cs="Arial"/>
                <w:sz w:val="24"/>
                <w:szCs w:val="24"/>
              </w:rPr>
            </w:pPr>
            <w:r w:rsidRPr="008B59F0">
              <w:rPr>
                <w:rFonts w:ascii="Arial" w:eastAsia="Times New Roman" w:hAnsi="Arial" w:cs="Arial"/>
                <w:color w:val="000000"/>
                <w:kern w:val="24"/>
                <w:sz w:val="24"/>
                <w:szCs w:val="24"/>
              </w:rPr>
              <w:t>61896131</w:t>
            </w:r>
          </w:p>
        </w:tc>
        <w:tc>
          <w:tcPr>
            <w:tcW w:w="2222" w:type="dxa"/>
          </w:tcPr>
          <w:p w14:paraId="6FD3AB39" w14:textId="77777777" w:rsidR="006A2612" w:rsidRPr="008B59F0" w:rsidRDefault="006A2612" w:rsidP="006A2612">
            <w:pPr>
              <w:rPr>
                <w:rFonts w:ascii="Arial" w:eastAsia="Times New Roman" w:hAnsi="Arial" w:cs="Arial"/>
                <w:color w:val="000000" w:themeColor="dark1"/>
                <w:kern w:val="24"/>
                <w:sz w:val="24"/>
                <w:szCs w:val="24"/>
              </w:rPr>
            </w:pPr>
          </w:p>
          <w:p w14:paraId="265CA078" w14:textId="77777777" w:rsidR="006A2612" w:rsidRPr="008B59F0" w:rsidRDefault="006A2612" w:rsidP="006A2612">
            <w:pPr>
              <w:rPr>
                <w:rFonts w:ascii="Arial" w:eastAsia="Times New Roman" w:hAnsi="Arial" w:cs="Arial"/>
                <w:sz w:val="24"/>
                <w:szCs w:val="24"/>
              </w:rPr>
            </w:pPr>
            <w:r w:rsidRPr="008B59F0">
              <w:rPr>
                <w:rFonts w:ascii="Arial" w:eastAsia="Times New Roman" w:hAnsi="Arial" w:cs="Arial"/>
                <w:color w:val="000000" w:themeColor="dark1"/>
                <w:kern w:val="24"/>
                <w:sz w:val="24"/>
                <w:szCs w:val="24"/>
              </w:rPr>
              <w:t>100.000</w:t>
            </w:r>
          </w:p>
        </w:tc>
      </w:tr>
    </w:tbl>
    <w:p w14:paraId="6938BB76" w14:textId="77777777" w:rsidR="00A47B18" w:rsidRPr="008B59F0" w:rsidRDefault="00A47B18">
      <w:pPr>
        <w:rPr>
          <w:rFonts w:ascii="Arial" w:hAnsi="Arial" w:cs="Arial"/>
          <w:b/>
          <w:sz w:val="24"/>
          <w:szCs w:val="24"/>
        </w:rPr>
      </w:pPr>
      <w:r w:rsidRPr="008B59F0">
        <w:rPr>
          <w:rFonts w:ascii="Arial" w:hAnsi="Arial" w:cs="Arial"/>
          <w:b/>
          <w:sz w:val="24"/>
          <w:szCs w:val="24"/>
        </w:rPr>
        <w:br w:type="page"/>
      </w:r>
    </w:p>
    <w:p w14:paraId="041A14A2" w14:textId="4F88E344" w:rsidR="006A2612" w:rsidRPr="008B59F0" w:rsidRDefault="00A47B18" w:rsidP="00A4085F">
      <w:pPr>
        <w:spacing w:line="480" w:lineRule="auto"/>
        <w:rPr>
          <w:rFonts w:ascii="Arial" w:hAnsi="Arial" w:cs="Arial"/>
          <w:b/>
        </w:rPr>
      </w:pPr>
      <w:r w:rsidRPr="008B59F0">
        <w:rPr>
          <w:rFonts w:ascii="Arial" w:hAnsi="Arial" w:cs="Arial"/>
          <w:b/>
        </w:rPr>
        <w:lastRenderedPageBreak/>
        <w:t xml:space="preserve">Table </w:t>
      </w:r>
      <w:r w:rsidR="006A2612" w:rsidRPr="008B59F0">
        <w:rPr>
          <w:rFonts w:ascii="Arial" w:hAnsi="Arial" w:cs="Arial"/>
          <w:b/>
        </w:rPr>
        <w:t xml:space="preserve">S3. </w:t>
      </w:r>
      <w:r w:rsidR="006A2612" w:rsidRPr="008B59F0">
        <w:rPr>
          <w:rFonts w:ascii="Arial" w:hAnsi="Arial" w:cs="Arial"/>
        </w:rPr>
        <w:t>Individual DAR components as determined by Hydrophobic Interaction Chromatography showing percentage of each fraction occupying total area under curve at 214 nm</w:t>
      </w:r>
    </w:p>
    <w:tbl>
      <w:tblPr>
        <w:tblStyle w:val="TableGrid2"/>
        <w:tblW w:w="9499" w:type="dxa"/>
        <w:tblLook w:val="04A0" w:firstRow="1" w:lastRow="0" w:firstColumn="1" w:lastColumn="0" w:noHBand="0" w:noVBand="1"/>
      </w:tblPr>
      <w:tblGrid>
        <w:gridCol w:w="3166"/>
        <w:gridCol w:w="3166"/>
        <w:gridCol w:w="3167"/>
      </w:tblGrid>
      <w:tr w:rsidR="006A2612" w:rsidRPr="008B59F0" w14:paraId="5405CA5B" w14:textId="77777777" w:rsidTr="006A2612">
        <w:trPr>
          <w:trHeight w:val="707"/>
        </w:trPr>
        <w:tc>
          <w:tcPr>
            <w:tcW w:w="3166" w:type="dxa"/>
            <w:hideMark/>
          </w:tcPr>
          <w:p w14:paraId="779646DE" w14:textId="77777777" w:rsidR="006A2612" w:rsidRPr="008B59F0" w:rsidRDefault="006A2612" w:rsidP="006A2612">
            <w:pPr>
              <w:rPr>
                <w:rFonts w:ascii="Arial" w:eastAsia="Times New Roman" w:hAnsi="Arial" w:cs="Arial"/>
                <w:color w:val="000000" w:themeColor="text1"/>
              </w:rPr>
            </w:pPr>
            <w:r w:rsidRPr="008B59F0">
              <w:rPr>
                <w:rFonts w:ascii="Arial" w:eastAsia="Times New Roman" w:hAnsi="Arial" w:cs="Arial"/>
                <w:b/>
                <w:bCs/>
                <w:color w:val="000000" w:themeColor="text1"/>
                <w:kern w:val="24"/>
              </w:rPr>
              <w:t>Retention Time (min)</w:t>
            </w:r>
          </w:p>
        </w:tc>
        <w:tc>
          <w:tcPr>
            <w:tcW w:w="3166" w:type="dxa"/>
            <w:hideMark/>
          </w:tcPr>
          <w:p w14:paraId="5B299F71" w14:textId="77777777" w:rsidR="006A2612" w:rsidRPr="008B59F0" w:rsidRDefault="006A2612" w:rsidP="006A2612">
            <w:pPr>
              <w:rPr>
                <w:rFonts w:ascii="Arial" w:eastAsia="Times New Roman" w:hAnsi="Arial" w:cs="Arial"/>
                <w:color w:val="000000" w:themeColor="text1"/>
              </w:rPr>
            </w:pPr>
            <w:r w:rsidRPr="008B59F0">
              <w:rPr>
                <w:rFonts w:ascii="Arial" w:eastAsia="Times New Roman" w:hAnsi="Arial" w:cs="Arial"/>
                <w:b/>
                <w:bCs/>
                <w:color w:val="000000" w:themeColor="text1"/>
                <w:kern w:val="24"/>
              </w:rPr>
              <w:t>Designation</w:t>
            </w:r>
          </w:p>
        </w:tc>
        <w:tc>
          <w:tcPr>
            <w:tcW w:w="3167" w:type="dxa"/>
            <w:hideMark/>
          </w:tcPr>
          <w:p w14:paraId="66D6A85C" w14:textId="77777777" w:rsidR="006A2612" w:rsidRPr="008B59F0" w:rsidRDefault="006A2612" w:rsidP="006A2612">
            <w:pPr>
              <w:rPr>
                <w:rFonts w:ascii="Arial" w:eastAsia="Times New Roman" w:hAnsi="Arial" w:cs="Arial"/>
                <w:color w:val="000000" w:themeColor="text1"/>
              </w:rPr>
            </w:pPr>
            <w:r w:rsidRPr="008B59F0">
              <w:rPr>
                <w:rFonts w:ascii="Arial" w:eastAsia="Times New Roman" w:hAnsi="Arial" w:cs="Arial"/>
                <w:b/>
                <w:bCs/>
                <w:color w:val="000000" w:themeColor="text1"/>
                <w:kern w:val="24"/>
              </w:rPr>
              <w:t>% Area</w:t>
            </w:r>
            <w:r w:rsidRPr="008B59F0">
              <w:rPr>
                <w:rFonts w:ascii="Arial" w:eastAsia="Times New Roman" w:hAnsi="Arial" w:cs="Arial"/>
                <w:b/>
                <w:bCs/>
                <w:color w:val="000000" w:themeColor="text1"/>
                <w:kern w:val="24"/>
                <w:position w:val="-6"/>
                <w:vertAlign w:val="subscript"/>
              </w:rPr>
              <w:t>214nm</w:t>
            </w:r>
          </w:p>
        </w:tc>
      </w:tr>
      <w:tr w:rsidR="006A2612" w:rsidRPr="008B59F0" w14:paraId="117A3789" w14:textId="77777777" w:rsidTr="006A2612">
        <w:trPr>
          <w:trHeight w:val="573"/>
        </w:trPr>
        <w:tc>
          <w:tcPr>
            <w:tcW w:w="3166" w:type="dxa"/>
            <w:hideMark/>
          </w:tcPr>
          <w:p w14:paraId="7D30E557"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4.71</w:t>
            </w:r>
          </w:p>
        </w:tc>
        <w:tc>
          <w:tcPr>
            <w:tcW w:w="3166" w:type="dxa"/>
            <w:hideMark/>
          </w:tcPr>
          <w:p w14:paraId="57DB241A"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DAR 0</w:t>
            </w:r>
          </w:p>
        </w:tc>
        <w:tc>
          <w:tcPr>
            <w:tcW w:w="3167" w:type="dxa"/>
            <w:hideMark/>
          </w:tcPr>
          <w:p w14:paraId="0D04F00F"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18.80</w:t>
            </w:r>
          </w:p>
        </w:tc>
      </w:tr>
      <w:tr w:rsidR="006A2612" w:rsidRPr="008B59F0" w14:paraId="33FF87A9" w14:textId="77777777" w:rsidTr="006A2612">
        <w:trPr>
          <w:trHeight w:val="555"/>
        </w:trPr>
        <w:tc>
          <w:tcPr>
            <w:tcW w:w="3166" w:type="dxa"/>
            <w:hideMark/>
          </w:tcPr>
          <w:p w14:paraId="18B12C35"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5.15</w:t>
            </w:r>
          </w:p>
        </w:tc>
        <w:tc>
          <w:tcPr>
            <w:tcW w:w="3166" w:type="dxa"/>
            <w:hideMark/>
          </w:tcPr>
          <w:p w14:paraId="5FF9B1E3"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DAR 1</w:t>
            </w:r>
          </w:p>
        </w:tc>
        <w:tc>
          <w:tcPr>
            <w:tcW w:w="3167" w:type="dxa"/>
            <w:hideMark/>
          </w:tcPr>
          <w:p w14:paraId="092A39FE"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3.41</w:t>
            </w:r>
          </w:p>
        </w:tc>
      </w:tr>
      <w:tr w:rsidR="006A2612" w:rsidRPr="008B59F0" w14:paraId="7C828DE0" w14:textId="77777777" w:rsidTr="006A2612">
        <w:trPr>
          <w:trHeight w:val="555"/>
        </w:trPr>
        <w:tc>
          <w:tcPr>
            <w:tcW w:w="3166" w:type="dxa"/>
            <w:hideMark/>
          </w:tcPr>
          <w:p w14:paraId="6D0435AF"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6.71</w:t>
            </w:r>
          </w:p>
        </w:tc>
        <w:tc>
          <w:tcPr>
            <w:tcW w:w="3166" w:type="dxa"/>
            <w:hideMark/>
          </w:tcPr>
          <w:p w14:paraId="558C6BDD"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DAR 2</w:t>
            </w:r>
          </w:p>
        </w:tc>
        <w:tc>
          <w:tcPr>
            <w:tcW w:w="3167" w:type="dxa"/>
            <w:hideMark/>
          </w:tcPr>
          <w:p w14:paraId="0712EFB4"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50.43</w:t>
            </w:r>
          </w:p>
        </w:tc>
      </w:tr>
      <w:tr w:rsidR="006A2612" w:rsidRPr="008B59F0" w14:paraId="48D4C0D5" w14:textId="77777777" w:rsidTr="006A2612">
        <w:trPr>
          <w:trHeight w:val="555"/>
        </w:trPr>
        <w:tc>
          <w:tcPr>
            <w:tcW w:w="3166" w:type="dxa"/>
            <w:hideMark/>
          </w:tcPr>
          <w:p w14:paraId="3789C123"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8.43</w:t>
            </w:r>
          </w:p>
        </w:tc>
        <w:tc>
          <w:tcPr>
            <w:tcW w:w="3166" w:type="dxa"/>
            <w:hideMark/>
          </w:tcPr>
          <w:p w14:paraId="3AC331CF"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DAR 4</w:t>
            </w:r>
          </w:p>
        </w:tc>
        <w:tc>
          <w:tcPr>
            <w:tcW w:w="3167" w:type="dxa"/>
            <w:hideMark/>
          </w:tcPr>
          <w:p w14:paraId="6D5AA0B9"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24.71</w:t>
            </w:r>
          </w:p>
        </w:tc>
      </w:tr>
      <w:tr w:rsidR="006A2612" w:rsidRPr="008B59F0" w14:paraId="786B6B97" w14:textId="77777777" w:rsidTr="006A2612">
        <w:trPr>
          <w:trHeight w:val="555"/>
        </w:trPr>
        <w:tc>
          <w:tcPr>
            <w:tcW w:w="3166" w:type="dxa"/>
            <w:hideMark/>
          </w:tcPr>
          <w:p w14:paraId="24F68D50"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9.60</w:t>
            </w:r>
          </w:p>
        </w:tc>
        <w:tc>
          <w:tcPr>
            <w:tcW w:w="3166" w:type="dxa"/>
            <w:hideMark/>
          </w:tcPr>
          <w:p w14:paraId="2197F90D"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DAR 6</w:t>
            </w:r>
          </w:p>
        </w:tc>
        <w:tc>
          <w:tcPr>
            <w:tcW w:w="3167" w:type="dxa"/>
            <w:hideMark/>
          </w:tcPr>
          <w:p w14:paraId="5E3A2A08" w14:textId="77777777" w:rsidR="006A2612" w:rsidRPr="008B59F0" w:rsidRDefault="006A2612" w:rsidP="006A2612">
            <w:pPr>
              <w:rPr>
                <w:rFonts w:ascii="Arial" w:eastAsia="Times New Roman" w:hAnsi="Arial" w:cs="Arial"/>
              </w:rPr>
            </w:pPr>
            <w:r w:rsidRPr="008B59F0">
              <w:rPr>
                <w:rFonts w:ascii="Arial" w:eastAsia="Times New Roman" w:hAnsi="Arial" w:cs="Arial"/>
                <w:color w:val="000000" w:themeColor="dark1"/>
                <w:kern w:val="24"/>
              </w:rPr>
              <w:t>2.65</w:t>
            </w:r>
          </w:p>
        </w:tc>
      </w:tr>
      <w:tr w:rsidR="006A2612" w:rsidRPr="006A2612" w14:paraId="2228C0BD" w14:textId="77777777" w:rsidTr="006A2612">
        <w:trPr>
          <w:trHeight w:val="555"/>
        </w:trPr>
        <w:tc>
          <w:tcPr>
            <w:tcW w:w="3166" w:type="dxa"/>
            <w:hideMark/>
          </w:tcPr>
          <w:p w14:paraId="4C0B7545" w14:textId="77777777" w:rsidR="006A2612" w:rsidRPr="008B59F0" w:rsidRDefault="006A2612" w:rsidP="006A2612">
            <w:pPr>
              <w:rPr>
                <w:rFonts w:ascii="Arial" w:eastAsia="Times New Roman" w:hAnsi="Arial" w:cs="Arial"/>
              </w:rPr>
            </w:pPr>
            <w:r w:rsidRPr="008B59F0">
              <w:rPr>
                <w:rFonts w:ascii="Arial" w:eastAsia="Times New Roman" w:hAnsi="Arial" w:cs="Arial"/>
              </w:rPr>
              <w:t xml:space="preserve">Total </w:t>
            </w:r>
          </w:p>
        </w:tc>
        <w:tc>
          <w:tcPr>
            <w:tcW w:w="3166" w:type="dxa"/>
            <w:hideMark/>
          </w:tcPr>
          <w:p w14:paraId="6E9EA3D1" w14:textId="77777777" w:rsidR="006A2612" w:rsidRPr="008B59F0" w:rsidRDefault="006A2612" w:rsidP="006A2612">
            <w:pPr>
              <w:rPr>
                <w:rFonts w:ascii="Arial" w:eastAsia="Times New Roman" w:hAnsi="Arial" w:cs="Arial"/>
              </w:rPr>
            </w:pPr>
          </w:p>
        </w:tc>
        <w:tc>
          <w:tcPr>
            <w:tcW w:w="3167" w:type="dxa"/>
            <w:hideMark/>
          </w:tcPr>
          <w:p w14:paraId="56FF7B44" w14:textId="77777777" w:rsidR="006A2612" w:rsidRPr="006A2612" w:rsidRDefault="006A2612" w:rsidP="006A2612">
            <w:pPr>
              <w:rPr>
                <w:rFonts w:ascii="Arial" w:eastAsia="Times New Roman" w:hAnsi="Arial" w:cs="Arial"/>
              </w:rPr>
            </w:pPr>
            <w:r w:rsidRPr="008B59F0">
              <w:rPr>
                <w:rFonts w:ascii="Arial" w:eastAsia="Times New Roman" w:hAnsi="Arial" w:cs="Arial"/>
                <w:color w:val="000000" w:themeColor="dark1"/>
                <w:kern w:val="24"/>
              </w:rPr>
              <w:t>100.00</w:t>
            </w:r>
            <w:bookmarkStart w:id="0" w:name="_GoBack"/>
            <w:bookmarkEnd w:id="0"/>
          </w:p>
        </w:tc>
      </w:tr>
    </w:tbl>
    <w:p w14:paraId="6E2A9148" w14:textId="41B6DED1" w:rsidR="005214E6" w:rsidRPr="001A0556" w:rsidRDefault="005214E6" w:rsidP="001A0556">
      <w:pPr>
        <w:rPr>
          <w:rFonts w:ascii="Arial" w:hAnsi="Arial" w:cs="Arial"/>
          <w:b/>
        </w:rPr>
      </w:pPr>
    </w:p>
    <w:sectPr w:rsidR="005214E6" w:rsidRPr="001A05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4C13C" w14:textId="77777777" w:rsidR="006A7DE6" w:rsidRDefault="006A7DE6" w:rsidP="001A0556">
      <w:pPr>
        <w:spacing w:after="0" w:line="240" w:lineRule="auto"/>
      </w:pPr>
      <w:r>
        <w:separator/>
      </w:r>
    </w:p>
  </w:endnote>
  <w:endnote w:type="continuationSeparator" w:id="0">
    <w:p w14:paraId="63FBB005" w14:textId="77777777" w:rsidR="006A7DE6" w:rsidRDefault="006A7DE6" w:rsidP="001A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5F969" w14:textId="77777777" w:rsidR="006A7DE6" w:rsidRDefault="006A7DE6" w:rsidP="001A0556">
      <w:pPr>
        <w:spacing w:after="0" w:line="240" w:lineRule="auto"/>
      </w:pPr>
      <w:r>
        <w:separator/>
      </w:r>
    </w:p>
  </w:footnote>
  <w:footnote w:type="continuationSeparator" w:id="0">
    <w:p w14:paraId="7B7A6AF2" w14:textId="77777777" w:rsidR="006A7DE6" w:rsidRDefault="006A7DE6" w:rsidP="001A0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0A96"/>
    <w:multiLevelType w:val="hybridMultilevel"/>
    <w:tmpl w:val="53A67546"/>
    <w:lvl w:ilvl="0" w:tplc="173E0A4C">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35C15"/>
    <w:multiLevelType w:val="hybridMultilevel"/>
    <w:tmpl w:val="9AAA1CBA"/>
    <w:lvl w:ilvl="0" w:tplc="7F7C60C2">
      <w:start w:val="1"/>
      <w:numFmt w:val="upperLetter"/>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A44E7"/>
    <w:multiLevelType w:val="hybridMultilevel"/>
    <w:tmpl w:val="05085596"/>
    <w:lvl w:ilvl="0" w:tplc="C0BC625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6F174A"/>
    <w:multiLevelType w:val="hybridMultilevel"/>
    <w:tmpl w:val="DDB61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C4304"/>
    <w:multiLevelType w:val="hybridMultilevel"/>
    <w:tmpl w:val="337C93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112C41"/>
    <w:multiLevelType w:val="hybridMultilevel"/>
    <w:tmpl w:val="A44C9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1561C0"/>
    <w:multiLevelType w:val="hybridMultilevel"/>
    <w:tmpl w:val="0A0A9B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0022AC"/>
    <w:multiLevelType w:val="hybridMultilevel"/>
    <w:tmpl w:val="F51CD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18"/>
    <w:rsid w:val="00036E71"/>
    <w:rsid w:val="00091359"/>
    <w:rsid w:val="000A4812"/>
    <w:rsid w:val="00106B3C"/>
    <w:rsid w:val="00141F51"/>
    <w:rsid w:val="0019712B"/>
    <w:rsid w:val="001A0556"/>
    <w:rsid w:val="001D758F"/>
    <w:rsid w:val="00236BB8"/>
    <w:rsid w:val="00241B60"/>
    <w:rsid w:val="00241E10"/>
    <w:rsid w:val="003324AC"/>
    <w:rsid w:val="003716DC"/>
    <w:rsid w:val="00371B82"/>
    <w:rsid w:val="003961F9"/>
    <w:rsid w:val="003D6749"/>
    <w:rsid w:val="003D6901"/>
    <w:rsid w:val="004816E7"/>
    <w:rsid w:val="004D34D8"/>
    <w:rsid w:val="0051316E"/>
    <w:rsid w:val="005214E6"/>
    <w:rsid w:val="00574113"/>
    <w:rsid w:val="005B2691"/>
    <w:rsid w:val="005E4A5B"/>
    <w:rsid w:val="00620746"/>
    <w:rsid w:val="006A0B61"/>
    <w:rsid w:val="006A2612"/>
    <w:rsid w:val="006A7DE6"/>
    <w:rsid w:val="006B4C3C"/>
    <w:rsid w:val="00723CB9"/>
    <w:rsid w:val="007406AA"/>
    <w:rsid w:val="00766DD2"/>
    <w:rsid w:val="007847D2"/>
    <w:rsid w:val="00835F56"/>
    <w:rsid w:val="00854E96"/>
    <w:rsid w:val="008656CE"/>
    <w:rsid w:val="00872E80"/>
    <w:rsid w:val="008915FA"/>
    <w:rsid w:val="008B438B"/>
    <w:rsid w:val="008B59F0"/>
    <w:rsid w:val="008D6775"/>
    <w:rsid w:val="00900C45"/>
    <w:rsid w:val="0090542E"/>
    <w:rsid w:val="00913722"/>
    <w:rsid w:val="00914ADE"/>
    <w:rsid w:val="00920D99"/>
    <w:rsid w:val="009A12BF"/>
    <w:rsid w:val="009D4CF2"/>
    <w:rsid w:val="00A27071"/>
    <w:rsid w:val="00A4085F"/>
    <w:rsid w:val="00A47B18"/>
    <w:rsid w:val="00A506A5"/>
    <w:rsid w:val="00A9084A"/>
    <w:rsid w:val="00AD57FC"/>
    <w:rsid w:val="00AE2C81"/>
    <w:rsid w:val="00B10EA7"/>
    <w:rsid w:val="00B328EF"/>
    <w:rsid w:val="00B41462"/>
    <w:rsid w:val="00B90DE6"/>
    <w:rsid w:val="00B95137"/>
    <w:rsid w:val="00BB7F66"/>
    <w:rsid w:val="00C14E80"/>
    <w:rsid w:val="00C355AB"/>
    <w:rsid w:val="00CA4BD7"/>
    <w:rsid w:val="00CC1A4D"/>
    <w:rsid w:val="00CC46A0"/>
    <w:rsid w:val="00D001C0"/>
    <w:rsid w:val="00D3029D"/>
    <w:rsid w:val="00D80796"/>
    <w:rsid w:val="00DC0011"/>
    <w:rsid w:val="00DE3E7B"/>
    <w:rsid w:val="00E53B28"/>
    <w:rsid w:val="00EC4A4A"/>
    <w:rsid w:val="00ED1938"/>
    <w:rsid w:val="00ED756A"/>
    <w:rsid w:val="00F603DE"/>
    <w:rsid w:val="00F67592"/>
    <w:rsid w:val="00F820C8"/>
    <w:rsid w:val="00FD339C"/>
    <w:rsid w:val="00FF1BBE"/>
    <w:rsid w:val="00FF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4D51"/>
  <w15:docId w15:val="{FACA9C0B-088D-43C5-AE28-60713D6B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18"/>
    <w:rPr>
      <w:rFonts w:ascii="Tahoma" w:hAnsi="Tahoma" w:cs="Tahoma"/>
      <w:sz w:val="16"/>
      <w:szCs w:val="16"/>
    </w:rPr>
  </w:style>
  <w:style w:type="table" w:styleId="TableGrid">
    <w:name w:val="Table Grid"/>
    <w:basedOn w:val="TableNormal"/>
    <w:uiPriority w:val="59"/>
    <w:rsid w:val="006A2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2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2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612"/>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913722"/>
    <w:rPr>
      <w:sz w:val="16"/>
      <w:szCs w:val="16"/>
    </w:rPr>
  </w:style>
  <w:style w:type="paragraph" w:styleId="CommentText">
    <w:name w:val="annotation text"/>
    <w:basedOn w:val="Normal"/>
    <w:link w:val="CommentTextChar"/>
    <w:uiPriority w:val="99"/>
    <w:semiHidden/>
    <w:unhideWhenUsed/>
    <w:rsid w:val="00913722"/>
    <w:pPr>
      <w:spacing w:line="240" w:lineRule="auto"/>
    </w:pPr>
    <w:rPr>
      <w:sz w:val="20"/>
      <w:szCs w:val="20"/>
    </w:rPr>
  </w:style>
  <w:style w:type="character" w:customStyle="1" w:styleId="CommentTextChar">
    <w:name w:val="Comment Text Char"/>
    <w:basedOn w:val="DefaultParagraphFont"/>
    <w:link w:val="CommentText"/>
    <w:uiPriority w:val="99"/>
    <w:semiHidden/>
    <w:rsid w:val="00913722"/>
    <w:rPr>
      <w:sz w:val="20"/>
      <w:szCs w:val="20"/>
    </w:rPr>
  </w:style>
  <w:style w:type="paragraph" w:styleId="CommentSubject">
    <w:name w:val="annotation subject"/>
    <w:basedOn w:val="CommentText"/>
    <w:next w:val="CommentText"/>
    <w:link w:val="CommentSubjectChar"/>
    <w:uiPriority w:val="99"/>
    <w:semiHidden/>
    <w:unhideWhenUsed/>
    <w:rsid w:val="00913722"/>
    <w:rPr>
      <w:b/>
      <w:bCs/>
    </w:rPr>
  </w:style>
  <w:style w:type="character" w:customStyle="1" w:styleId="CommentSubjectChar">
    <w:name w:val="Comment Subject Char"/>
    <w:basedOn w:val="CommentTextChar"/>
    <w:link w:val="CommentSubject"/>
    <w:uiPriority w:val="99"/>
    <w:semiHidden/>
    <w:rsid w:val="00913722"/>
    <w:rPr>
      <w:b/>
      <w:bCs/>
      <w:sz w:val="20"/>
      <w:szCs w:val="20"/>
    </w:rPr>
  </w:style>
  <w:style w:type="paragraph" w:styleId="NormalWeb">
    <w:name w:val="Normal (Web)"/>
    <w:basedOn w:val="Normal"/>
    <w:uiPriority w:val="99"/>
    <w:semiHidden/>
    <w:unhideWhenUsed/>
    <w:rsid w:val="009D4CF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A0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56"/>
  </w:style>
  <w:style w:type="paragraph" w:styleId="Footer">
    <w:name w:val="footer"/>
    <w:basedOn w:val="Normal"/>
    <w:link w:val="FooterChar"/>
    <w:uiPriority w:val="99"/>
    <w:unhideWhenUsed/>
    <w:rsid w:val="001A0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Flynn</dc:creator>
  <cp:lastModifiedBy>Flynn, Michael</cp:lastModifiedBy>
  <cp:revision>2</cp:revision>
  <dcterms:created xsi:type="dcterms:W3CDTF">2016-07-21T18:11:00Z</dcterms:created>
  <dcterms:modified xsi:type="dcterms:W3CDTF">2016-07-21T18:11:00Z</dcterms:modified>
</cp:coreProperties>
</file>