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83C5F" w14:textId="3206DD18" w:rsidR="003B26CD" w:rsidRDefault="003B26CD" w:rsidP="003B26CD">
      <w:pPr>
        <w:pStyle w:val="Default"/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Supplementary </w:t>
      </w:r>
      <w:r w:rsidR="00D20C9E">
        <w:rPr>
          <w:b/>
          <w:bCs/>
          <w:lang w:val="en-US"/>
        </w:rPr>
        <w:t>Tables</w:t>
      </w:r>
    </w:p>
    <w:p w14:paraId="53F0D024" w14:textId="77777777" w:rsidR="003B26CD" w:rsidRDefault="003B26CD" w:rsidP="003B26CD">
      <w:pPr>
        <w:pStyle w:val="Default"/>
        <w:spacing w:line="480" w:lineRule="auto"/>
        <w:rPr>
          <w:b/>
          <w:bCs/>
          <w:lang w:val="en-US"/>
        </w:rPr>
      </w:pPr>
    </w:p>
    <w:p w14:paraId="586DE7CB" w14:textId="353C086E" w:rsidR="008E19B5" w:rsidRDefault="003B26CD" w:rsidP="003B26CD">
      <w:pPr>
        <w:pStyle w:val="Default"/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Suppl. </w:t>
      </w:r>
      <w:r w:rsidR="00FB1738">
        <w:rPr>
          <w:b/>
          <w:bCs/>
          <w:lang w:val="en-US"/>
        </w:rPr>
        <w:t>Table 1</w:t>
      </w:r>
      <w:r>
        <w:rPr>
          <w:b/>
          <w:bCs/>
          <w:lang w:val="en-US"/>
        </w:rPr>
        <w:t xml:space="preserve">. </w:t>
      </w:r>
      <w:r w:rsidR="008E19B5">
        <w:rPr>
          <w:b/>
          <w:bCs/>
          <w:lang w:val="en-US"/>
        </w:rPr>
        <w:t xml:space="preserve">Binding mode of </w:t>
      </w:r>
      <w:proofErr w:type="spellStart"/>
      <w:r w:rsidR="008E19B5">
        <w:rPr>
          <w:b/>
          <w:bCs/>
          <w:lang w:val="en-US"/>
        </w:rPr>
        <w:t>Debio</w:t>
      </w:r>
      <w:proofErr w:type="spellEnd"/>
      <w:r w:rsidR="008E19B5">
        <w:rPr>
          <w:b/>
          <w:bCs/>
          <w:lang w:val="en-US"/>
        </w:rPr>
        <w:t xml:space="preserve"> 0617B to ABL</w:t>
      </w:r>
      <w:r w:rsidR="00EC11F2">
        <w:rPr>
          <w:b/>
          <w:bCs/>
          <w:lang w:val="en-US"/>
        </w:rPr>
        <w:t>.</w:t>
      </w:r>
    </w:p>
    <w:p w14:paraId="0B62341C" w14:textId="4052C740" w:rsidR="000E6E6C" w:rsidRDefault="000E6E6C" w:rsidP="00CD2421">
      <w:pPr>
        <w:autoSpaceDE w:val="0"/>
        <w:autoSpaceDN w:val="0"/>
        <w:adjustRightInd w:val="0"/>
        <w:spacing w:after="0" w:line="480" w:lineRule="auto"/>
        <w:jc w:val="both"/>
        <w:rPr>
          <w:bCs/>
          <w:lang w:val="en-US"/>
        </w:rPr>
      </w:pPr>
      <w:proofErr w:type="spellStart"/>
      <w:r w:rsidRPr="000E6E6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fr-FR"/>
        </w:rPr>
        <w:t>Kd</w:t>
      </w:r>
      <w:proofErr w:type="spellEnd"/>
      <w:r w:rsidRPr="000E6E6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fr-FR"/>
        </w:rPr>
        <w:t xml:space="preserve"> were determined in duplicate in phosphorylated and non-phosphorylated forms of ABL kinase.  The active site binding of type I inhibitors typically are not sensitive to phosphorylation of the activation loop, thus there should be little to no offset in </w:t>
      </w:r>
      <w:proofErr w:type="spellStart"/>
      <w:r w:rsidRPr="000E6E6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fr-FR"/>
        </w:rPr>
        <w:t>Kd</w:t>
      </w:r>
      <w:proofErr w:type="spellEnd"/>
      <w:r w:rsidRPr="000E6E6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fr-FR"/>
        </w:rPr>
        <w:t xml:space="preserve"> measurements between phosphorylated and non-phosphorylated versions of ABL1 in this system. A compound displaying a type II inhibitor binding would show strong offsets in </w:t>
      </w:r>
      <w:proofErr w:type="spellStart"/>
      <w:r w:rsidRPr="000E6E6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fr-FR"/>
        </w:rPr>
        <w:t>Kd</w:t>
      </w:r>
      <w:proofErr w:type="spellEnd"/>
      <w:r w:rsidRPr="000E6E6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fr-FR"/>
        </w:rPr>
        <w:t xml:space="preserve"> measurements (at least </w:t>
      </w:r>
      <w:r w:rsidR="00D728D4" w:rsidRPr="000E6E6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fr-FR"/>
        </w:rPr>
        <w:t>10-fold</w:t>
      </w:r>
      <w:r w:rsidRPr="000E6E6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fr-FR"/>
        </w:rPr>
        <w:t xml:space="preserve"> preference for non-phosphorylated) for most, if not the entire, suite of ABL1 activation state specific assay pairs. The modest </w:t>
      </w:r>
      <w:proofErr w:type="spellStart"/>
      <w:r w:rsidRPr="000E6E6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fr-FR"/>
        </w:rPr>
        <w:t>Kd</w:t>
      </w:r>
      <w:proofErr w:type="spellEnd"/>
      <w:r w:rsidRPr="000E6E6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fr-FR"/>
        </w:rPr>
        <w:t xml:space="preserve"> offset (~7-fold) observed for one assay pair (ABL1(T315I)) is the sole outlier; however, this is not uncommon as some type I inhibitors can show similar small offsets for a subset of the assay pairs tested (</w:t>
      </w:r>
      <w:r w:rsidR="00535BA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fr-FR"/>
        </w:rPr>
        <w:t>38</w:t>
      </w:r>
      <w:r w:rsidRPr="000E6E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).</w:t>
      </w:r>
    </w:p>
    <w:p w14:paraId="5FBC1CD4" w14:textId="77777777" w:rsidR="00EF735B" w:rsidRDefault="00EF735B" w:rsidP="003B26CD">
      <w:pPr>
        <w:pStyle w:val="Default"/>
        <w:spacing w:line="480" w:lineRule="auto"/>
        <w:rPr>
          <w:b/>
          <w:bCs/>
          <w:lang w:val="en-US"/>
        </w:rPr>
      </w:pPr>
    </w:p>
    <w:p w14:paraId="30A2E182" w14:textId="00BD0C63" w:rsidR="0078177F" w:rsidRDefault="00FB1738" w:rsidP="003B26CD">
      <w:pPr>
        <w:pStyle w:val="Default"/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Suppl. </w:t>
      </w:r>
      <w:r>
        <w:rPr>
          <w:b/>
          <w:bCs/>
          <w:lang w:val="en-US"/>
        </w:rPr>
        <w:t>Table 2</w:t>
      </w:r>
      <w:r w:rsidR="0078177F">
        <w:rPr>
          <w:b/>
          <w:bCs/>
          <w:lang w:val="en-US"/>
        </w:rPr>
        <w:t xml:space="preserve">. </w:t>
      </w:r>
      <w:proofErr w:type="spellStart"/>
      <w:r w:rsidR="00EC11F2">
        <w:rPr>
          <w:b/>
          <w:bCs/>
          <w:lang w:val="en-US"/>
        </w:rPr>
        <w:t>Physico</w:t>
      </w:r>
      <w:proofErr w:type="spellEnd"/>
      <w:r w:rsidR="00EC11F2">
        <w:rPr>
          <w:b/>
          <w:bCs/>
          <w:lang w:val="en-US"/>
        </w:rPr>
        <w:t xml:space="preserve">-chemical and early ADME profile of </w:t>
      </w:r>
      <w:proofErr w:type="spellStart"/>
      <w:r w:rsidR="00EC11F2">
        <w:rPr>
          <w:b/>
          <w:bCs/>
          <w:lang w:val="en-US"/>
        </w:rPr>
        <w:t>Debio</w:t>
      </w:r>
      <w:proofErr w:type="spellEnd"/>
      <w:r w:rsidR="00EC11F2">
        <w:rPr>
          <w:b/>
          <w:bCs/>
          <w:lang w:val="en-US"/>
        </w:rPr>
        <w:t xml:space="preserve"> 0617B.</w:t>
      </w:r>
    </w:p>
    <w:p w14:paraId="0ADB9239" w14:textId="77777777" w:rsidR="00EF735B" w:rsidRDefault="00EF735B" w:rsidP="003B26CD">
      <w:pPr>
        <w:pStyle w:val="Default"/>
        <w:spacing w:line="480" w:lineRule="auto"/>
        <w:rPr>
          <w:b/>
          <w:bCs/>
          <w:lang w:val="en-US"/>
        </w:rPr>
      </w:pPr>
    </w:p>
    <w:p w14:paraId="1D0CB212" w14:textId="12A0AA6B" w:rsidR="00EF735B" w:rsidRDefault="006D0A78" w:rsidP="003B26CD">
      <w:pPr>
        <w:pStyle w:val="Default"/>
        <w:spacing w:line="480" w:lineRule="auto"/>
        <w:rPr>
          <w:bCs/>
          <w:lang w:val="en-US"/>
        </w:rPr>
      </w:pPr>
      <w:r>
        <w:rPr>
          <w:b/>
          <w:bCs/>
          <w:lang w:val="en-US"/>
        </w:rPr>
        <w:t xml:space="preserve">Suppl. </w:t>
      </w:r>
      <w:r>
        <w:rPr>
          <w:b/>
          <w:bCs/>
          <w:lang w:val="en-US"/>
        </w:rPr>
        <w:t>Table 3</w:t>
      </w:r>
      <w:r w:rsidR="00EF735B">
        <w:rPr>
          <w:b/>
          <w:bCs/>
          <w:lang w:val="en-US"/>
        </w:rPr>
        <w:t xml:space="preserve">. </w:t>
      </w:r>
      <w:proofErr w:type="spellStart"/>
      <w:r w:rsidR="00EF735B" w:rsidRPr="00985612">
        <w:rPr>
          <w:b/>
          <w:bCs/>
          <w:lang w:val="en-US"/>
        </w:rPr>
        <w:t>Debio</w:t>
      </w:r>
      <w:proofErr w:type="spellEnd"/>
      <w:r w:rsidR="00EF735B" w:rsidRPr="00985612">
        <w:rPr>
          <w:b/>
          <w:bCs/>
          <w:lang w:val="en-US"/>
        </w:rPr>
        <w:t xml:space="preserve"> 0617B activity on a panel of 21 cancer cell lines.</w:t>
      </w:r>
      <w:r w:rsidR="00EF735B">
        <w:rPr>
          <w:bCs/>
          <w:lang w:val="en-US"/>
        </w:rPr>
        <w:t xml:space="preserve"> </w:t>
      </w:r>
    </w:p>
    <w:p w14:paraId="73B2180F" w14:textId="34041E57" w:rsidR="003260AA" w:rsidRDefault="00EF735B" w:rsidP="00EF735B">
      <w:pPr>
        <w:pStyle w:val="Default"/>
        <w:spacing w:line="480" w:lineRule="auto"/>
        <w:jc w:val="both"/>
        <w:rPr>
          <w:b/>
          <w:bCs/>
          <w:lang w:val="en-US"/>
        </w:rPr>
      </w:pPr>
      <w:r>
        <w:rPr>
          <w:bCs/>
          <w:lang w:val="en-US"/>
        </w:rPr>
        <w:t>Cells</w:t>
      </w:r>
      <w:r w:rsidRPr="00F45E90">
        <w:rPr>
          <w:bCs/>
          <w:lang w:val="en-US"/>
        </w:rPr>
        <w:t xml:space="preserve"> were seeded in 96-well plates and treated in triplicate with increasing concentrations of </w:t>
      </w:r>
      <w:proofErr w:type="spellStart"/>
      <w:r w:rsidRPr="00F45E90">
        <w:rPr>
          <w:bCs/>
          <w:lang w:val="en-US"/>
        </w:rPr>
        <w:t>Debio</w:t>
      </w:r>
      <w:proofErr w:type="spellEnd"/>
      <w:r w:rsidRPr="00F45E90">
        <w:rPr>
          <w:bCs/>
          <w:lang w:val="en-US"/>
        </w:rPr>
        <w:t xml:space="preserve"> 0617B for 72</w:t>
      </w:r>
      <w:r>
        <w:rPr>
          <w:bCs/>
          <w:lang w:val="en-US"/>
        </w:rPr>
        <w:t xml:space="preserve"> h. </w:t>
      </w:r>
      <w:r w:rsidRPr="00F45E90">
        <w:rPr>
          <w:bCs/>
          <w:lang w:val="en-US"/>
        </w:rPr>
        <w:t>Colorimetric MTT assays were performed</w:t>
      </w:r>
      <w:r>
        <w:rPr>
          <w:bCs/>
          <w:lang w:val="en-US"/>
        </w:rPr>
        <w:t>,</w:t>
      </w:r>
      <w:r w:rsidRPr="00F45E90">
        <w:rPr>
          <w:bCs/>
          <w:lang w:val="en-US"/>
        </w:rPr>
        <w:t xml:space="preserve"> and absorbance </w:t>
      </w:r>
      <w:r>
        <w:rPr>
          <w:bCs/>
          <w:lang w:val="en-US"/>
        </w:rPr>
        <w:t xml:space="preserve">was </w:t>
      </w:r>
      <w:r w:rsidRPr="00F45E90">
        <w:rPr>
          <w:bCs/>
          <w:lang w:val="en-US"/>
        </w:rPr>
        <w:t>measured at 570 nm. Percent growth rates were calculated relative to untreated control</w:t>
      </w:r>
      <w:r>
        <w:rPr>
          <w:bCs/>
          <w:lang w:val="en-US"/>
        </w:rPr>
        <w:t>,</w:t>
      </w:r>
      <w:r w:rsidRPr="00F45E90">
        <w:rPr>
          <w:bCs/>
          <w:lang w:val="en-US"/>
        </w:rPr>
        <w:t xml:space="preserve"> and curve fit analysis was performed to determine the IC</w:t>
      </w:r>
      <w:r w:rsidRPr="00F45E90">
        <w:rPr>
          <w:bCs/>
          <w:vertAlign w:val="subscript"/>
          <w:lang w:val="en-US"/>
        </w:rPr>
        <w:t>50</w:t>
      </w:r>
      <w:r w:rsidRPr="00F45E90">
        <w:rPr>
          <w:bCs/>
          <w:lang w:val="en-US"/>
        </w:rPr>
        <w:t xml:space="preserve"> concentrations (in µM; avg. R</w:t>
      </w:r>
      <w:r w:rsidRPr="00F45E90">
        <w:rPr>
          <w:bCs/>
          <w:vertAlign w:val="superscript"/>
          <w:lang w:val="en-US"/>
        </w:rPr>
        <w:t>2</w:t>
      </w:r>
      <w:r>
        <w:rPr>
          <w:bCs/>
          <w:lang w:val="en-US"/>
        </w:rPr>
        <w:t xml:space="preserve"> value=0.97). </w:t>
      </w:r>
      <w:r w:rsidRPr="00F45E90">
        <w:rPr>
          <w:bCs/>
          <w:lang w:val="en-US"/>
        </w:rPr>
        <w:t>Relative sensitivity is described here</w:t>
      </w:r>
      <w:r>
        <w:rPr>
          <w:bCs/>
          <w:lang w:val="en-US"/>
        </w:rPr>
        <w:t>.</w:t>
      </w:r>
    </w:p>
    <w:p w14:paraId="295157B0" w14:textId="77777777" w:rsidR="00EF735B" w:rsidRDefault="00EF735B" w:rsidP="003B26CD">
      <w:pPr>
        <w:pStyle w:val="Default"/>
        <w:spacing w:line="480" w:lineRule="auto"/>
        <w:rPr>
          <w:b/>
          <w:bCs/>
          <w:lang w:val="en-US"/>
        </w:rPr>
      </w:pPr>
    </w:p>
    <w:p w14:paraId="7808D9E7" w14:textId="33493062" w:rsidR="00C1000B" w:rsidRDefault="006D0A78" w:rsidP="00C1000B">
      <w:pPr>
        <w:pStyle w:val="Default"/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Suppl. </w:t>
      </w:r>
      <w:r>
        <w:rPr>
          <w:b/>
          <w:bCs/>
          <w:lang w:val="en-US"/>
        </w:rPr>
        <w:t>Table</w:t>
      </w:r>
      <w:r w:rsidR="00C1000B">
        <w:rPr>
          <w:b/>
          <w:bCs/>
          <w:lang w:val="en-US"/>
        </w:rPr>
        <w:t xml:space="preserve"> </w:t>
      </w:r>
      <w:r w:rsidR="00C1000B">
        <w:rPr>
          <w:b/>
          <w:bCs/>
          <w:lang w:val="en-GB"/>
        </w:rPr>
        <w:t>4.</w:t>
      </w:r>
      <w:r w:rsidR="00C1000B" w:rsidRPr="005217A8">
        <w:rPr>
          <w:bCs/>
          <w:lang w:val="en-US"/>
        </w:rPr>
        <w:t xml:space="preserve"> </w:t>
      </w:r>
      <w:bookmarkStart w:id="0" w:name="_GoBack"/>
      <w:r w:rsidR="00C1000B" w:rsidRPr="00397584">
        <w:rPr>
          <w:b/>
          <w:bCs/>
          <w:lang w:val="en-US"/>
        </w:rPr>
        <w:t xml:space="preserve">PK/PD Profile of </w:t>
      </w:r>
      <w:proofErr w:type="spellStart"/>
      <w:r w:rsidR="00C1000B" w:rsidRPr="00397584">
        <w:rPr>
          <w:b/>
          <w:bCs/>
          <w:lang w:val="en-US"/>
        </w:rPr>
        <w:t>Debio</w:t>
      </w:r>
      <w:proofErr w:type="spellEnd"/>
      <w:r w:rsidR="00C1000B" w:rsidRPr="00397584">
        <w:rPr>
          <w:b/>
          <w:bCs/>
          <w:lang w:val="en-US"/>
        </w:rPr>
        <w:t xml:space="preserve"> 0617B in mice with A549 tumors</w:t>
      </w:r>
      <w:r w:rsidR="00C1000B">
        <w:rPr>
          <w:b/>
          <w:bCs/>
          <w:lang w:val="en-US"/>
        </w:rPr>
        <w:t>.</w:t>
      </w:r>
      <w:bookmarkEnd w:id="0"/>
    </w:p>
    <w:p w14:paraId="0B6A06E2" w14:textId="77777777" w:rsidR="008E19B5" w:rsidRDefault="008E19B5" w:rsidP="003B26CD">
      <w:pPr>
        <w:pStyle w:val="Default"/>
        <w:spacing w:line="480" w:lineRule="auto"/>
        <w:rPr>
          <w:b/>
          <w:bCs/>
          <w:lang w:val="en-US"/>
        </w:rPr>
      </w:pPr>
    </w:p>
    <w:sectPr w:rsidR="008E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CD"/>
    <w:rsid w:val="0004040D"/>
    <w:rsid w:val="000E6E6C"/>
    <w:rsid w:val="003260AA"/>
    <w:rsid w:val="003963D1"/>
    <w:rsid w:val="003B26CD"/>
    <w:rsid w:val="003D212A"/>
    <w:rsid w:val="00535BA7"/>
    <w:rsid w:val="006C2072"/>
    <w:rsid w:val="006D0A78"/>
    <w:rsid w:val="0072699E"/>
    <w:rsid w:val="0078177F"/>
    <w:rsid w:val="00874596"/>
    <w:rsid w:val="0089400F"/>
    <w:rsid w:val="008E19B5"/>
    <w:rsid w:val="00AC024B"/>
    <w:rsid w:val="00C1000B"/>
    <w:rsid w:val="00CD2421"/>
    <w:rsid w:val="00D0336B"/>
    <w:rsid w:val="00D20C9E"/>
    <w:rsid w:val="00D728D4"/>
    <w:rsid w:val="00EC11F2"/>
    <w:rsid w:val="00EF735B"/>
    <w:rsid w:val="00F238D9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913D"/>
  <w15:chartTrackingRefBased/>
  <w15:docId w15:val="{7822EA1C-FCEC-434F-82DE-525FAE0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E6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E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Debiopharm International S.A.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Murone Maximilien</dc:creator>
  <cp:keywords/>
  <dc:description/>
  <cp:lastModifiedBy>Max</cp:lastModifiedBy>
  <cp:revision>4</cp:revision>
  <dcterms:created xsi:type="dcterms:W3CDTF">2016-05-28T21:09:00Z</dcterms:created>
  <dcterms:modified xsi:type="dcterms:W3CDTF">2016-05-28T21:18:00Z</dcterms:modified>
</cp:coreProperties>
</file>