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3B" w:rsidRPr="00AF5208" w:rsidRDefault="00C05D3B" w:rsidP="00C05D3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97930" cy="1859280"/>
            <wp:effectExtent l="19050" t="0" r="7620" b="0"/>
            <wp:docPr id="1" name="Objec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407050"/>
                      <a:chOff x="0" y="2057399"/>
                      <a:chExt cx="9144000" cy="2407050"/>
                    </a:xfrm>
                  </a:grpSpPr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0" y="2057399"/>
                        <a:ext cx="9144000" cy="2407050"/>
                        <a:chOff x="0" y="2057399"/>
                        <a:chExt cx="9144000" cy="2407050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2057400"/>
                          <a:ext cx="3017838" cy="24050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0" y="2057400"/>
                          <a:ext cx="3017838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126163" y="2057400"/>
                          <a:ext cx="3017837" cy="24066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520484" y="2450068"/>
                          <a:ext cx="31771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576500" y="2438400"/>
                          <a:ext cx="3097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6626102" y="2438400"/>
                          <a:ext cx="3080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05D3B" w:rsidRPr="00AF5208" w:rsidRDefault="00C05D3B" w:rsidP="00C05D3B">
      <w:pPr>
        <w:spacing w:after="0" w:line="480" w:lineRule="auto"/>
        <w:jc w:val="both"/>
        <w:rPr>
          <w:rFonts w:ascii="Arial" w:hAnsi="Arial" w:cs="Arial"/>
        </w:rPr>
      </w:pPr>
    </w:p>
    <w:p w:rsidR="00C05D3B" w:rsidRPr="00AF5208" w:rsidRDefault="00C05D3B" w:rsidP="00C05D3B">
      <w:pPr>
        <w:spacing w:after="0" w:line="480" w:lineRule="auto"/>
        <w:jc w:val="both"/>
        <w:rPr>
          <w:rFonts w:ascii="Arial" w:hAnsi="Arial" w:cs="Arial"/>
        </w:rPr>
      </w:pPr>
    </w:p>
    <w:p w:rsidR="00C05D3B" w:rsidRPr="00AF5208" w:rsidRDefault="00C05D3B" w:rsidP="00C05D3B">
      <w:pPr>
        <w:spacing w:after="0" w:line="480" w:lineRule="auto"/>
        <w:jc w:val="both"/>
        <w:rPr>
          <w:rFonts w:ascii="Arial" w:hAnsi="Arial" w:cs="Arial"/>
        </w:rPr>
      </w:pPr>
    </w:p>
    <w:p w:rsidR="00C05D3B" w:rsidRPr="00C05D3B" w:rsidRDefault="00C05D3B" w:rsidP="00C05D3B">
      <w:pPr>
        <w:spacing w:after="0" w:line="480" w:lineRule="auto"/>
        <w:jc w:val="both"/>
        <w:rPr>
          <w:rFonts w:ascii="Arial" w:hAnsi="Arial" w:cs="Arial"/>
          <w:b/>
        </w:rPr>
      </w:pPr>
      <w:r w:rsidRPr="00C05D3B">
        <w:rPr>
          <w:rFonts w:ascii="Arial" w:hAnsi="Arial" w:cs="Arial"/>
          <w:b/>
        </w:rPr>
        <w:t>Figure S2</w:t>
      </w:r>
    </w:p>
    <w:p w:rsidR="00C05D3B" w:rsidRPr="00AF5208" w:rsidRDefault="00C05D3B" w:rsidP="00C05D3B">
      <w:pPr>
        <w:spacing w:after="0" w:line="480" w:lineRule="auto"/>
        <w:jc w:val="both"/>
        <w:rPr>
          <w:rFonts w:ascii="Arial" w:hAnsi="Arial" w:cs="Arial"/>
        </w:rPr>
      </w:pPr>
      <w:r w:rsidRPr="00AF5208">
        <w:rPr>
          <w:rFonts w:ascii="Arial" w:hAnsi="Arial" w:cs="Arial"/>
        </w:rPr>
        <w:t>The dissociation constant (K</w:t>
      </w:r>
      <w:r w:rsidRPr="00AF5208">
        <w:rPr>
          <w:rFonts w:ascii="Arial" w:hAnsi="Arial" w:cs="Arial"/>
          <w:vertAlign w:val="subscript"/>
        </w:rPr>
        <w:t>D</w:t>
      </w:r>
      <w:r w:rsidRPr="00AF5208">
        <w:rPr>
          <w:rFonts w:ascii="Arial" w:hAnsi="Arial" w:cs="Arial"/>
        </w:rPr>
        <w:t xml:space="preserve">) was evaluated for the PSMA-targeting </w:t>
      </w:r>
      <w:proofErr w:type="spellStart"/>
      <w:r w:rsidRPr="00AF5208">
        <w:rPr>
          <w:rFonts w:ascii="Arial" w:hAnsi="Arial" w:cs="Arial"/>
        </w:rPr>
        <w:t>Ab</w:t>
      </w:r>
      <w:proofErr w:type="spellEnd"/>
      <w:r w:rsidRPr="00AF5208">
        <w:rPr>
          <w:rFonts w:ascii="Arial" w:hAnsi="Arial" w:cs="Arial"/>
        </w:rPr>
        <w:t xml:space="preserve">-labeled vesicles (A), the urea-labeled vesicles (B), and the PSMA-targeting </w:t>
      </w:r>
      <w:proofErr w:type="spellStart"/>
      <w:r w:rsidRPr="00AF5208">
        <w:rPr>
          <w:rFonts w:ascii="Arial" w:hAnsi="Arial" w:cs="Arial"/>
        </w:rPr>
        <w:t>Ab</w:t>
      </w:r>
      <w:proofErr w:type="spellEnd"/>
      <w:r w:rsidRPr="00AF5208">
        <w:rPr>
          <w:rFonts w:ascii="Arial" w:hAnsi="Arial" w:cs="Arial"/>
        </w:rPr>
        <w:t xml:space="preserve"> (C).  For vesicle constructs, the x-axis corresponds to the concentration of phospholipids. Error bars correspond to standard deviations of repeated measurements (2 and 3 independent preparations for antibodies and vesicles, respectively, 2 measurements per preparation). </w:t>
      </w:r>
    </w:p>
    <w:p w:rsidR="005B241E" w:rsidRDefault="005B241E"/>
    <w:sectPr w:rsidR="005B241E" w:rsidSect="005B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5D3B"/>
    <w:rsid w:val="005B241E"/>
    <w:rsid w:val="00C0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2015-08-31T16:24:00Z</dcterms:created>
  <dcterms:modified xsi:type="dcterms:W3CDTF">2015-08-31T16:24:00Z</dcterms:modified>
</cp:coreProperties>
</file>