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B4B7" w14:textId="77777777" w:rsidR="005F392D" w:rsidRPr="005F392D" w:rsidRDefault="005F392D" w:rsidP="005F392D">
      <w:pPr>
        <w:spacing w:line="480" w:lineRule="auto"/>
        <w:jc w:val="both"/>
        <w:rPr>
          <w:rFonts w:ascii="Helvetica" w:hAnsi="Helvetica"/>
          <w:b/>
          <w:sz w:val="28"/>
          <w:szCs w:val="28"/>
        </w:rPr>
      </w:pPr>
      <w:r>
        <w:rPr>
          <w:rFonts w:ascii="Helvetica" w:hAnsi="Helvetica"/>
          <w:b/>
          <w:sz w:val="28"/>
          <w:szCs w:val="28"/>
        </w:rPr>
        <w:t>Supplementary methods</w:t>
      </w:r>
    </w:p>
    <w:p w14:paraId="6896BB24" w14:textId="77777777" w:rsidR="005F392D" w:rsidRDefault="005F392D" w:rsidP="005F392D">
      <w:pPr>
        <w:spacing w:line="480" w:lineRule="auto"/>
        <w:jc w:val="both"/>
        <w:rPr>
          <w:rFonts w:ascii="Helvetica" w:hAnsi="Helvetica"/>
        </w:rPr>
      </w:pPr>
      <w:r w:rsidRPr="00E351A2">
        <w:rPr>
          <w:rFonts w:ascii="Helvetica" w:hAnsi="Helvetica"/>
          <w:b/>
        </w:rPr>
        <w:t xml:space="preserve">Glucose concentration and pH measurements. </w:t>
      </w:r>
      <w:r w:rsidRPr="00E351A2">
        <w:rPr>
          <w:rFonts w:ascii="Helvetica" w:hAnsi="Helvetica"/>
        </w:rPr>
        <w:t xml:space="preserve">On days 0, 4, 7 and 10 of spheroid culture, media were harvested and pooled. Each sample contained media from 30 different wells from one plate. Measurements were performed for 3 different plates. Glucose concentration was measured by </w:t>
      </w:r>
      <w:r w:rsidRPr="00E351A2">
        <w:rPr>
          <w:rFonts w:ascii="Helvetica" w:eastAsia="Times New Roman" w:hAnsi="Helvetica" w:cs="Times New Roman"/>
        </w:rPr>
        <w:t xml:space="preserve">ARCHITECT </w:t>
      </w:r>
      <w:r w:rsidRPr="00E351A2">
        <w:rPr>
          <w:rStyle w:val="Emphasis"/>
          <w:rFonts w:ascii="Helvetica" w:eastAsia="Times New Roman" w:hAnsi="Helvetica" w:cs="Times New Roman"/>
        </w:rPr>
        <w:t>c</w:t>
      </w:r>
      <w:r w:rsidRPr="00E351A2">
        <w:rPr>
          <w:rFonts w:ascii="Helvetica" w:eastAsia="Times New Roman" w:hAnsi="Helvetica" w:cs="Times New Roman"/>
        </w:rPr>
        <w:t xml:space="preserve">8000 Clinical Chemistry Analyzer (Abbott Diagnostics, Lake Forest, IL, USA) according to manufacturer’s directions. </w:t>
      </w:r>
      <w:r w:rsidRPr="00CC333D">
        <w:rPr>
          <w:rFonts w:ascii="Helvetica" w:hAnsi="Helvetica"/>
        </w:rPr>
        <w:t>pH was measured using 826 pH mobile (</w:t>
      </w:r>
      <w:r w:rsidRPr="00CC333D">
        <w:rPr>
          <w:rFonts w:ascii="Helvetica" w:eastAsia="Times New Roman" w:hAnsi="Helvetica" w:cs="Times New Roman"/>
          <w:i/>
          <w:iCs/>
          <w:lang w:val="sv-SE"/>
        </w:rPr>
        <w:t>Metrohm</w:t>
      </w:r>
      <w:r w:rsidRPr="00CC333D">
        <w:rPr>
          <w:rFonts w:ascii="Helvetica" w:eastAsia="Times New Roman" w:hAnsi="Helvetica" w:cs="Times New Roman"/>
          <w:lang w:val="sv-SE"/>
        </w:rPr>
        <w:t xml:space="preserve"> Ltd., Herisau, Switzerland)</w:t>
      </w:r>
      <w:r w:rsidRPr="00CC333D">
        <w:rPr>
          <w:rFonts w:ascii="Helvetica" w:hAnsi="Helvetica"/>
        </w:rPr>
        <w:t xml:space="preserve"> and the glass electrode Biotrode (Metrohm Ltd.).</w:t>
      </w:r>
    </w:p>
    <w:p w14:paraId="13A7AD3B" w14:textId="44DE6A6B" w:rsidR="005F392D" w:rsidRPr="00CD2E42" w:rsidRDefault="005F392D" w:rsidP="005F392D">
      <w:pPr>
        <w:spacing w:line="480" w:lineRule="auto"/>
        <w:jc w:val="both"/>
        <w:rPr>
          <w:rFonts w:ascii="Helvetica" w:hAnsi="Helvetica"/>
        </w:rPr>
      </w:pPr>
      <w:r w:rsidRPr="00E351A2">
        <w:rPr>
          <w:rFonts w:ascii="Helvetica" w:hAnsi="Helvetica"/>
          <w:b/>
        </w:rPr>
        <w:t xml:space="preserve">Screening plates layout. </w:t>
      </w:r>
      <w:r w:rsidRPr="00E351A2">
        <w:rPr>
          <w:rFonts w:ascii="Helvetica" w:hAnsi="Helvetica"/>
        </w:rPr>
        <w:t xml:space="preserve">Each screening plate contained 16 blank wells, 14 negative controls and 14 positive controls (containing 20 µM sorafenib, which was previously found to cause significant cytotoxicity in spheroids (data not shown)). </w:t>
      </w:r>
    </w:p>
    <w:p w14:paraId="3B0F7C72" w14:textId="2BC89BBA" w:rsidR="005F392D" w:rsidRPr="000D1B22" w:rsidRDefault="005F392D" w:rsidP="005F392D">
      <w:pPr>
        <w:spacing w:line="480" w:lineRule="auto"/>
        <w:jc w:val="both"/>
        <w:rPr>
          <w:rFonts w:ascii="Helvetica" w:hAnsi="Helvetica"/>
        </w:rPr>
      </w:pPr>
      <w:r w:rsidRPr="00E351A2">
        <w:rPr>
          <w:rFonts w:ascii="Helvetica" w:hAnsi="Helvetica"/>
          <w:b/>
        </w:rPr>
        <w:t xml:space="preserve">Formation of spheroids with medium change. </w:t>
      </w:r>
      <w:r w:rsidRPr="00E351A2">
        <w:rPr>
          <w:rFonts w:ascii="Helvetica" w:hAnsi="Helvetica"/>
        </w:rPr>
        <w:t>10000 HCT116 GFP cells/well were plated in 50 µl of fresh medium into 384-well U-bottom Ultra Low Attachment plates (Corning,) using Biomek 2000 (Beckman Coulter, Indianapolis, IN, USA). To decrease liquid evaporation, plates were covered with humidified MicroClime™ Environmental Microplate Lids (Labcyte, Sunnyvale, CA, USA). To induce cell aggregation, plates were spun at 1040 rpm for 30 s. Then, plates were incubated in 37°C, humidified atmosphere containing 5% CO</w:t>
      </w:r>
      <w:r w:rsidRPr="00E351A2">
        <w:rPr>
          <w:rFonts w:ascii="Helvetica" w:hAnsi="Helvetica"/>
          <w:vertAlign w:val="subscript"/>
        </w:rPr>
        <w:t>2</w:t>
      </w:r>
      <w:r w:rsidRPr="00E351A2">
        <w:rPr>
          <w:rFonts w:ascii="Helvetica" w:hAnsi="Helvetica"/>
        </w:rPr>
        <w:t xml:space="preserve"> for 7 days. 35 µl of medium was aspirated </w:t>
      </w:r>
      <w:r w:rsidR="00FF6C67">
        <w:rPr>
          <w:rFonts w:ascii="Helvetica" w:hAnsi="Helvetica"/>
        </w:rPr>
        <w:t>after</w:t>
      </w:r>
      <w:r w:rsidRPr="00E351A2">
        <w:rPr>
          <w:rFonts w:ascii="Helvetica" w:hAnsi="Helvetica"/>
        </w:rPr>
        <w:t xml:space="preserve"> </w:t>
      </w:r>
      <w:r w:rsidR="00FF6C67">
        <w:rPr>
          <w:rFonts w:ascii="Helvetica" w:hAnsi="Helvetica"/>
        </w:rPr>
        <w:t>4 and 7 days</w:t>
      </w:r>
      <w:r w:rsidRPr="00E351A2">
        <w:rPr>
          <w:rFonts w:ascii="Helvetica" w:hAnsi="Helvetica"/>
        </w:rPr>
        <w:t xml:space="preserve"> (just before drug treatment) of incubation and replaced with fresh medium. </w:t>
      </w:r>
    </w:p>
    <w:p w14:paraId="5C25E85F" w14:textId="77777777" w:rsidR="00744FDE" w:rsidRDefault="00744FDE"/>
    <w:p w14:paraId="6E19CA29" w14:textId="77777777" w:rsidR="00BC752B" w:rsidRDefault="00BC752B" w:rsidP="005F392D">
      <w:pPr>
        <w:spacing w:line="480" w:lineRule="auto"/>
        <w:jc w:val="both"/>
      </w:pPr>
    </w:p>
    <w:p w14:paraId="6E6D67A0" w14:textId="77777777" w:rsidR="00BC752B" w:rsidRDefault="00BC752B" w:rsidP="005F392D">
      <w:pPr>
        <w:spacing w:line="480" w:lineRule="auto"/>
        <w:jc w:val="both"/>
      </w:pPr>
    </w:p>
    <w:p w14:paraId="67B660EA" w14:textId="77777777" w:rsidR="005F392D" w:rsidRDefault="005F392D" w:rsidP="005F392D">
      <w:pPr>
        <w:spacing w:line="480" w:lineRule="auto"/>
        <w:jc w:val="both"/>
        <w:rPr>
          <w:rFonts w:ascii="Helvetica" w:hAnsi="Helvetica"/>
          <w:b/>
          <w:sz w:val="28"/>
          <w:szCs w:val="28"/>
        </w:rPr>
      </w:pPr>
      <w:r>
        <w:rPr>
          <w:rFonts w:ascii="Helvetica" w:hAnsi="Helvetica"/>
          <w:b/>
          <w:sz w:val="28"/>
          <w:szCs w:val="28"/>
        </w:rPr>
        <w:t xml:space="preserve">Supplementary Table </w:t>
      </w:r>
      <w:r w:rsidR="006B5958">
        <w:rPr>
          <w:rFonts w:ascii="Helvetica" w:hAnsi="Helvetica"/>
          <w:b/>
          <w:sz w:val="28"/>
          <w:szCs w:val="28"/>
        </w:rPr>
        <w:t>S</w:t>
      </w:r>
      <w:r>
        <w:rPr>
          <w:rFonts w:ascii="Helvetica" w:hAnsi="Helvetica"/>
          <w:b/>
          <w:sz w:val="28"/>
          <w:szCs w:val="28"/>
        </w:rPr>
        <w:t>1</w:t>
      </w:r>
    </w:p>
    <w:tbl>
      <w:tblPr>
        <w:tblStyle w:val="TableGrid"/>
        <w:tblW w:w="0" w:type="auto"/>
        <w:tblLook w:val="04A0" w:firstRow="1" w:lastRow="0" w:firstColumn="1" w:lastColumn="0" w:noHBand="0" w:noVBand="1"/>
      </w:tblPr>
      <w:tblGrid>
        <w:gridCol w:w="2518"/>
        <w:gridCol w:w="4820"/>
      </w:tblGrid>
      <w:tr w:rsidR="005F392D" w:rsidRPr="001A257E" w14:paraId="6BB6EA43" w14:textId="77777777" w:rsidTr="004A0EC8">
        <w:trPr>
          <w:trHeight w:val="20"/>
        </w:trPr>
        <w:tc>
          <w:tcPr>
            <w:tcW w:w="2518" w:type="dxa"/>
          </w:tcPr>
          <w:p w14:paraId="5AB0DE07" w14:textId="77777777" w:rsidR="005F392D" w:rsidRPr="001A257E" w:rsidRDefault="005F392D" w:rsidP="004A0EC8">
            <w:pPr>
              <w:spacing w:line="480" w:lineRule="auto"/>
              <w:jc w:val="both"/>
              <w:rPr>
                <w:rFonts w:ascii="Helvetica" w:hAnsi="Helvetica"/>
                <w:b/>
              </w:rPr>
            </w:pPr>
            <w:r w:rsidRPr="001A257E">
              <w:rPr>
                <w:rFonts w:ascii="Helvetica" w:hAnsi="Helvetica"/>
                <w:b/>
              </w:rPr>
              <w:t>Compound name</w:t>
            </w:r>
          </w:p>
        </w:tc>
        <w:tc>
          <w:tcPr>
            <w:tcW w:w="4820" w:type="dxa"/>
          </w:tcPr>
          <w:p w14:paraId="4E429765" w14:textId="77777777" w:rsidR="005F392D" w:rsidRPr="001A257E" w:rsidRDefault="005F392D" w:rsidP="004A0EC8">
            <w:pPr>
              <w:spacing w:line="480" w:lineRule="auto"/>
              <w:jc w:val="both"/>
              <w:rPr>
                <w:rFonts w:ascii="Helvetica" w:hAnsi="Helvetica"/>
                <w:b/>
              </w:rPr>
            </w:pPr>
            <w:r>
              <w:rPr>
                <w:rFonts w:ascii="Helvetica" w:hAnsi="Helvetica"/>
                <w:b/>
              </w:rPr>
              <w:t>Indication</w:t>
            </w:r>
          </w:p>
        </w:tc>
      </w:tr>
      <w:tr w:rsidR="005F392D" w:rsidRPr="001A257E" w14:paraId="06C003F4" w14:textId="77777777" w:rsidTr="004A0EC8">
        <w:trPr>
          <w:trHeight w:val="20"/>
        </w:trPr>
        <w:tc>
          <w:tcPr>
            <w:tcW w:w="2518" w:type="dxa"/>
          </w:tcPr>
          <w:p w14:paraId="6345EDBF" w14:textId="77777777" w:rsidR="005F392D" w:rsidRPr="001A257E" w:rsidRDefault="005F392D" w:rsidP="004A0EC8">
            <w:pPr>
              <w:spacing w:line="480" w:lineRule="auto"/>
              <w:jc w:val="both"/>
              <w:rPr>
                <w:rFonts w:ascii="Helvetica" w:hAnsi="Helvetica"/>
              </w:rPr>
            </w:pPr>
            <w:r>
              <w:rPr>
                <w:rFonts w:ascii="Helvetica" w:hAnsi="Helvetica"/>
              </w:rPr>
              <w:t>Nonoxynol</w:t>
            </w:r>
            <w:r w:rsidRPr="001A257E">
              <w:rPr>
                <w:rFonts w:ascii="Helvetica" w:hAnsi="Helvetica"/>
              </w:rPr>
              <w:t>-9</w:t>
            </w:r>
          </w:p>
        </w:tc>
        <w:tc>
          <w:tcPr>
            <w:tcW w:w="4820" w:type="dxa"/>
          </w:tcPr>
          <w:p w14:paraId="0CBE9753" w14:textId="77777777" w:rsidR="005F392D" w:rsidRPr="001A257E" w:rsidRDefault="005F392D" w:rsidP="004A0EC8">
            <w:pPr>
              <w:spacing w:line="480" w:lineRule="auto"/>
              <w:jc w:val="both"/>
              <w:rPr>
                <w:rFonts w:ascii="Helvetica" w:hAnsi="Helvetica"/>
              </w:rPr>
            </w:pPr>
            <w:r>
              <w:rPr>
                <w:rFonts w:ascii="Helvetica" w:hAnsi="Helvetica"/>
              </w:rPr>
              <w:t>Spermatocide, contraceptive</w:t>
            </w:r>
          </w:p>
        </w:tc>
      </w:tr>
      <w:tr w:rsidR="005F392D" w:rsidRPr="001A257E" w14:paraId="4BB83B24" w14:textId="77777777" w:rsidTr="004A0EC8">
        <w:trPr>
          <w:trHeight w:val="20"/>
        </w:trPr>
        <w:tc>
          <w:tcPr>
            <w:tcW w:w="2518" w:type="dxa"/>
          </w:tcPr>
          <w:p w14:paraId="0F644EFB" w14:textId="77777777" w:rsidR="005F392D" w:rsidRPr="001A257E" w:rsidRDefault="005F392D" w:rsidP="004A0EC8">
            <w:pPr>
              <w:spacing w:line="480" w:lineRule="auto"/>
              <w:jc w:val="both"/>
              <w:rPr>
                <w:rFonts w:ascii="Helvetica" w:hAnsi="Helvetica"/>
              </w:rPr>
            </w:pPr>
            <w:r w:rsidRPr="001A257E">
              <w:rPr>
                <w:rFonts w:ascii="Helvetica" w:hAnsi="Helvetica"/>
              </w:rPr>
              <w:t>Bisacodyl</w:t>
            </w:r>
          </w:p>
        </w:tc>
        <w:tc>
          <w:tcPr>
            <w:tcW w:w="4820" w:type="dxa"/>
          </w:tcPr>
          <w:p w14:paraId="1636B486" w14:textId="77777777" w:rsidR="005F392D" w:rsidRPr="001A257E" w:rsidRDefault="005F392D" w:rsidP="004A0EC8">
            <w:pPr>
              <w:spacing w:line="480" w:lineRule="auto"/>
              <w:jc w:val="both"/>
              <w:rPr>
                <w:rFonts w:ascii="Helvetica" w:hAnsi="Helvetica"/>
              </w:rPr>
            </w:pPr>
            <w:r>
              <w:rPr>
                <w:rFonts w:ascii="Helvetica" w:hAnsi="Helvetica"/>
              </w:rPr>
              <w:t>Cathartic</w:t>
            </w:r>
          </w:p>
        </w:tc>
      </w:tr>
      <w:tr w:rsidR="005F392D" w:rsidRPr="001A257E" w14:paraId="0BDC0103" w14:textId="77777777" w:rsidTr="004A0EC8">
        <w:trPr>
          <w:trHeight w:val="20"/>
        </w:trPr>
        <w:tc>
          <w:tcPr>
            <w:tcW w:w="2518" w:type="dxa"/>
          </w:tcPr>
          <w:p w14:paraId="75C1B256" w14:textId="77777777" w:rsidR="005F392D" w:rsidRPr="001A257E" w:rsidRDefault="005F392D" w:rsidP="004A0EC8">
            <w:pPr>
              <w:spacing w:line="480" w:lineRule="auto"/>
              <w:jc w:val="both"/>
              <w:rPr>
                <w:rFonts w:ascii="Helvetica" w:hAnsi="Helvetica"/>
              </w:rPr>
            </w:pPr>
            <w:r w:rsidRPr="001A257E">
              <w:rPr>
                <w:rFonts w:ascii="Helvetica" w:hAnsi="Helvetica"/>
              </w:rPr>
              <w:t>Hexachlorophene</w:t>
            </w:r>
          </w:p>
        </w:tc>
        <w:tc>
          <w:tcPr>
            <w:tcW w:w="4820" w:type="dxa"/>
          </w:tcPr>
          <w:p w14:paraId="22E37A6A" w14:textId="77777777" w:rsidR="005F392D" w:rsidRPr="001A257E" w:rsidRDefault="005F392D" w:rsidP="004A0EC8">
            <w:pPr>
              <w:spacing w:line="480" w:lineRule="auto"/>
              <w:jc w:val="both"/>
              <w:rPr>
                <w:rFonts w:ascii="Helvetica" w:hAnsi="Helvetica"/>
              </w:rPr>
            </w:pPr>
            <w:r>
              <w:rPr>
                <w:rFonts w:ascii="Helvetica" w:hAnsi="Helvetica"/>
              </w:rPr>
              <w:t>Antiinfective (topical)</w:t>
            </w:r>
          </w:p>
        </w:tc>
      </w:tr>
      <w:tr w:rsidR="005F392D" w:rsidRPr="001A257E" w14:paraId="30FA473F" w14:textId="77777777" w:rsidTr="004A0EC8">
        <w:trPr>
          <w:trHeight w:val="20"/>
        </w:trPr>
        <w:tc>
          <w:tcPr>
            <w:tcW w:w="2518" w:type="dxa"/>
          </w:tcPr>
          <w:p w14:paraId="121F9507" w14:textId="77777777" w:rsidR="005F392D" w:rsidRPr="001A257E" w:rsidRDefault="005F392D" w:rsidP="004A0EC8">
            <w:pPr>
              <w:spacing w:line="480" w:lineRule="auto"/>
              <w:jc w:val="both"/>
              <w:rPr>
                <w:rFonts w:ascii="Helvetica" w:hAnsi="Helvetica"/>
              </w:rPr>
            </w:pPr>
            <w:r w:rsidRPr="001A257E">
              <w:rPr>
                <w:rFonts w:ascii="Helvetica" w:hAnsi="Helvetica"/>
              </w:rPr>
              <w:t>Pyrvinium pamoate</w:t>
            </w:r>
          </w:p>
        </w:tc>
        <w:tc>
          <w:tcPr>
            <w:tcW w:w="4820" w:type="dxa"/>
          </w:tcPr>
          <w:p w14:paraId="60A4E537" w14:textId="77777777" w:rsidR="005F392D" w:rsidRPr="001A257E" w:rsidRDefault="005F392D" w:rsidP="004A0EC8">
            <w:pPr>
              <w:spacing w:line="480" w:lineRule="auto"/>
              <w:jc w:val="both"/>
              <w:rPr>
                <w:rFonts w:ascii="Helvetica" w:hAnsi="Helvetica"/>
              </w:rPr>
            </w:pPr>
            <w:r>
              <w:rPr>
                <w:rFonts w:ascii="Helvetica" w:hAnsi="Helvetica"/>
              </w:rPr>
              <w:t>Anthelmintic</w:t>
            </w:r>
          </w:p>
        </w:tc>
      </w:tr>
      <w:tr w:rsidR="005F392D" w:rsidRPr="001A257E" w14:paraId="6BC82371" w14:textId="77777777" w:rsidTr="004A0EC8">
        <w:trPr>
          <w:trHeight w:val="20"/>
        </w:trPr>
        <w:tc>
          <w:tcPr>
            <w:tcW w:w="2518" w:type="dxa"/>
          </w:tcPr>
          <w:p w14:paraId="0C8C14AE" w14:textId="77777777" w:rsidR="005F392D" w:rsidRPr="001A257E" w:rsidRDefault="005F392D" w:rsidP="004A0EC8">
            <w:pPr>
              <w:spacing w:line="480" w:lineRule="auto"/>
              <w:jc w:val="both"/>
              <w:rPr>
                <w:rFonts w:ascii="Helvetica" w:hAnsi="Helvetica"/>
              </w:rPr>
            </w:pPr>
            <w:r w:rsidRPr="001A257E">
              <w:rPr>
                <w:rFonts w:ascii="Helvetica" w:hAnsi="Helvetica"/>
              </w:rPr>
              <w:t>Niclosamide</w:t>
            </w:r>
          </w:p>
        </w:tc>
        <w:tc>
          <w:tcPr>
            <w:tcW w:w="4820" w:type="dxa"/>
          </w:tcPr>
          <w:p w14:paraId="7502140D" w14:textId="77777777" w:rsidR="005F392D" w:rsidRPr="001A257E" w:rsidRDefault="005F392D" w:rsidP="004A0EC8">
            <w:pPr>
              <w:spacing w:line="480" w:lineRule="auto"/>
              <w:jc w:val="both"/>
              <w:rPr>
                <w:rFonts w:ascii="Helvetica" w:hAnsi="Helvetica"/>
              </w:rPr>
            </w:pPr>
            <w:r>
              <w:rPr>
                <w:rFonts w:ascii="Helvetica" w:hAnsi="Helvetica"/>
              </w:rPr>
              <w:t>Anthelmintic, teniacide</w:t>
            </w:r>
          </w:p>
        </w:tc>
      </w:tr>
      <w:tr w:rsidR="005F392D" w:rsidRPr="001A257E" w14:paraId="521E4B58" w14:textId="77777777" w:rsidTr="004A0EC8">
        <w:trPr>
          <w:trHeight w:val="20"/>
        </w:trPr>
        <w:tc>
          <w:tcPr>
            <w:tcW w:w="2518" w:type="dxa"/>
          </w:tcPr>
          <w:p w14:paraId="78049577" w14:textId="77777777" w:rsidR="005F392D" w:rsidRPr="001A257E" w:rsidRDefault="005F392D" w:rsidP="004A0EC8">
            <w:pPr>
              <w:spacing w:line="480" w:lineRule="auto"/>
              <w:jc w:val="both"/>
              <w:rPr>
                <w:rFonts w:ascii="Helvetica" w:hAnsi="Helvetica"/>
              </w:rPr>
            </w:pPr>
            <w:r w:rsidRPr="001A257E">
              <w:rPr>
                <w:rFonts w:ascii="Helvetica" w:hAnsi="Helvetica"/>
              </w:rPr>
              <w:t>Nitazoxanide</w:t>
            </w:r>
          </w:p>
        </w:tc>
        <w:tc>
          <w:tcPr>
            <w:tcW w:w="4820" w:type="dxa"/>
          </w:tcPr>
          <w:p w14:paraId="62E6FA54" w14:textId="77777777" w:rsidR="005F392D" w:rsidRPr="001A257E" w:rsidRDefault="005F392D" w:rsidP="004A0EC8">
            <w:pPr>
              <w:spacing w:line="480" w:lineRule="auto"/>
              <w:jc w:val="both"/>
              <w:rPr>
                <w:rFonts w:ascii="Helvetica" w:hAnsi="Helvetica"/>
              </w:rPr>
            </w:pPr>
            <w:r>
              <w:rPr>
                <w:rFonts w:ascii="Helvetica" w:hAnsi="Helvetica"/>
              </w:rPr>
              <w:t>Antiparasitic, anthelmintic</w:t>
            </w:r>
          </w:p>
        </w:tc>
      </w:tr>
      <w:tr w:rsidR="005F392D" w:rsidRPr="001A257E" w14:paraId="156237CA" w14:textId="77777777" w:rsidTr="004A0EC8">
        <w:trPr>
          <w:trHeight w:val="20"/>
        </w:trPr>
        <w:tc>
          <w:tcPr>
            <w:tcW w:w="2518" w:type="dxa"/>
          </w:tcPr>
          <w:p w14:paraId="6F3D5F35" w14:textId="77777777" w:rsidR="005F392D" w:rsidRPr="001A257E" w:rsidRDefault="005F392D" w:rsidP="004A0EC8">
            <w:pPr>
              <w:spacing w:line="480" w:lineRule="auto"/>
              <w:jc w:val="both"/>
              <w:rPr>
                <w:rFonts w:ascii="Helvetica" w:hAnsi="Helvetica"/>
              </w:rPr>
            </w:pPr>
            <w:r w:rsidRPr="001A257E">
              <w:rPr>
                <w:rFonts w:ascii="Helvetica" w:hAnsi="Helvetica"/>
              </w:rPr>
              <w:t>Clofazimine</w:t>
            </w:r>
          </w:p>
        </w:tc>
        <w:tc>
          <w:tcPr>
            <w:tcW w:w="4820" w:type="dxa"/>
          </w:tcPr>
          <w:p w14:paraId="207A7834" w14:textId="77777777" w:rsidR="005F392D" w:rsidRPr="001A257E" w:rsidRDefault="005F392D" w:rsidP="004A0EC8">
            <w:pPr>
              <w:spacing w:line="480" w:lineRule="auto"/>
              <w:jc w:val="both"/>
              <w:rPr>
                <w:rFonts w:ascii="Helvetica" w:hAnsi="Helvetica"/>
              </w:rPr>
            </w:pPr>
            <w:r>
              <w:rPr>
                <w:rFonts w:ascii="Helvetica" w:hAnsi="Helvetica"/>
              </w:rPr>
              <w:t>Antibacterial, antilepretic, antituberculosis</w:t>
            </w:r>
          </w:p>
        </w:tc>
      </w:tr>
      <w:tr w:rsidR="005F392D" w:rsidRPr="001A257E" w14:paraId="78FED5F1" w14:textId="77777777" w:rsidTr="004A0EC8">
        <w:trPr>
          <w:trHeight w:val="20"/>
        </w:trPr>
        <w:tc>
          <w:tcPr>
            <w:tcW w:w="2518" w:type="dxa"/>
          </w:tcPr>
          <w:p w14:paraId="7402EC23" w14:textId="77777777" w:rsidR="005F392D" w:rsidRPr="001A257E" w:rsidRDefault="005F392D" w:rsidP="004A0EC8">
            <w:pPr>
              <w:spacing w:line="480" w:lineRule="auto"/>
              <w:jc w:val="both"/>
              <w:rPr>
                <w:rFonts w:ascii="Helvetica" w:hAnsi="Helvetica"/>
              </w:rPr>
            </w:pPr>
            <w:r w:rsidRPr="001A257E">
              <w:rPr>
                <w:rFonts w:ascii="Helvetica" w:hAnsi="Helvetica"/>
              </w:rPr>
              <w:t>Closantel</w:t>
            </w:r>
          </w:p>
        </w:tc>
        <w:tc>
          <w:tcPr>
            <w:tcW w:w="4820" w:type="dxa"/>
          </w:tcPr>
          <w:p w14:paraId="2F29FDEA" w14:textId="77777777" w:rsidR="005F392D" w:rsidRPr="001A257E" w:rsidRDefault="005F392D" w:rsidP="004A0EC8">
            <w:pPr>
              <w:spacing w:line="480" w:lineRule="auto"/>
              <w:jc w:val="both"/>
              <w:rPr>
                <w:rFonts w:ascii="Helvetica" w:hAnsi="Helvetica"/>
              </w:rPr>
            </w:pPr>
            <w:r>
              <w:rPr>
                <w:rFonts w:ascii="Helvetica" w:hAnsi="Helvetica"/>
              </w:rPr>
              <w:t>Anthelmintic</w:t>
            </w:r>
          </w:p>
        </w:tc>
      </w:tr>
      <w:tr w:rsidR="005F392D" w:rsidRPr="001A257E" w14:paraId="6CE26C41" w14:textId="77777777" w:rsidTr="004A0EC8">
        <w:trPr>
          <w:trHeight w:val="20"/>
        </w:trPr>
        <w:tc>
          <w:tcPr>
            <w:tcW w:w="2518" w:type="dxa"/>
          </w:tcPr>
          <w:p w14:paraId="636279E2" w14:textId="77777777" w:rsidR="005F392D" w:rsidRPr="001A257E" w:rsidRDefault="005F392D" w:rsidP="004A0EC8">
            <w:pPr>
              <w:spacing w:line="480" w:lineRule="auto"/>
              <w:jc w:val="both"/>
              <w:rPr>
                <w:rFonts w:ascii="Helvetica" w:hAnsi="Helvetica"/>
              </w:rPr>
            </w:pPr>
            <w:r w:rsidRPr="001A257E">
              <w:rPr>
                <w:rFonts w:ascii="Helvetica" w:hAnsi="Helvetica"/>
              </w:rPr>
              <w:t>Salinomycin</w:t>
            </w:r>
          </w:p>
        </w:tc>
        <w:tc>
          <w:tcPr>
            <w:tcW w:w="4820" w:type="dxa"/>
          </w:tcPr>
          <w:p w14:paraId="53EAAC57" w14:textId="77777777" w:rsidR="005F392D" w:rsidRPr="001A257E" w:rsidRDefault="005F392D" w:rsidP="004A0EC8">
            <w:pPr>
              <w:spacing w:line="480" w:lineRule="auto"/>
              <w:jc w:val="both"/>
              <w:rPr>
                <w:rFonts w:ascii="Helvetica" w:hAnsi="Helvetica"/>
              </w:rPr>
            </w:pPr>
            <w:r>
              <w:rPr>
                <w:rFonts w:ascii="Helvetica" w:hAnsi="Helvetica"/>
              </w:rPr>
              <w:t>Antibacterial</w:t>
            </w:r>
          </w:p>
        </w:tc>
      </w:tr>
      <w:tr w:rsidR="005F392D" w:rsidRPr="001A257E" w14:paraId="081C9B60" w14:textId="77777777" w:rsidTr="004A0EC8">
        <w:trPr>
          <w:trHeight w:val="20"/>
        </w:trPr>
        <w:tc>
          <w:tcPr>
            <w:tcW w:w="2518" w:type="dxa"/>
          </w:tcPr>
          <w:p w14:paraId="455FF3F9" w14:textId="77777777" w:rsidR="005F392D" w:rsidRPr="001A257E" w:rsidRDefault="005F392D" w:rsidP="004A0EC8">
            <w:pPr>
              <w:spacing w:line="480" w:lineRule="auto"/>
              <w:jc w:val="both"/>
              <w:rPr>
                <w:rFonts w:ascii="Helvetica" w:hAnsi="Helvetica"/>
              </w:rPr>
            </w:pPr>
            <w:r w:rsidRPr="001A257E">
              <w:rPr>
                <w:rFonts w:ascii="Helvetica" w:hAnsi="Helvetica"/>
              </w:rPr>
              <w:t>Chlormidazole</w:t>
            </w:r>
          </w:p>
        </w:tc>
        <w:tc>
          <w:tcPr>
            <w:tcW w:w="4820" w:type="dxa"/>
          </w:tcPr>
          <w:p w14:paraId="0D1F62C3" w14:textId="77777777" w:rsidR="005F392D" w:rsidRPr="001A257E" w:rsidRDefault="005F392D" w:rsidP="004A0EC8">
            <w:pPr>
              <w:spacing w:line="480" w:lineRule="auto"/>
              <w:jc w:val="both"/>
              <w:rPr>
                <w:rFonts w:ascii="Helvetica" w:hAnsi="Helvetica"/>
              </w:rPr>
            </w:pPr>
            <w:r>
              <w:rPr>
                <w:rFonts w:ascii="Helvetica" w:hAnsi="Helvetica"/>
              </w:rPr>
              <w:t>Antifungal</w:t>
            </w:r>
          </w:p>
        </w:tc>
      </w:tr>
      <w:tr w:rsidR="005F392D" w:rsidRPr="001A257E" w14:paraId="67322C28" w14:textId="77777777" w:rsidTr="004A0EC8">
        <w:trPr>
          <w:trHeight w:val="20"/>
        </w:trPr>
        <w:tc>
          <w:tcPr>
            <w:tcW w:w="2518" w:type="dxa"/>
          </w:tcPr>
          <w:p w14:paraId="4C815EC2" w14:textId="77777777" w:rsidR="005F392D" w:rsidRPr="001A257E" w:rsidRDefault="005F392D" w:rsidP="004A0EC8">
            <w:pPr>
              <w:spacing w:line="480" w:lineRule="auto"/>
              <w:jc w:val="both"/>
              <w:rPr>
                <w:rFonts w:ascii="Helvetica" w:hAnsi="Helvetica"/>
              </w:rPr>
            </w:pPr>
            <w:r w:rsidRPr="001A257E">
              <w:rPr>
                <w:rFonts w:ascii="Helvetica" w:hAnsi="Helvetica"/>
              </w:rPr>
              <w:t>Acriflavine</w:t>
            </w:r>
          </w:p>
        </w:tc>
        <w:tc>
          <w:tcPr>
            <w:tcW w:w="4820" w:type="dxa"/>
          </w:tcPr>
          <w:p w14:paraId="1A1D0AC0" w14:textId="77777777" w:rsidR="005F392D" w:rsidRPr="001A257E" w:rsidRDefault="005F392D" w:rsidP="004A0EC8">
            <w:pPr>
              <w:spacing w:line="480" w:lineRule="auto"/>
              <w:jc w:val="both"/>
              <w:rPr>
                <w:rFonts w:ascii="Helvetica" w:hAnsi="Helvetica"/>
              </w:rPr>
            </w:pPr>
            <w:r>
              <w:rPr>
                <w:rFonts w:ascii="Helvetica" w:hAnsi="Helvetica"/>
              </w:rPr>
              <w:t>Antiinfective, intercalating agent</w:t>
            </w:r>
          </w:p>
        </w:tc>
      </w:tr>
      <w:tr w:rsidR="005F392D" w:rsidRPr="001A257E" w14:paraId="1199E190" w14:textId="77777777" w:rsidTr="004A0EC8">
        <w:trPr>
          <w:trHeight w:val="20"/>
        </w:trPr>
        <w:tc>
          <w:tcPr>
            <w:tcW w:w="2518" w:type="dxa"/>
          </w:tcPr>
          <w:p w14:paraId="0AD4F485" w14:textId="77777777" w:rsidR="005F392D" w:rsidRPr="001A257E" w:rsidRDefault="005F392D" w:rsidP="004A0EC8">
            <w:pPr>
              <w:spacing w:line="480" w:lineRule="auto"/>
              <w:jc w:val="both"/>
              <w:rPr>
                <w:rFonts w:ascii="Helvetica" w:hAnsi="Helvetica"/>
              </w:rPr>
            </w:pPr>
            <w:r w:rsidRPr="001A257E">
              <w:rPr>
                <w:rFonts w:ascii="Helvetica" w:hAnsi="Helvetica"/>
              </w:rPr>
              <w:t>Dichlorphen</w:t>
            </w:r>
          </w:p>
        </w:tc>
        <w:tc>
          <w:tcPr>
            <w:tcW w:w="4820" w:type="dxa"/>
          </w:tcPr>
          <w:p w14:paraId="26B53AB4" w14:textId="77777777" w:rsidR="005F392D" w:rsidRPr="001A257E" w:rsidRDefault="005F392D" w:rsidP="004A0EC8">
            <w:pPr>
              <w:spacing w:line="480" w:lineRule="auto"/>
              <w:jc w:val="both"/>
              <w:rPr>
                <w:rFonts w:ascii="Helvetica" w:hAnsi="Helvetica"/>
              </w:rPr>
            </w:pPr>
            <w:r>
              <w:rPr>
                <w:rFonts w:ascii="Helvetica" w:hAnsi="Helvetica"/>
              </w:rPr>
              <w:t>Anthelmintic</w:t>
            </w:r>
          </w:p>
        </w:tc>
      </w:tr>
    </w:tbl>
    <w:p w14:paraId="576F0071" w14:textId="77777777" w:rsidR="005F392D" w:rsidRDefault="005F392D" w:rsidP="005F392D">
      <w:pPr>
        <w:spacing w:line="480" w:lineRule="auto"/>
        <w:jc w:val="both"/>
        <w:rPr>
          <w:rFonts w:ascii="Helvetica" w:hAnsi="Helvetica"/>
          <w:b/>
          <w:sz w:val="28"/>
          <w:szCs w:val="28"/>
        </w:rPr>
      </w:pPr>
    </w:p>
    <w:p w14:paraId="5870D28E" w14:textId="77777777" w:rsidR="006B5958" w:rsidRDefault="006B5958" w:rsidP="005F392D">
      <w:pPr>
        <w:spacing w:line="480" w:lineRule="auto"/>
        <w:jc w:val="both"/>
        <w:rPr>
          <w:rFonts w:ascii="Helvetica" w:hAnsi="Helvetica"/>
          <w:b/>
          <w:sz w:val="28"/>
          <w:szCs w:val="28"/>
        </w:rPr>
      </w:pPr>
    </w:p>
    <w:p w14:paraId="7B4A73D0" w14:textId="77777777" w:rsidR="006B5958" w:rsidRDefault="006B5958" w:rsidP="005F392D">
      <w:pPr>
        <w:spacing w:line="480" w:lineRule="auto"/>
        <w:jc w:val="both"/>
        <w:rPr>
          <w:rFonts w:ascii="Helvetica" w:hAnsi="Helvetica"/>
          <w:b/>
          <w:sz w:val="28"/>
          <w:szCs w:val="28"/>
        </w:rPr>
      </w:pPr>
    </w:p>
    <w:p w14:paraId="7249F7C8" w14:textId="77777777" w:rsidR="006B5958" w:rsidRDefault="006B5958" w:rsidP="005F392D">
      <w:pPr>
        <w:spacing w:line="480" w:lineRule="auto"/>
        <w:jc w:val="both"/>
        <w:rPr>
          <w:rFonts w:ascii="Helvetica" w:hAnsi="Helvetica"/>
          <w:b/>
          <w:sz w:val="28"/>
          <w:szCs w:val="28"/>
        </w:rPr>
      </w:pPr>
    </w:p>
    <w:p w14:paraId="1AB3B25D" w14:textId="77777777" w:rsidR="006B5958" w:rsidRDefault="006B5958" w:rsidP="005F392D">
      <w:pPr>
        <w:spacing w:line="480" w:lineRule="auto"/>
        <w:jc w:val="both"/>
        <w:rPr>
          <w:rFonts w:ascii="Helvetica" w:hAnsi="Helvetica"/>
          <w:b/>
          <w:sz w:val="28"/>
          <w:szCs w:val="28"/>
        </w:rPr>
      </w:pPr>
    </w:p>
    <w:p w14:paraId="5F6B0B7D" w14:textId="77777777" w:rsidR="007E53BF" w:rsidRDefault="007E53BF" w:rsidP="006B5958">
      <w:pPr>
        <w:spacing w:line="480" w:lineRule="auto"/>
        <w:jc w:val="both"/>
        <w:rPr>
          <w:rFonts w:ascii="Helvetica" w:hAnsi="Helvetica"/>
          <w:b/>
          <w:sz w:val="28"/>
          <w:szCs w:val="28"/>
        </w:rPr>
      </w:pPr>
    </w:p>
    <w:p w14:paraId="762D5225" w14:textId="77777777" w:rsidR="00BC752B" w:rsidRDefault="00BC752B" w:rsidP="006B5958">
      <w:pPr>
        <w:spacing w:line="480" w:lineRule="auto"/>
        <w:jc w:val="both"/>
        <w:rPr>
          <w:rFonts w:ascii="Helvetica" w:hAnsi="Helvetica"/>
          <w:b/>
          <w:sz w:val="28"/>
          <w:szCs w:val="28"/>
        </w:rPr>
      </w:pPr>
    </w:p>
    <w:p w14:paraId="43B53A5F" w14:textId="77777777" w:rsidR="00BC752B" w:rsidRDefault="00BC752B" w:rsidP="006B5958">
      <w:pPr>
        <w:spacing w:line="480" w:lineRule="auto"/>
        <w:jc w:val="both"/>
        <w:rPr>
          <w:rFonts w:ascii="Helvetica" w:hAnsi="Helvetica"/>
          <w:b/>
          <w:sz w:val="28"/>
          <w:szCs w:val="28"/>
        </w:rPr>
      </w:pPr>
    </w:p>
    <w:p w14:paraId="7AD7C4E1" w14:textId="77777777" w:rsidR="006B5958" w:rsidRPr="006B5958" w:rsidRDefault="006B5958" w:rsidP="006B5958">
      <w:pPr>
        <w:spacing w:line="480" w:lineRule="auto"/>
        <w:jc w:val="both"/>
        <w:rPr>
          <w:rFonts w:ascii="Helvetica" w:hAnsi="Helvetica"/>
          <w:b/>
          <w:sz w:val="28"/>
          <w:szCs w:val="28"/>
        </w:rPr>
      </w:pPr>
      <w:r>
        <w:rPr>
          <w:rFonts w:ascii="Helvetica" w:hAnsi="Helvetica"/>
          <w:b/>
          <w:sz w:val="28"/>
          <w:szCs w:val="28"/>
        </w:rPr>
        <w:t>Supplementary Table S2</w:t>
      </w:r>
    </w:p>
    <w:tbl>
      <w:tblPr>
        <w:tblStyle w:val="TableGrid"/>
        <w:tblW w:w="8127" w:type="dxa"/>
        <w:tblLook w:val="04A0" w:firstRow="1" w:lastRow="0" w:firstColumn="1" w:lastColumn="0" w:noHBand="0" w:noVBand="1"/>
      </w:tblPr>
      <w:tblGrid>
        <w:gridCol w:w="1212"/>
        <w:gridCol w:w="2016"/>
        <w:gridCol w:w="1052"/>
        <w:gridCol w:w="1319"/>
        <w:gridCol w:w="1346"/>
        <w:gridCol w:w="1182"/>
      </w:tblGrid>
      <w:tr w:rsidR="006B5958" w:rsidRPr="00A95BE3" w14:paraId="3C33F8B2" w14:textId="77777777" w:rsidTr="004A0EC8">
        <w:tc>
          <w:tcPr>
            <w:tcW w:w="8127" w:type="dxa"/>
            <w:gridSpan w:val="6"/>
          </w:tcPr>
          <w:p w14:paraId="42A8E5DF" w14:textId="77777777" w:rsidR="006B5958" w:rsidRDefault="006B5958" w:rsidP="004A0EC8">
            <w:pPr>
              <w:rPr>
                <w:rFonts w:ascii="Helvetica" w:hAnsi="Helvetica" w:cs="Arial"/>
                <w:b/>
                <w:sz w:val="20"/>
                <w:szCs w:val="20"/>
              </w:rPr>
            </w:pPr>
            <w:r w:rsidRPr="00A95BE3">
              <w:rPr>
                <w:rFonts w:ascii="Helvetica" w:hAnsi="Helvetica" w:cs="Arial"/>
                <w:b/>
                <w:sz w:val="20"/>
                <w:szCs w:val="20"/>
              </w:rPr>
              <w:t xml:space="preserve">Table </w:t>
            </w:r>
            <w:r>
              <w:rPr>
                <w:rFonts w:ascii="Helvetica" w:hAnsi="Helvetica" w:cs="Arial"/>
                <w:b/>
                <w:sz w:val="20"/>
                <w:szCs w:val="20"/>
              </w:rPr>
              <w:t>S2</w:t>
            </w:r>
            <w:r w:rsidRPr="00A95BE3">
              <w:rPr>
                <w:rFonts w:ascii="Helvetica" w:hAnsi="Helvetica" w:cs="Arial"/>
                <w:b/>
                <w:sz w:val="20"/>
                <w:szCs w:val="20"/>
              </w:rPr>
              <w:t xml:space="preserve">. Chemical and biological properties of the final hit compounds </w:t>
            </w:r>
          </w:p>
          <w:p w14:paraId="648778D9" w14:textId="77777777" w:rsidR="006B5958" w:rsidRPr="00A95BE3" w:rsidRDefault="006B5958" w:rsidP="004A0EC8">
            <w:pPr>
              <w:rPr>
                <w:rFonts w:ascii="Helvetica" w:hAnsi="Helvetica" w:cs="Arial"/>
                <w:b/>
                <w:sz w:val="20"/>
                <w:szCs w:val="20"/>
              </w:rPr>
            </w:pPr>
          </w:p>
        </w:tc>
      </w:tr>
      <w:tr w:rsidR="006B5958" w:rsidRPr="00A95BE3" w14:paraId="51131A81" w14:textId="77777777" w:rsidTr="004A0EC8">
        <w:tc>
          <w:tcPr>
            <w:tcW w:w="1466" w:type="dxa"/>
          </w:tcPr>
          <w:p w14:paraId="30D892AA"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Name, Mw. XlogP</w:t>
            </w:r>
          </w:p>
        </w:tc>
        <w:tc>
          <w:tcPr>
            <w:tcW w:w="1998" w:type="dxa"/>
          </w:tcPr>
          <w:p w14:paraId="7F7F60F7"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Formula</w:t>
            </w:r>
          </w:p>
        </w:tc>
        <w:tc>
          <w:tcPr>
            <w:tcW w:w="1043" w:type="dxa"/>
          </w:tcPr>
          <w:p w14:paraId="54B7E26F"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Registered for use in humans</w:t>
            </w:r>
          </w:p>
        </w:tc>
        <w:tc>
          <w:tcPr>
            <w:tcW w:w="768" w:type="dxa"/>
          </w:tcPr>
          <w:p w14:paraId="2D769C29"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Bioavailability</w:t>
            </w:r>
          </w:p>
          <w:p w14:paraId="3A519096"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After oral administration</w:t>
            </w:r>
          </w:p>
        </w:tc>
        <w:tc>
          <w:tcPr>
            <w:tcW w:w="1346" w:type="dxa"/>
          </w:tcPr>
          <w:p w14:paraId="66248D1A"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Reported effects on mitochondria</w:t>
            </w:r>
          </w:p>
        </w:tc>
        <w:tc>
          <w:tcPr>
            <w:tcW w:w="1499" w:type="dxa"/>
          </w:tcPr>
          <w:p w14:paraId="23460AA5" w14:textId="77777777" w:rsidR="006B5958" w:rsidRPr="00A95BE3" w:rsidRDefault="006B5958" w:rsidP="004A0EC8">
            <w:pPr>
              <w:rPr>
                <w:rFonts w:ascii="Helvetica" w:hAnsi="Helvetica" w:cs="Arial"/>
                <w:b/>
                <w:sz w:val="16"/>
                <w:szCs w:val="16"/>
              </w:rPr>
            </w:pPr>
            <w:r w:rsidRPr="00A95BE3">
              <w:rPr>
                <w:rFonts w:ascii="Helvetica" w:hAnsi="Helvetica" w:cs="Arial"/>
                <w:b/>
                <w:sz w:val="16"/>
                <w:szCs w:val="16"/>
              </w:rPr>
              <w:t>References</w:t>
            </w:r>
          </w:p>
        </w:tc>
      </w:tr>
      <w:tr w:rsidR="006B5958" w:rsidRPr="00A95BE3" w14:paraId="59148668" w14:textId="77777777" w:rsidTr="004A0EC8">
        <w:tc>
          <w:tcPr>
            <w:tcW w:w="1466" w:type="dxa"/>
          </w:tcPr>
          <w:p w14:paraId="64ECBA67"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Nitazoxanide</w:t>
            </w:r>
          </w:p>
          <w:p w14:paraId="68B7DEB4"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190.2 g/mol</w:t>
            </w:r>
          </w:p>
          <w:p w14:paraId="70E77EB2"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1.58</w:t>
            </w:r>
          </w:p>
          <w:p w14:paraId="7BF474A9" w14:textId="77777777" w:rsidR="006B5958" w:rsidRPr="00A95BE3" w:rsidRDefault="006B5958" w:rsidP="004A0EC8">
            <w:pPr>
              <w:rPr>
                <w:rFonts w:ascii="Helvetica" w:hAnsi="Helvetica" w:cs="Arial"/>
                <w:sz w:val="16"/>
                <w:szCs w:val="16"/>
              </w:rPr>
            </w:pPr>
          </w:p>
        </w:tc>
        <w:tc>
          <w:tcPr>
            <w:tcW w:w="1998" w:type="dxa"/>
          </w:tcPr>
          <w:p w14:paraId="6C2C7D4A" w14:textId="77777777" w:rsidR="006B5958" w:rsidRPr="00A95BE3" w:rsidRDefault="006B5958" w:rsidP="004A0EC8">
            <w:pPr>
              <w:rPr>
                <w:rFonts w:ascii="Helvetica" w:hAnsi="Helvetica" w:cs="Arial"/>
              </w:rPr>
            </w:pPr>
            <w:r w:rsidRPr="00A95BE3">
              <w:rPr>
                <w:rFonts w:ascii="Helvetica" w:hAnsi="Helvetica" w:cs="Arial"/>
                <w:noProof/>
              </w:rPr>
              <w:drawing>
                <wp:inline distT="0" distB="0" distL="0" distR="0" wp14:anchorId="7C9C5F93" wp14:editId="160B9360">
                  <wp:extent cx="964103" cy="655644"/>
                  <wp:effectExtent l="0" t="0" r="1270" b="508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103" cy="655644"/>
                          </a:xfrm>
                          <a:prstGeom prst="rect">
                            <a:avLst/>
                          </a:prstGeom>
                          <a:noFill/>
                          <a:ln>
                            <a:noFill/>
                          </a:ln>
                        </pic:spPr>
                      </pic:pic>
                    </a:graphicData>
                  </a:graphic>
                </wp:inline>
              </w:drawing>
            </w:r>
          </w:p>
        </w:tc>
        <w:tc>
          <w:tcPr>
            <w:tcW w:w="1043" w:type="dxa"/>
          </w:tcPr>
          <w:p w14:paraId="01CF7081"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Yes</w:t>
            </w:r>
          </w:p>
        </w:tc>
        <w:tc>
          <w:tcPr>
            <w:tcW w:w="768" w:type="dxa"/>
          </w:tcPr>
          <w:p w14:paraId="0E1BB8A4"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High</w:t>
            </w:r>
          </w:p>
        </w:tc>
        <w:tc>
          <w:tcPr>
            <w:tcW w:w="1346" w:type="dxa"/>
          </w:tcPr>
          <w:p w14:paraId="588732C3"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Uncoupler</w:t>
            </w:r>
          </w:p>
        </w:tc>
        <w:tc>
          <w:tcPr>
            <w:tcW w:w="1499" w:type="dxa"/>
          </w:tcPr>
          <w:p w14:paraId="55B342BF"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r>
            <w:r>
              <w:rPr>
                <w:rFonts w:ascii="Helvetica" w:hAnsi="Helvetica" w:cs="Arial"/>
                <w:sz w:val="16"/>
                <w:szCs w:val="16"/>
              </w:rPr>
              <w:instrText xml:space="preserve"> ADDIN EN.CITE &lt;EndNote&gt;&lt;Cite&gt;&lt;Author&gt;de Carvalho&lt;/Author&gt;&lt;Year&gt;2011&lt;/Year&gt;&lt;RecNum&gt;78&lt;/RecNum&gt;&lt;IDText&gt;Nitazoxanide Disrupts Membrane Potential and Intrabacterial pH Homeostasis of Mycobacterium tuberculosis&lt;/IDText&gt;&lt;DisplayText&gt;(25)&lt;/DisplayText&gt;&lt;record&gt;&lt;rec-number&gt;78&lt;/rec-number&gt;&lt;foreign-keys&gt;&lt;key app="EN" db-id="v0e5rz0x0tzxplez9do5dr0b209e9xzd9tpd" timestamp="1402395391"&gt;78&lt;/key&gt;&lt;/foreign-keys&gt;&lt;ref-type name="Journal Article"&gt;17&lt;/ref-type&gt;&lt;contributors&gt;&lt;authors&gt;&lt;author&gt;de Carvalho, Luiz Pedro S.&lt;/author&gt;&lt;author&gt;Darby, Crystal M.&lt;/author&gt;&lt;author&gt;Rhee, Kyu Y.&lt;/author&gt;&lt;author&gt;Nathan, Carl&lt;/author&gt;&lt;/authors&gt;&lt;/contributors&gt;&lt;titles&gt;&lt;title&gt;Nitazoxanide Disrupts Membrane Potential and Intrabacterial pH Homeostasis of Mycobacterium tuberculosis&lt;/title&gt;&lt;secondary-title&gt;ACS Medicinal Chemistry Letters&lt;/secondary-title&gt;&lt;/titles&gt;&lt;periodical&gt;&lt;full-title&gt;ACS Medicinal Chemistry Letters&lt;/full-title&gt;&lt;/periodical&gt;&lt;pages&gt;849-854&lt;/pages&gt;&lt;volume&gt;2&lt;/volume&gt;&lt;number&gt;11&lt;/number&gt;&lt;dates&gt;&lt;year&gt;2011&lt;/year&gt;&lt;pub-dates&gt;&lt;date&gt;2011/11/10&lt;/date&gt;&lt;/pub-dates&gt;&lt;/dates&gt;&lt;publisher&gt;American Chemical Society&lt;/publisher&gt;&lt;urls&gt;&lt;related-urls&gt;&lt;url&gt;http://dx.doi.org/10.1021/ml200157f&lt;/url&gt;&lt;/related-urls&gt;&lt;/urls&gt;&lt;electronic-resource-num&gt;10.1021/ml200157f&lt;/electronic-resource-num&gt;&lt;access-date&gt;2014/03/19&lt;/access-date&gt;&lt;/record&gt;&lt;/Cite&gt;&lt;/EndNote&gt;</w:instrText>
            </w:r>
            <w:r w:rsidRPr="00A95BE3">
              <w:rPr>
                <w:rFonts w:ascii="Helvetica" w:hAnsi="Helvetica" w:cs="Arial"/>
                <w:sz w:val="16"/>
                <w:szCs w:val="16"/>
              </w:rPr>
              <w:fldChar w:fldCharType="separate"/>
            </w:r>
            <w:r w:rsidRPr="001009D2">
              <w:rPr>
                <w:rFonts w:ascii="Helvetica" w:hAnsi="Helvetica" w:cs="Arial"/>
                <w:noProof/>
                <w:sz w:val="16"/>
                <w:szCs w:val="16"/>
              </w:rPr>
              <w:t>(25)</w:t>
            </w:r>
            <w:r w:rsidRPr="00A95BE3">
              <w:rPr>
                <w:rFonts w:ascii="Helvetica" w:hAnsi="Helvetica" w:cs="Arial"/>
                <w:sz w:val="16"/>
                <w:szCs w:val="16"/>
              </w:rPr>
              <w:fldChar w:fldCharType="end"/>
            </w:r>
          </w:p>
        </w:tc>
      </w:tr>
      <w:tr w:rsidR="006B5958" w:rsidRPr="00A95BE3" w14:paraId="764F81C6" w14:textId="77777777" w:rsidTr="004A0EC8">
        <w:tc>
          <w:tcPr>
            <w:tcW w:w="1466" w:type="dxa"/>
          </w:tcPr>
          <w:p w14:paraId="037528A4"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Tizoxanide*</w:t>
            </w:r>
          </w:p>
          <w:p w14:paraId="40A4BB6C"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265.3 g/mol</w:t>
            </w:r>
          </w:p>
          <w:p w14:paraId="0AB6FFA5"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2.76</w:t>
            </w:r>
          </w:p>
        </w:tc>
        <w:tc>
          <w:tcPr>
            <w:tcW w:w="1998" w:type="dxa"/>
          </w:tcPr>
          <w:p w14:paraId="297A1584"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 xml:space="preserve">   </w:t>
            </w:r>
            <w:r w:rsidRPr="00A95BE3">
              <w:rPr>
                <w:rFonts w:ascii="Helvetica" w:hAnsi="Helvetica" w:cs="Arial"/>
                <w:noProof/>
                <w:sz w:val="16"/>
                <w:szCs w:val="16"/>
              </w:rPr>
              <w:drawing>
                <wp:inline distT="0" distB="0" distL="0" distR="0" wp14:anchorId="55217ED9" wp14:editId="010C34C9">
                  <wp:extent cx="823297" cy="456752"/>
                  <wp:effectExtent l="0" t="0" r="0" b="63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800" cy="458696"/>
                          </a:xfrm>
                          <a:prstGeom prst="rect">
                            <a:avLst/>
                          </a:prstGeom>
                          <a:noFill/>
                          <a:ln>
                            <a:noFill/>
                          </a:ln>
                        </pic:spPr>
                      </pic:pic>
                    </a:graphicData>
                  </a:graphic>
                </wp:inline>
              </w:drawing>
            </w:r>
          </w:p>
        </w:tc>
        <w:tc>
          <w:tcPr>
            <w:tcW w:w="1043" w:type="dxa"/>
          </w:tcPr>
          <w:p w14:paraId="4B9821C0"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NA</w:t>
            </w:r>
          </w:p>
        </w:tc>
        <w:tc>
          <w:tcPr>
            <w:tcW w:w="768" w:type="dxa"/>
          </w:tcPr>
          <w:p w14:paraId="26539074"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NA</w:t>
            </w:r>
          </w:p>
        </w:tc>
        <w:tc>
          <w:tcPr>
            <w:tcW w:w="1346" w:type="dxa"/>
          </w:tcPr>
          <w:p w14:paraId="6ED9737A"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Uncoupler</w:t>
            </w:r>
          </w:p>
        </w:tc>
        <w:tc>
          <w:tcPr>
            <w:tcW w:w="1499" w:type="dxa"/>
          </w:tcPr>
          <w:p w14:paraId="272FF826"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r>
            <w:r>
              <w:rPr>
                <w:rFonts w:ascii="Helvetica" w:hAnsi="Helvetica" w:cs="Arial"/>
                <w:sz w:val="16"/>
                <w:szCs w:val="16"/>
              </w:rPr>
              <w:instrText xml:space="preserve"> ADDIN EN.CITE &lt;EndNote&gt;&lt;Cite&gt;&lt;Author&gt;de Carvalho&lt;/Author&gt;&lt;Year&gt;2011&lt;/Year&gt;&lt;RecNum&gt;78&lt;/RecNum&gt;&lt;IDText&gt;Nitazoxanide Disrupts Membrane Potential and Intrabacterial pH Homeostasis of Mycobacterium tuberculosis&lt;/IDText&gt;&lt;DisplayText&gt;(25)&lt;/DisplayText&gt;&lt;record&gt;&lt;rec-number&gt;78&lt;/rec-number&gt;&lt;foreign-keys&gt;&lt;key app="EN" db-id="v0e5rz0x0tzxplez9do5dr0b209e9xzd9tpd" timestamp="1402395391"&gt;78&lt;/key&gt;&lt;/foreign-keys&gt;&lt;ref-type name="Journal Article"&gt;17&lt;/ref-type&gt;&lt;contributors&gt;&lt;authors&gt;&lt;author&gt;de Carvalho, Luiz Pedro S.&lt;/author&gt;&lt;author&gt;Darby, Crystal M.&lt;/author&gt;&lt;author&gt;Rhee, Kyu Y.&lt;/author&gt;&lt;author&gt;Nathan, Carl&lt;/author&gt;&lt;/authors&gt;&lt;/contributors&gt;&lt;titles&gt;&lt;title&gt;Nitazoxanide Disrupts Membrane Potential and Intrabacterial pH Homeostasis of Mycobacterium tuberculosis&lt;/title&gt;&lt;secondary-title&gt;ACS Medicinal Chemistry Letters&lt;/secondary-title&gt;&lt;/titles&gt;&lt;periodical&gt;&lt;full-title&gt;ACS Medicinal Chemistry Letters&lt;/full-title&gt;&lt;/periodical&gt;&lt;pages&gt;849-854&lt;/pages&gt;&lt;volume&gt;2&lt;/volume&gt;&lt;number&gt;11&lt;/number&gt;&lt;dates&gt;&lt;year&gt;2011&lt;/year&gt;&lt;pub-dates&gt;&lt;date&gt;2011/11/10&lt;/date&gt;&lt;/pub-dates&gt;&lt;/dates&gt;&lt;publisher&gt;American Chemical Society&lt;/publisher&gt;&lt;urls&gt;&lt;related-urls&gt;&lt;url&gt;http://dx.doi.org/10.1021/ml200157f&lt;/url&gt;&lt;/related-urls&gt;&lt;/urls&gt;&lt;electronic-resource-num&gt;10.1021/ml200157f&lt;/electronic-resource-num&gt;&lt;access-date&gt;2014/03/19&lt;/access-date&gt;&lt;/record&gt;&lt;/Cite&gt;&lt;/EndNote&gt;</w:instrText>
            </w:r>
            <w:r w:rsidRPr="00A95BE3">
              <w:rPr>
                <w:rFonts w:ascii="Helvetica" w:hAnsi="Helvetica" w:cs="Arial"/>
                <w:sz w:val="16"/>
                <w:szCs w:val="16"/>
              </w:rPr>
              <w:fldChar w:fldCharType="separate"/>
            </w:r>
            <w:r w:rsidRPr="001009D2">
              <w:rPr>
                <w:rFonts w:ascii="Helvetica" w:hAnsi="Helvetica" w:cs="Arial"/>
                <w:noProof/>
                <w:sz w:val="16"/>
                <w:szCs w:val="16"/>
              </w:rPr>
              <w:t>(25)</w:t>
            </w:r>
            <w:r w:rsidRPr="00A95BE3">
              <w:rPr>
                <w:rFonts w:ascii="Helvetica" w:hAnsi="Helvetica" w:cs="Arial"/>
                <w:sz w:val="16"/>
                <w:szCs w:val="16"/>
              </w:rPr>
              <w:fldChar w:fldCharType="end"/>
            </w:r>
          </w:p>
        </w:tc>
      </w:tr>
      <w:tr w:rsidR="006B5958" w:rsidRPr="00A95BE3" w14:paraId="030C8735" w14:textId="77777777" w:rsidTr="004A0EC8">
        <w:tc>
          <w:tcPr>
            <w:tcW w:w="1466" w:type="dxa"/>
          </w:tcPr>
          <w:p w14:paraId="63327D11"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Niclosamide</w:t>
            </w:r>
          </w:p>
          <w:p w14:paraId="22F4E3FF"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275.2 g/mol</w:t>
            </w:r>
          </w:p>
          <w:p w14:paraId="27DB79EA" w14:textId="77777777" w:rsidR="006B5958" w:rsidRPr="00A95BE3" w:rsidRDefault="006B5958" w:rsidP="004A0EC8">
            <w:pPr>
              <w:rPr>
                <w:rFonts w:ascii="Helvetica" w:hAnsi="Helvetica" w:cs="Arial"/>
                <w:sz w:val="16"/>
                <w:szCs w:val="16"/>
              </w:rPr>
            </w:pPr>
          </w:p>
        </w:tc>
        <w:tc>
          <w:tcPr>
            <w:tcW w:w="1998" w:type="dxa"/>
          </w:tcPr>
          <w:p w14:paraId="29E0DC67" w14:textId="77777777" w:rsidR="006B5958" w:rsidRPr="00A95BE3" w:rsidRDefault="006B5958" w:rsidP="004A0EC8">
            <w:pPr>
              <w:rPr>
                <w:rFonts w:ascii="Helvetica" w:hAnsi="Helvetica" w:cs="Arial"/>
                <w:sz w:val="16"/>
                <w:szCs w:val="16"/>
              </w:rPr>
            </w:pPr>
            <w:r w:rsidRPr="00A95BE3">
              <w:rPr>
                <w:rFonts w:ascii="Helvetica" w:hAnsi="Helvetica" w:cs="Arial"/>
                <w:noProof/>
                <w:sz w:val="16"/>
                <w:szCs w:val="16"/>
              </w:rPr>
              <w:drawing>
                <wp:inline distT="0" distB="0" distL="0" distR="0" wp14:anchorId="4C51B05A" wp14:editId="74E74269">
                  <wp:extent cx="867175" cy="466462"/>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116" cy="470733"/>
                          </a:xfrm>
                          <a:prstGeom prst="rect">
                            <a:avLst/>
                          </a:prstGeom>
                          <a:noFill/>
                          <a:ln>
                            <a:noFill/>
                          </a:ln>
                        </pic:spPr>
                      </pic:pic>
                    </a:graphicData>
                  </a:graphic>
                </wp:inline>
              </w:drawing>
            </w:r>
          </w:p>
        </w:tc>
        <w:tc>
          <w:tcPr>
            <w:tcW w:w="1043" w:type="dxa"/>
          </w:tcPr>
          <w:p w14:paraId="32741F74"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Yes</w:t>
            </w:r>
          </w:p>
        </w:tc>
        <w:tc>
          <w:tcPr>
            <w:tcW w:w="768" w:type="dxa"/>
          </w:tcPr>
          <w:p w14:paraId="2BE77C49"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Low</w:t>
            </w:r>
          </w:p>
        </w:tc>
        <w:tc>
          <w:tcPr>
            <w:tcW w:w="1346" w:type="dxa"/>
          </w:tcPr>
          <w:p w14:paraId="6A97B982"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Uncoupler</w:t>
            </w:r>
          </w:p>
        </w:tc>
        <w:tc>
          <w:tcPr>
            <w:tcW w:w="1499" w:type="dxa"/>
          </w:tcPr>
          <w:p w14:paraId="59B4AAE2"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fldData xml:space="preserve">PEVuZE5vdGU+PENpdGU+PEF1dGhvcj5XZWluYmFjaDwvQXV0aG9yPjxZZWFyPjE5Njk8L1llYXI+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</w:fldData>
              </w:fldChar>
            </w:r>
            <w:r>
              <w:rPr>
                <w:rFonts w:ascii="Helvetica" w:hAnsi="Helvetica" w:cs="Arial"/>
                <w:sz w:val="16"/>
                <w:szCs w:val="16"/>
              </w:rPr>
              <w:instrText xml:space="preserve"> ADDIN EN.CITE </w:instrText>
            </w:r>
            <w:r>
              <w:rPr>
                <w:rFonts w:ascii="Helvetica" w:hAnsi="Helvetica" w:cs="Arial"/>
                <w:sz w:val="16"/>
                <w:szCs w:val="16"/>
              </w:rPr>
              <w:fldChar w:fldCharType="begin">
                <w:fldData xml:space="preserve">PEVuZE5vdGU+PENpdGU+PEF1dGhvcj5XZWluYmFjaDwvQXV0aG9yPjxZZWFyPjE5Njk8L1llYXI+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</w:fldData>
              </w:fldChar>
            </w:r>
            <w:r>
              <w:rPr>
                <w:rFonts w:ascii="Helvetica" w:hAnsi="Helvetica" w:cs="Arial"/>
                <w:sz w:val="16"/>
                <w:szCs w:val="16"/>
              </w:rPr>
              <w:instrText xml:space="preserve"> ADDIN EN.CITE.DATA </w:instrText>
            </w:r>
            <w:r>
              <w:rPr>
                <w:rFonts w:ascii="Helvetica" w:hAnsi="Helvetica" w:cs="Arial"/>
                <w:sz w:val="16"/>
                <w:szCs w:val="16"/>
              </w:rPr>
            </w:r>
            <w:r>
              <w:rPr>
                <w:rFonts w:ascii="Helvetica" w:hAnsi="Helvetica" w:cs="Arial"/>
                <w:sz w:val="16"/>
                <w:szCs w:val="16"/>
              </w:rPr>
              <w:fldChar w:fldCharType="end"/>
            </w:r>
            <w:r w:rsidRPr="00A95BE3">
              <w:rPr>
                <w:rFonts w:ascii="Helvetica" w:hAnsi="Helvetica" w:cs="Arial"/>
                <w:sz w:val="16"/>
                <w:szCs w:val="16"/>
              </w:rPr>
            </w:r>
            <w:r w:rsidRPr="00A95BE3">
              <w:rPr>
                <w:rFonts w:ascii="Helvetica" w:hAnsi="Helvetica" w:cs="Arial"/>
                <w:sz w:val="16"/>
                <w:szCs w:val="16"/>
              </w:rPr>
              <w:fldChar w:fldCharType="separate"/>
            </w:r>
            <w:r w:rsidRPr="001009D2">
              <w:rPr>
                <w:rFonts w:ascii="Helvetica" w:hAnsi="Helvetica" w:cs="Arial"/>
                <w:noProof/>
                <w:sz w:val="16"/>
                <w:szCs w:val="16"/>
              </w:rPr>
              <w:t>(26-28)</w:t>
            </w:r>
            <w:r w:rsidRPr="00A95BE3">
              <w:rPr>
                <w:rFonts w:ascii="Helvetica" w:hAnsi="Helvetica" w:cs="Arial"/>
                <w:sz w:val="16"/>
                <w:szCs w:val="16"/>
              </w:rPr>
              <w:fldChar w:fldCharType="end"/>
            </w:r>
          </w:p>
        </w:tc>
      </w:tr>
      <w:tr w:rsidR="006B5958" w:rsidRPr="00A95BE3" w14:paraId="5392C6EB" w14:textId="77777777" w:rsidTr="004A0EC8">
        <w:tc>
          <w:tcPr>
            <w:tcW w:w="1466" w:type="dxa"/>
          </w:tcPr>
          <w:p w14:paraId="12ABAD56"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Closantel</w:t>
            </w:r>
          </w:p>
          <w:p w14:paraId="5F256EBF"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410.5 g/mol</w:t>
            </w:r>
          </w:p>
          <w:p w14:paraId="3A167033"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1.18</w:t>
            </w:r>
          </w:p>
        </w:tc>
        <w:tc>
          <w:tcPr>
            <w:tcW w:w="1998" w:type="dxa"/>
          </w:tcPr>
          <w:p w14:paraId="09DB3411" w14:textId="77777777" w:rsidR="006B5958" w:rsidRPr="00A95BE3" w:rsidRDefault="006B5958" w:rsidP="004A0EC8">
            <w:pPr>
              <w:rPr>
                <w:rFonts w:ascii="Helvetica" w:hAnsi="Helvetica" w:cs="Arial"/>
                <w:sz w:val="16"/>
                <w:szCs w:val="16"/>
              </w:rPr>
            </w:pPr>
            <w:r w:rsidRPr="00A95BE3">
              <w:rPr>
                <w:rFonts w:ascii="Helvetica" w:hAnsi="Helvetica" w:cs="Arial"/>
                <w:noProof/>
                <w:sz w:val="16"/>
                <w:szCs w:val="16"/>
              </w:rPr>
              <w:drawing>
                <wp:inline distT="0" distB="0" distL="0" distR="0" wp14:anchorId="66EBBA04" wp14:editId="7C4C1FAA">
                  <wp:extent cx="1143440" cy="586376"/>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712" cy="586515"/>
                          </a:xfrm>
                          <a:prstGeom prst="rect">
                            <a:avLst/>
                          </a:prstGeom>
                          <a:noFill/>
                          <a:ln>
                            <a:noFill/>
                          </a:ln>
                        </pic:spPr>
                      </pic:pic>
                    </a:graphicData>
                  </a:graphic>
                </wp:inline>
              </w:drawing>
            </w:r>
          </w:p>
        </w:tc>
        <w:tc>
          <w:tcPr>
            <w:tcW w:w="1043" w:type="dxa"/>
          </w:tcPr>
          <w:p w14:paraId="396913FE"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No</w:t>
            </w:r>
          </w:p>
        </w:tc>
        <w:tc>
          <w:tcPr>
            <w:tcW w:w="768" w:type="dxa"/>
          </w:tcPr>
          <w:p w14:paraId="0F30CA5F"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NA</w:t>
            </w:r>
          </w:p>
        </w:tc>
        <w:tc>
          <w:tcPr>
            <w:tcW w:w="1346" w:type="dxa"/>
          </w:tcPr>
          <w:p w14:paraId="5DD062D8"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Uncoupler</w:t>
            </w:r>
          </w:p>
        </w:tc>
        <w:tc>
          <w:tcPr>
            <w:tcW w:w="1499" w:type="dxa"/>
          </w:tcPr>
          <w:p w14:paraId="1E6CEB7C"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fldData xml:space="preserve">PEVuZE5vdGU+PENpdGU+PEF1dGhvcj5LYW5lPC9BdXRob3I+PFllYXI+MTk4MDwvWWVhcj48UmVj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==
</w:fldData>
              </w:fldChar>
            </w:r>
            <w:r>
              <w:rPr>
                <w:rFonts w:ascii="Helvetica" w:hAnsi="Helvetica" w:cs="Arial"/>
                <w:sz w:val="16"/>
                <w:szCs w:val="16"/>
              </w:rPr>
              <w:instrText xml:space="preserve"> ADDIN EN.CITE </w:instrText>
            </w:r>
            <w:r>
              <w:rPr>
                <w:rFonts w:ascii="Helvetica" w:hAnsi="Helvetica" w:cs="Arial"/>
                <w:sz w:val="16"/>
                <w:szCs w:val="16"/>
              </w:rPr>
              <w:fldChar w:fldCharType="begin">
                <w:fldData xml:space="preserve">PEVuZE5vdGU+PENpdGU+PEF1dGhvcj5LYW5lPC9BdXRob3I+PFllYXI+MTk4MDwvWWVhcj48UmVj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==
</w:fldData>
              </w:fldChar>
            </w:r>
            <w:r>
              <w:rPr>
                <w:rFonts w:ascii="Helvetica" w:hAnsi="Helvetica" w:cs="Arial"/>
                <w:sz w:val="16"/>
                <w:szCs w:val="16"/>
              </w:rPr>
              <w:instrText xml:space="preserve"> ADDIN EN.CITE.DATA </w:instrText>
            </w:r>
            <w:r>
              <w:rPr>
                <w:rFonts w:ascii="Helvetica" w:hAnsi="Helvetica" w:cs="Arial"/>
                <w:sz w:val="16"/>
                <w:szCs w:val="16"/>
              </w:rPr>
            </w:r>
            <w:r>
              <w:rPr>
                <w:rFonts w:ascii="Helvetica" w:hAnsi="Helvetica" w:cs="Arial"/>
                <w:sz w:val="16"/>
                <w:szCs w:val="16"/>
              </w:rPr>
              <w:fldChar w:fldCharType="end"/>
            </w:r>
            <w:r w:rsidRPr="00A95BE3">
              <w:rPr>
                <w:rFonts w:ascii="Helvetica" w:hAnsi="Helvetica" w:cs="Arial"/>
                <w:sz w:val="16"/>
                <w:szCs w:val="16"/>
              </w:rPr>
            </w:r>
            <w:r w:rsidRPr="00A95BE3">
              <w:rPr>
                <w:rFonts w:ascii="Helvetica" w:hAnsi="Helvetica" w:cs="Arial"/>
                <w:sz w:val="16"/>
                <w:szCs w:val="16"/>
              </w:rPr>
              <w:fldChar w:fldCharType="separate"/>
            </w:r>
            <w:r>
              <w:rPr>
                <w:rFonts w:ascii="Helvetica" w:hAnsi="Helvetica" w:cs="Arial"/>
                <w:noProof/>
                <w:sz w:val="16"/>
                <w:szCs w:val="16"/>
              </w:rPr>
              <w:t>(29,30)</w:t>
            </w:r>
            <w:r w:rsidRPr="00A95BE3">
              <w:rPr>
                <w:rFonts w:ascii="Helvetica" w:hAnsi="Helvetica" w:cs="Arial"/>
                <w:sz w:val="16"/>
                <w:szCs w:val="16"/>
              </w:rPr>
              <w:fldChar w:fldCharType="end"/>
            </w:r>
          </w:p>
        </w:tc>
      </w:tr>
      <w:tr w:rsidR="006B5958" w:rsidRPr="00A95BE3" w14:paraId="4A09B7BE" w14:textId="77777777" w:rsidTr="004A0EC8">
        <w:tc>
          <w:tcPr>
            <w:tcW w:w="1466" w:type="dxa"/>
          </w:tcPr>
          <w:p w14:paraId="40E5FB2A"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Salinomycin</w:t>
            </w:r>
          </w:p>
          <w:p w14:paraId="51E15346"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421.8 g/mol</w:t>
            </w:r>
          </w:p>
          <w:p w14:paraId="4C44762D"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 xml:space="preserve">2.96 </w:t>
            </w:r>
          </w:p>
        </w:tc>
        <w:tc>
          <w:tcPr>
            <w:tcW w:w="1998" w:type="dxa"/>
          </w:tcPr>
          <w:p w14:paraId="79767CB4" w14:textId="77777777" w:rsidR="006B5958" w:rsidRPr="00A95BE3" w:rsidRDefault="006B5958" w:rsidP="004A0EC8">
            <w:pPr>
              <w:rPr>
                <w:rFonts w:ascii="Helvetica" w:hAnsi="Helvetica" w:cs="Arial"/>
                <w:sz w:val="16"/>
                <w:szCs w:val="16"/>
              </w:rPr>
            </w:pPr>
            <w:r w:rsidRPr="00A95BE3">
              <w:rPr>
                <w:rFonts w:ascii="Helvetica" w:eastAsia="Times New Roman" w:hAnsi="Helvetica" w:cs="Arial"/>
                <w:noProof/>
                <w:sz w:val="16"/>
                <w:szCs w:val="16"/>
              </w:rPr>
              <w:drawing>
                <wp:inline distT="0" distB="0" distL="0" distR="0" wp14:anchorId="0F67B266" wp14:editId="1833AD6D">
                  <wp:extent cx="1088859" cy="644758"/>
                  <wp:effectExtent l="0" t="0" r="3810" b="0"/>
                  <wp:docPr id="25" name="irc_mi" descr="http://upload.wikimedia.org/wikipedia/commons/7/73/Salinomyc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3/Salinomyc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859" cy="644758"/>
                          </a:xfrm>
                          <a:prstGeom prst="rect">
                            <a:avLst/>
                          </a:prstGeom>
                          <a:noFill/>
                          <a:ln>
                            <a:noFill/>
                          </a:ln>
                        </pic:spPr>
                      </pic:pic>
                    </a:graphicData>
                  </a:graphic>
                </wp:inline>
              </w:drawing>
            </w:r>
          </w:p>
        </w:tc>
        <w:tc>
          <w:tcPr>
            <w:tcW w:w="1043" w:type="dxa"/>
          </w:tcPr>
          <w:p w14:paraId="519AF5DB"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No</w:t>
            </w:r>
          </w:p>
        </w:tc>
        <w:tc>
          <w:tcPr>
            <w:tcW w:w="768" w:type="dxa"/>
          </w:tcPr>
          <w:p w14:paraId="40D6C520"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NA</w:t>
            </w:r>
          </w:p>
        </w:tc>
        <w:tc>
          <w:tcPr>
            <w:tcW w:w="1346" w:type="dxa"/>
          </w:tcPr>
          <w:p w14:paraId="0A552C0D"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Ionophore,</w:t>
            </w:r>
          </w:p>
          <w:p w14:paraId="0087B6E2"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Inhibitor of oxidative phosphorylation</w:t>
            </w:r>
          </w:p>
        </w:tc>
        <w:tc>
          <w:tcPr>
            <w:tcW w:w="1499" w:type="dxa"/>
          </w:tcPr>
          <w:p w14:paraId="717FAC81"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r>
            <w:r>
              <w:rPr>
                <w:rFonts w:ascii="Helvetica" w:hAnsi="Helvetica" w:cs="Arial"/>
                <w:sz w:val="16"/>
                <w:szCs w:val="16"/>
              </w:rPr>
              <w:instrText xml:space="preserve"> ADDIN EN.CITE &lt;EndNote&gt;&lt;Cite&gt;&lt;Author&gt;Mitani&lt;/Author&gt;&lt;Year&gt;1976&lt;/Year&gt;&lt;RecNum&gt;82&lt;/RecNum&gt;&lt;IDText&gt;Salinomycin effects on mitochondrial ion translocation and respiration&lt;/IDText&gt;&lt;DisplayText&gt;(33)&lt;/DisplayText&gt;&lt;record&gt;&lt;rec-number&gt;82&lt;/rec-number&gt;&lt;foreign-keys&gt;&lt;key app="EN" db-id="v0e5rz0x0tzxplez9do5dr0b209e9xzd9tpd" timestamp="1402395399"&gt;82&lt;/key&gt;&lt;/foreign-keys&gt;&lt;ref-type name="Journal Article"&gt;17&lt;/ref-type&gt;&lt;contributors&gt;&lt;authors&gt;&lt;author&gt;Mitani, M.&lt;/author&gt;&lt;author&gt;Yamanishi, T.&lt;/author&gt;&lt;author&gt;Miyazaki, Y.&lt;/author&gt;&lt;author&gt;Otake, N.&lt;/author&gt;&lt;/authors&gt;&lt;/contributors&gt;&lt;titles&gt;&lt;title&gt;Salinomycin effects on mitochondrial ion translocation and respiration&lt;/title&gt;&lt;secondary-title&gt;Antimicrobial Agents and Chemotherapy&lt;/secondary-title&gt;&lt;/titles&gt;&lt;periodical&gt;&lt;full-title&gt;Antimicrobial Agents and Chemotherapy&lt;/full-title&gt;&lt;/periodical&gt;&lt;pages&gt;655-660&lt;/pages&gt;&lt;volume&gt;9&lt;/volume&gt;&lt;number&gt;4&lt;/number&gt;&lt;dates&gt;&lt;year&gt;1976&lt;/year&gt;&lt;/dates&gt;&lt;urls&gt;&lt;related-urls&gt;&lt;url&gt;http://www.scopus.com/inward/record.url?eid=2-s2.0-0017158502&amp;amp;partnerID=40&amp;amp;md5=7ebe5425df90036df3461d8350ed1e0e&lt;/url&gt;&lt;/related-urls&gt;&lt;/urls&gt;&lt;/record&gt;&lt;/Cite&gt;&lt;/EndNote&gt;</w:instrText>
            </w:r>
            <w:r w:rsidRPr="00A95BE3">
              <w:rPr>
                <w:rFonts w:ascii="Helvetica" w:hAnsi="Helvetica" w:cs="Arial"/>
                <w:sz w:val="16"/>
                <w:szCs w:val="16"/>
              </w:rPr>
              <w:fldChar w:fldCharType="separate"/>
            </w:r>
            <w:r w:rsidRPr="001009D2">
              <w:rPr>
                <w:rFonts w:ascii="Helvetica" w:hAnsi="Helvetica" w:cs="Arial"/>
                <w:noProof/>
                <w:sz w:val="16"/>
                <w:szCs w:val="16"/>
              </w:rPr>
              <w:t>(33)</w:t>
            </w:r>
            <w:r w:rsidRPr="00A95BE3">
              <w:rPr>
                <w:rFonts w:ascii="Helvetica" w:hAnsi="Helvetica" w:cs="Arial"/>
                <w:sz w:val="16"/>
                <w:szCs w:val="16"/>
              </w:rPr>
              <w:fldChar w:fldCharType="end"/>
            </w:r>
          </w:p>
        </w:tc>
      </w:tr>
      <w:tr w:rsidR="006B5958" w:rsidRPr="00A95BE3" w14:paraId="67C24689" w14:textId="77777777" w:rsidTr="004A0EC8">
        <w:tc>
          <w:tcPr>
            <w:tcW w:w="1466" w:type="dxa"/>
          </w:tcPr>
          <w:p w14:paraId="71DAC22C" w14:textId="77777777" w:rsidR="006B5958" w:rsidRPr="00A95BE3" w:rsidRDefault="006B5958" w:rsidP="004A0EC8">
            <w:pPr>
              <w:rPr>
                <w:rFonts w:ascii="Helvetica" w:hAnsi="Helvetica" w:cs="Arial"/>
                <w:i/>
                <w:sz w:val="16"/>
                <w:szCs w:val="16"/>
              </w:rPr>
            </w:pPr>
            <w:r w:rsidRPr="00A95BE3">
              <w:rPr>
                <w:rFonts w:ascii="Helvetica" w:hAnsi="Helvetica" w:cs="Arial"/>
                <w:i/>
                <w:sz w:val="16"/>
                <w:szCs w:val="16"/>
              </w:rPr>
              <w:t>Pyrvinium pamoate</w:t>
            </w:r>
          </w:p>
          <w:p w14:paraId="7057FD21"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475.0 g/mol</w:t>
            </w:r>
          </w:p>
          <w:p w14:paraId="7A96D199"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4.50</w:t>
            </w:r>
          </w:p>
        </w:tc>
        <w:tc>
          <w:tcPr>
            <w:tcW w:w="1998" w:type="dxa"/>
          </w:tcPr>
          <w:p w14:paraId="06F3C91B" w14:textId="77777777" w:rsidR="006B5958" w:rsidRPr="00A95BE3" w:rsidRDefault="006B5958" w:rsidP="004A0EC8">
            <w:pPr>
              <w:rPr>
                <w:rFonts w:ascii="Helvetica" w:hAnsi="Helvetica" w:cs="Arial"/>
                <w:sz w:val="16"/>
                <w:szCs w:val="16"/>
              </w:rPr>
            </w:pPr>
            <w:r w:rsidRPr="00A95BE3">
              <w:rPr>
                <w:rFonts w:ascii="Helvetica" w:eastAsia="Times New Roman" w:hAnsi="Helvetica" w:cs="Arial"/>
                <w:noProof/>
                <w:sz w:val="16"/>
                <w:szCs w:val="16"/>
              </w:rPr>
              <w:drawing>
                <wp:inline distT="0" distB="0" distL="0" distR="0" wp14:anchorId="1190F52F" wp14:editId="011AC39A">
                  <wp:extent cx="793202" cy="683636"/>
                  <wp:effectExtent l="0" t="0" r="0" b="2540"/>
                  <wp:docPr id="28" name="Bild 28" descr="ile:Pyrvi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le:Pyrvini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202" cy="683636"/>
                          </a:xfrm>
                          <a:prstGeom prst="rect">
                            <a:avLst/>
                          </a:prstGeom>
                          <a:noFill/>
                          <a:ln>
                            <a:noFill/>
                          </a:ln>
                        </pic:spPr>
                      </pic:pic>
                    </a:graphicData>
                  </a:graphic>
                </wp:inline>
              </w:drawing>
            </w:r>
          </w:p>
        </w:tc>
        <w:tc>
          <w:tcPr>
            <w:tcW w:w="1043" w:type="dxa"/>
          </w:tcPr>
          <w:p w14:paraId="5176C149"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Yes</w:t>
            </w:r>
          </w:p>
        </w:tc>
        <w:tc>
          <w:tcPr>
            <w:tcW w:w="768" w:type="dxa"/>
          </w:tcPr>
          <w:p w14:paraId="53E1FB5D"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Low</w:t>
            </w:r>
          </w:p>
        </w:tc>
        <w:tc>
          <w:tcPr>
            <w:tcW w:w="1346" w:type="dxa"/>
          </w:tcPr>
          <w:p w14:paraId="1F750391"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t>Inhibitor of NADH-fumarate reductase system</w:t>
            </w:r>
          </w:p>
        </w:tc>
        <w:tc>
          <w:tcPr>
            <w:tcW w:w="1499" w:type="dxa"/>
          </w:tcPr>
          <w:p w14:paraId="671690EA" w14:textId="77777777" w:rsidR="006B5958" w:rsidRPr="00A95BE3" w:rsidRDefault="006B5958" w:rsidP="004A0EC8">
            <w:pPr>
              <w:rPr>
                <w:rFonts w:ascii="Helvetica" w:hAnsi="Helvetica" w:cs="Arial"/>
                <w:sz w:val="16"/>
                <w:szCs w:val="16"/>
              </w:rPr>
            </w:pPr>
            <w:r w:rsidRPr="00A95BE3">
              <w:rPr>
                <w:rFonts w:ascii="Helvetica" w:hAnsi="Helvetica" w:cs="Arial"/>
                <w:sz w:val="16"/>
                <w:szCs w:val="16"/>
              </w:rPr>
              <w:fldChar w:fldCharType="begin"/>
            </w:r>
            <w:r>
              <w:rPr>
                <w:rFonts w:ascii="Helvetica" w:hAnsi="Helvetica" w:cs="Arial"/>
                <w:sz w:val="16"/>
                <w:szCs w:val="16"/>
              </w:rPr>
              <w:instrText xml:space="preserve"> ADDIN EN.CITE &lt;EndNote&gt;&lt;Cite&gt;&lt;Author&gt;Tomitsuka&lt;/Author&gt;&lt;Year&gt;2012&lt;/Year&gt;&lt;RecNum&gt;72&lt;/RecNum&gt;&lt;IDText&gt;An anticancer agent, pyrvinium pamoate inhibits the NADH–fumarate reductase system—a unique mitochondrial energy metabolism in tumour microenvironments&lt;/IDText&gt;&lt;DisplayText&gt;(31)&lt;/DisplayText&gt;&lt;record&gt;&lt;rec-number&gt;72&lt;/rec-number&gt;&lt;foreign-keys&gt;&lt;key app="EN" db-id="v0e5rz0x0tzxplez9do5dr0b209e9xzd9tpd" timestamp="1402395379"&gt;72&lt;/key&gt;&lt;/foreign-keys&gt;&lt;ref-type name="Journal Article"&gt;17&lt;/ref-type&gt;&lt;contributors&gt;&lt;authors&gt;&lt;author&gt;Tomitsuka, Eriko&lt;/author&gt;&lt;author&gt;Kita, Kiyoshi&lt;/author&gt;&lt;author&gt;Esumi, Hiroyasu&lt;/author&gt;&lt;/authors&gt;&lt;/contributors&gt;&lt;titles&gt;&lt;title&gt;An anticancer agent, pyrvinium pamoate inhibits the NADH–fumarate reductase system—a unique mitochondrial energy metabolism in tumour microenvironments&lt;/title&gt;&lt;secondary-title&gt;Journal of Biochemistry&lt;/secondary-title&gt;&lt;/titles&gt;&lt;periodical&gt;&lt;full-title&gt;Journal of Biochemistry&lt;/full-title&gt;&lt;/periodical&gt;&lt;pages&gt;171-183&lt;/pages&gt;&lt;volume&gt;152&lt;/volume&gt;&lt;number&gt;2&lt;/number&gt;&lt;dates&gt;&lt;year&gt;2012&lt;/year&gt;&lt;/dates&gt;&lt;urls&gt;&lt;related-urls&gt;&lt;url&gt;http://jb.oxfordjournals.org/content/152/2/171.abstract&lt;/url&gt;&lt;/related-urls&gt;&lt;/urls&gt;&lt;electronic-resource-num&gt;10.1093/jb/mvs041&lt;/electronic-resource-num&gt;&lt;/record&gt;&lt;/Cite&gt;&lt;/EndNote&gt;</w:instrText>
            </w:r>
            <w:r w:rsidRPr="00A95BE3">
              <w:rPr>
                <w:rFonts w:ascii="Helvetica" w:hAnsi="Helvetica" w:cs="Arial"/>
                <w:sz w:val="16"/>
                <w:szCs w:val="16"/>
              </w:rPr>
              <w:fldChar w:fldCharType="separate"/>
            </w:r>
            <w:r w:rsidRPr="001009D2">
              <w:rPr>
                <w:rFonts w:ascii="Helvetica" w:hAnsi="Helvetica" w:cs="Arial"/>
                <w:noProof/>
                <w:sz w:val="16"/>
                <w:szCs w:val="16"/>
              </w:rPr>
              <w:t>(31)</w:t>
            </w:r>
            <w:r w:rsidRPr="00A95BE3">
              <w:rPr>
                <w:rFonts w:ascii="Helvetica" w:hAnsi="Helvetica" w:cs="Arial"/>
                <w:sz w:val="16"/>
                <w:szCs w:val="16"/>
              </w:rPr>
              <w:fldChar w:fldCharType="end"/>
            </w:r>
          </w:p>
        </w:tc>
      </w:tr>
    </w:tbl>
    <w:p w14:paraId="2318D455" w14:textId="77777777" w:rsidR="006B5958" w:rsidRPr="00CE5A5B" w:rsidRDefault="006B5958" w:rsidP="006B5958">
      <w:pPr>
        <w:contextualSpacing/>
        <w:rPr>
          <w:rFonts w:ascii="Helvetica" w:hAnsi="Helvetica"/>
          <w:sz w:val="16"/>
          <w:szCs w:val="16"/>
        </w:rPr>
      </w:pPr>
      <w:r w:rsidRPr="00CE5A5B">
        <w:rPr>
          <w:rFonts w:ascii="Helvetica" w:hAnsi="Helvetica"/>
          <w:sz w:val="16"/>
          <w:szCs w:val="16"/>
        </w:rPr>
        <w:t xml:space="preserve">Shared pharmacophore highlighted with red rectangle. </w:t>
      </w:r>
    </w:p>
    <w:p w14:paraId="0A967D33" w14:textId="77777777" w:rsidR="006B5958" w:rsidRPr="00CE5A5B" w:rsidRDefault="006B5958" w:rsidP="006B5958">
      <w:pPr>
        <w:contextualSpacing/>
        <w:rPr>
          <w:rFonts w:ascii="Helvetica" w:hAnsi="Helvetica"/>
          <w:b/>
          <w:sz w:val="16"/>
          <w:szCs w:val="16"/>
        </w:rPr>
      </w:pPr>
      <w:r w:rsidRPr="00CE5A5B">
        <w:rPr>
          <w:rFonts w:ascii="Helvetica" w:hAnsi="Helvetica"/>
          <w:sz w:val="16"/>
          <w:szCs w:val="16"/>
        </w:rPr>
        <w:t>*</w:t>
      </w:r>
      <w:r w:rsidRPr="00CE5A5B">
        <w:rPr>
          <w:rFonts w:ascii="Arial" w:hAnsi="Arial" w:cs="Arial"/>
          <w:sz w:val="16"/>
          <w:szCs w:val="16"/>
        </w:rPr>
        <w:t xml:space="preserve"> </w:t>
      </w:r>
      <w:r w:rsidRPr="00CE5A5B">
        <w:rPr>
          <w:rFonts w:ascii="Helvetica" w:hAnsi="Helvetica" w:cs="Arial"/>
          <w:sz w:val="16"/>
          <w:szCs w:val="16"/>
        </w:rPr>
        <w:t>Tizoxanide is the active metabolite of nitazoxanide.</w:t>
      </w:r>
    </w:p>
    <w:p w14:paraId="4A4DC978" w14:textId="77777777" w:rsidR="006B5958" w:rsidRDefault="006B5958" w:rsidP="005F392D">
      <w:pPr>
        <w:spacing w:line="480" w:lineRule="auto"/>
        <w:jc w:val="both"/>
        <w:rPr>
          <w:rFonts w:ascii="Helvetica" w:hAnsi="Helvetica"/>
          <w:b/>
          <w:sz w:val="28"/>
          <w:szCs w:val="28"/>
        </w:rPr>
      </w:pPr>
    </w:p>
    <w:p w14:paraId="7FE982CB" w14:textId="77777777" w:rsidR="006B5958" w:rsidRDefault="006B5958" w:rsidP="005F392D">
      <w:pPr>
        <w:spacing w:line="480" w:lineRule="auto"/>
        <w:jc w:val="both"/>
        <w:rPr>
          <w:rFonts w:ascii="Helvetica" w:hAnsi="Helvetica"/>
          <w:b/>
          <w:sz w:val="28"/>
          <w:szCs w:val="28"/>
        </w:rPr>
      </w:pPr>
    </w:p>
    <w:p w14:paraId="3C4BA5CD" w14:textId="77777777" w:rsidR="006B5958" w:rsidRDefault="006B5958" w:rsidP="005F392D">
      <w:pPr>
        <w:spacing w:line="480" w:lineRule="auto"/>
        <w:jc w:val="both"/>
        <w:rPr>
          <w:rFonts w:ascii="Helvetica" w:hAnsi="Helvetica"/>
          <w:b/>
          <w:sz w:val="28"/>
          <w:szCs w:val="28"/>
        </w:rPr>
      </w:pPr>
    </w:p>
    <w:p w14:paraId="32591158" w14:textId="77777777" w:rsidR="00F71B15" w:rsidRDefault="00F71B15" w:rsidP="005F392D">
      <w:pPr>
        <w:spacing w:line="480" w:lineRule="auto"/>
        <w:jc w:val="both"/>
        <w:rPr>
          <w:rFonts w:ascii="Helvetica" w:hAnsi="Helvetica"/>
          <w:b/>
          <w:sz w:val="28"/>
          <w:szCs w:val="28"/>
        </w:rPr>
      </w:pPr>
    </w:p>
    <w:p w14:paraId="1DFB1C5C" w14:textId="77777777" w:rsidR="00F71B15" w:rsidRDefault="00F71B15" w:rsidP="005F392D">
      <w:pPr>
        <w:spacing w:line="480" w:lineRule="auto"/>
        <w:jc w:val="both"/>
        <w:rPr>
          <w:rFonts w:ascii="Helvetica" w:hAnsi="Helvetica"/>
          <w:b/>
          <w:sz w:val="28"/>
          <w:szCs w:val="28"/>
        </w:rPr>
      </w:pPr>
    </w:p>
    <w:p w14:paraId="457BC286" w14:textId="77777777" w:rsidR="00F71B15" w:rsidRDefault="00F71B15" w:rsidP="005F392D">
      <w:pPr>
        <w:spacing w:line="480" w:lineRule="auto"/>
        <w:jc w:val="both"/>
        <w:rPr>
          <w:rFonts w:ascii="Helvetica" w:hAnsi="Helvetica"/>
          <w:b/>
          <w:sz w:val="28"/>
          <w:szCs w:val="28"/>
        </w:rPr>
      </w:pPr>
    </w:p>
    <w:p w14:paraId="37E264FF" w14:textId="77777777" w:rsidR="00F71B15" w:rsidRDefault="00F71B15" w:rsidP="005F392D">
      <w:pPr>
        <w:spacing w:line="480" w:lineRule="auto"/>
        <w:jc w:val="both"/>
        <w:rPr>
          <w:rFonts w:ascii="Helvetica" w:hAnsi="Helvetica"/>
          <w:b/>
          <w:sz w:val="28"/>
          <w:szCs w:val="28"/>
        </w:rPr>
      </w:pPr>
    </w:p>
    <w:p w14:paraId="03496E12" w14:textId="77777777" w:rsidR="00F71B15" w:rsidRDefault="00F71B15" w:rsidP="005F392D">
      <w:pPr>
        <w:spacing w:line="480" w:lineRule="auto"/>
        <w:jc w:val="both"/>
        <w:rPr>
          <w:rFonts w:ascii="Helvetica" w:hAnsi="Helvetica"/>
          <w:b/>
          <w:sz w:val="28"/>
          <w:szCs w:val="28"/>
        </w:rPr>
      </w:pPr>
    </w:p>
    <w:p w14:paraId="3D246D49" w14:textId="77777777" w:rsidR="005F392D" w:rsidRDefault="005F392D" w:rsidP="005F392D">
      <w:pPr>
        <w:spacing w:line="480" w:lineRule="auto"/>
        <w:jc w:val="both"/>
        <w:rPr>
          <w:rFonts w:ascii="Helvetica" w:hAnsi="Helvetica"/>
          <w:b/>
          <w:sz w:val="28"/>
          <w:szCs w:val="28"/>
        </w:rPr>
      </w:pPr>
      <w:bookmarkStart w:id="0" w:name="_GoBack"/>
      <w:bookmarkEnd w:id="0"/>
      <w:r>
        <w:rPr>
          <w:rFonts w:ascii="Helvetica" w:hAnsi="Helvetica"/>
          <w:b/>
          <w:sz w:val="28"/>
          <w:szCs w:val="28"/>
        </w:rPr>
        <w:t>Supplementary Figure legends</w:t>
      </w:r>
    </w:p>
    <w:p w14:paraId="39814BC2" w14:textId="77777777" w:rsidR="005F392D" w:rsidRPr="006C002B" w:rsidRDefault="005F392D" w:rsidP="005F392D">
      <w:pPr>
        <w:spacing w:line="480" w:lineRule="auto"/>
        <w:jc w:val="both"/>
        <w:rPr>
          <w:rFonts w:ascii="Helvetica" w:hAnsi="Helvetica"/>
          <w:b/>
        </w:rPr>
      </w:pPr>
      <w:r w:rsidRPr="006C002B">
        <w:rPr>
          <w:rFonts w:ascii="Helvetica" w:hAnsi="Helvetica"/>
          <w:b/>
        </w:rPr>
        <w:t xml:space="preserve">Supplementary Table </w:t>
      </w:r>
      <w:r w:rsidR="006B5958">
        <w:rPr>
          <w:rFonts w:ascii="Helvetica" w:hAnsi="Helvetica"/>
          <w:b/>
        </w:rPr>
        <w:t>S</w:t>
      </w:r>
      <w:r w:rsidRPr="006C002B">
        <w:rPr>
          <w:rFonts w:ascii="Helvetica" w:hAnsi="Helvetica"/>
          <w:b/>
        </w:rPr>
        <w:t>1</w:t>
      </w:r>
    </w:p>
    <w:p w14:paraId="30441AD5" w14:textId="77777777" w:rsidR="005F392D" w:rsidRDefault="005F392D" w:rsidP="005F392D">
      <w:pPr>
        <w:spacing w:line="480" w:lineRule="auto"/>
        <w:jc w:val="both"/>
        <w:rPr>
          <w:rFonts w:ascii="Helvetica" w:hAnsi="Helvetica"/>
        </w:rPr>
      </w:pPr>
      <w:r w:rsidRPr="006C002B">
        <w:rPr>
          <w:rFonts w:ascii="Helvetica" w:hAnsi="Helvetica"/>
        </w:rPr>
        <w:t>List of 12 3D-selective compounds.</w:t>
      </w:r>
    </w:p>
    <w:p w14:paraId="3FC6308D" w14:textId="77777777" w:rsidR="006B5958" w:rsidRPr="006C002B" w:rsidRDefault="006B5958" w:rsidP="006B5958">
      <w:pPr>
        <w:spacing w:line="480" w:lineRule="auto"/>
        <w:jc w:val="both"/>
        <w:rPr>
          <w:rFonts w:ascii="Helvetica" w:hAnsi="Helvetica"/>
          <w:b/>
        </w:rPr>
      </w:pPr>
      <w:r w:rsidRPr="006C002B">
        <w:rPr>
          <w:rFonts w:ascii="Helvetica" w:hAnsi="Helvetica"/>
          <w:b/>
        </w:rPr>
        <w:t xml:space="preserve">Supplementary Table </w:t>
      </w:r>
      <w:r>
        <w:rPr>
          <w:rFonts w:ascii="Helvetica" w:hAnsi="Helvetica"/>
          <w:b/>
        </w:rPr>
        <w:t>S2</w:t>
      </w:r>
    </w:p>
    <w:p w14:paraId="31415C87" w14:textId="77777777" w:rsidR="006B5958" w:rsidRPr="006B5958" w:rsidRDefault="006B5958" w:rsidP="005F392D">
      <w:pPr>
        <w:spacing w:line="480" w:lineRule="auto"/>
        <w:jc w:val="both"/>
        <w:rPr>
          <w:rFonts w:ascii="Helvetica" w:hAnsi="Helvetica"/>
          <w:sz w:val="32"/>
        </w:rPr>
      </w:pPr>
      <w:r w:rsidRPr="006B5958">
        <w:rPr>
          <w:rFonts w:ascii="Helvetica" w:hAnsi="Helvetica" w:cs="Arial"/>
          <w:szCs w:val="20"/>
        </w:rPr>
        <w:t>Chemical and biological properties of the final hit compounds</w:t>
      </w:r>
      <w:r>
        <w:rPr>
          <w:rFonts w:ascii="Helvetica" w:hAnsi="Helvetica" w:cs="Arial"/>
          <w:szCs w:val="20"/>
        </w:rPr>
        <w:t>.</w:t>
      </w:r>
    </w:p>
    <w:p w14:paraId="33876F93" w14:textId="77777777" w:rsidR="005F392D" w:rsidRPr="006C002B" w:rsidRDefault="005F392D" w:rsidP="005F392D">
      <w:pPr>
        <w:spacing w:line="480" w:lineRule="auto"/>
        <w:jc w:val="both"/>
        <w:rPr>
          <w:rFonts w:ascii="Helvetica" w:hAnsi="Helvetica"/>
          <w:b/>
        </w:rPr>
      </w:pPr>
      <w:r w:rsidRPr="006C002B">
        <w:rPr>
          <w:rFonts w:ascii="Helvetica" w:hAnsi="Helvetica"/>
          <w:b/>
        </w:rPr>
        <w:t>Supplementary Figure S1</w:t>
      </w:r>
    </w:p>
    <w:p w14:paraId="6DD02DA5" w14:textId="77777777" w:rsidR="005F392D" w:rsidRPr="006C002B" w:rsidRDefault="005F392D" w:rsidP="005F392D">
      <w:pPr>
        <w:pStyle w:val="ListParagraph"/>
        <w:numPr>
          <w:ilvl w:val="0"/>
          <w:numId w:val="1"/>
        </w:numPr>
        <w:spacing w:line="480" w:lineRule="auto"/>
        <w:jc w:val="both"/>
        <w:rPr>
          <w:rFonts w:ascii="Helvetica" w:eastAsia="ＭＳ ゴシック" w:hAnsi="Helvetica"/>
          <w:color w:val="000000"/>
        </w:rPr>
      </w:pPr>
      <w:r w:rsidRPr="006C002B">
        <w:rPr>
          <w:rFonts w:ascii="Helvetica" w:hAnsi="Helvetica"/>
        </w:rPr>
        <w:t xml:space="preserve">Glucose concentration in the culturing medium over time of the spheroid culture. Measurements are shown as means </w:t>
      </w:r>
      <w:r w:rsidRPr="006C002B">
        <w:rPr>
          <w:rFonts w:ascii="Helvetica" w:eastAsia="ＭＳ ゴシック" w:hAnsi="Helvetica"/>
          <w:color w:val="000000"/>
        </w:rPr>
        <w:t>± s.d.; (n = 3).</w:t>
      </w:r>
    </w:p>
    <w:p w14:paraId="66740B93" w14:textId="77777777" w:rsidR="005F392D" w:rsidRPr="006C002B" w:rsidRDefault="005F392D" w:rsidP="005F392D">
      <w:pPr>
        <w:pStyle w:val="ListParagraph"/>
        <w:numPr>
          <w:ilvl w:val="0"/>
          <w:numId w:val="1"/>
        </w:numPr>
        <w:spacing w:line="480" w:lineRule="auto"/>
        <w:jc w:val="both"/>
        <w:rPr>
          <w:rFonts w:ascii="Helvetica" w:eastAsia="ＭＳ ゴシック" w:hAnsi="Helvetica"/>
          <w:color w:val="000000"/>
        </w:rPr>
      </w:pPr>
      <w:r w:rsidRPr="006C002B">
        <w:rPr>
          <w:rFonts w:ascii="Helvetica" w:hAnsi="Helvetica"/>
        </w:rPr>
        <w:t xml:space="preserve">pH in the culturing medium over time of the spheroid culture. Measurements are shown as means </w:t>
      </w:r>
      <w:r w:rsidRPr="006C002B">
        <w:rPr>
          <w:rFonts w:ascii="Helvetica" w:eastAsia="ＭＳ ゴシック" w:hAnsi="Helvetica"/>
          <w:color w:val="000000"/>
        </w:rPr>
        <w:t>± s.d.; (n = 3).</w:t>
      </w:r>
    </w:p>
    <w:p w14:paraId="0CECF154" w14:textId="77777777" w:rsidR="005F392D" w:rsidRPr="006C002B" w:rsidRDefault="005F392D" w:rsidP="005F392D">
      <w:pPr>
        <w:spacing w:line="480" w:lineRule="auto"/>
        <w:jc w:val="both"/>
        <w:rPr>
          <w:rFonts w:ascii="Helvetica" w:eastAsia="Times New Roman" w:hAnsi="Helvetica" w:cs="Times New Roman"/>
          <w:b/>
          <w:color w:val="000000"/>
        </w:rPr>
      </w:pPr>
      <w:r w:rsidRPr="006C002B">
        <w:rPr>
          <w:rFonts w:ascii="Helvetica" w:eastAsia="Times New Roman" w:hAnsi="Helvetica" w:cs="Times New Roman"/>
          <w:b/>
          <w:color w:val="000000"/>
        </w:rPr>
        <w:t xml:space="preserve">Supplementary Figure S2 </w:t>
      </w:r>
    </w:p>
    <w:p w14:paraId="78F2DEB5" w14:textId="77777777" w:rsidR="005F392D" w:rsidRPr="006C002B" w:rsidRDefault="005F392D" w:rsidP="005F392D">
      <w:pPr>
        <w:spacing w:line="480" w:lineRule="auto"/>
        <w:jc w:val="both"/>
        <w:rPr>
          <w:rFonts w:ascii="Helvetica" w:eastAsia="Times New Roman" w:hAnsi="Helvetica" w:cs="Times New Roman"/>
          <w:color w:val="000000"/>
        </w:rPr>
      </w:pPr>
      <w:r w:rsidRPr="006C002B">
        <w:rPr>
          <w:rFonts w:ascii="Helvetica" w:eastAsia="Times New Roman" w:hAnsi="Helvetica" w:cs="Times New Roman"/>
          <w:b/>
          <w:color w:val="000000"/>
        </w:rPr>
        <w:t>Spheroid-based dose-response experiment with time resolution.</w:t>
      </w:r>
      <w:r w:rsidRPr="006C002B">
        <w:rPr>
          <w:rFonts w:ascii="Helvetica" w:eastAsia="Times New Roman" w:hAnsi="Helvetica" w:cs="Times New Roman"/>
          <w:color w:val="000000"/>
        </w:rPr>
        <w:t xml:space="preserve"> </w:t>
      </w:r>
    </w:p>
    <w:p w14:paraId="1856B2A1" w14:textId="77777777" w:rsidR="005F392D" w:rsidRPr="006C002B" w:rsidRDefault="005F392D" w:rsidP="005F392D">
      <w:pPr>
        <w:spacing w:line="480" w:lineRule="auto"/>
        <w:jc w:val="both"/>
        <w:rPr>
          <w:rFonts w:ascii="Helvetica" w:hAnsi="Helvetica"/>
        </w:rPr>
      </w:pPr>
      <w:r w:rsidRPr="006C002B">
        <w:rPr>
          <w:rFonts w:ascii="Helvetica" w:eastAsia="Times New Roman" w:hAnsi="Helvetica" w:cs="Times New Roman"/>
          <w:i/>
          <w:color w:val="000000"/>
        </w:rPr>
        <w:t xml:space="preserve">Left: </w:t>
      </w:r>
      <w:r w:rsidRPr="006C002B">
        <w:rPr>
          <w:rFonts w:ascii="Helvetica" w:hAnsi="Helvetica"/>
        </w:rPr>
        <w:t xml:space="preserve">Dose-response curves for HCT116 GFP spheroids (started with 10000 cells/well and grown as spheroids for 7 days prior treatment) treated with nitazoxanide at various concentrations for 24, 48 or 72h. Cell viability was assessed with measurements of mean spheroid GFP fluorescence intensity (3D). Results are shown as means </w:t>
      </w:r>
      <w:r w:rsidRPr="006C002B">
        <w:rPr>
          <w:rFonts w:ascii="Helvetica" w:eastAsia="ＭＳ ゴシック" w:hAnsi="Helvetica"/>
          <w:color w:val="000000"/>
        </w:rPr>
        <w:t>± s.d.; (n = 3).</w:t>
      </w:r>
      <w:r w:rsidRPr="006C002B">
        <w:rPr>
          <w:rFonts w:ascii="Helvetica" w:hAnsi="Helvetica"/>
        </w:rPr>
        <w:t xml:space="preserve"> </w:t>
      </w:r>
      <w:r w:rsidRPr="006C002B">
        <w:rPr>
          <w:rFonts w:ascii="Helvetica" w:hAnsi="Helvetica"/>
          <w:i/>
        </w:rPr>
        <w:t xml:space="preserve">Right: </w:t>
      </w:r>
      <w:r w:rsidRPr="006C002B">
        <w:rPr>
          <w:rFonts w:ascii="Helvetica" w:hAnsi="Helvetica"/>
        </w:rPr>
        <w:t>Bright-field/fluorescence composite images acquired with automated fluorescence microscope (magnification 5x) using identical settings.</w:t>
      </w:r>
    </w:p>
    <w:p w14:paraId="510F7B1E" w14:textId="77777777" w:rsidR="005F392D" w:rsidRPr="006C002B" w:rsidRDefault="005F392D" w:rsidP="005F392D">
      <w:pPr>
        <w:spacing w:line="480" w:lineRule="auto"/>
        <w:jc w:val="both"/>
        <w:rPr>
          <w:rFonts w:ascii="Helvetica" w:eastAsia="Times New Roman" w:hAnsi="Helvetica" w:cs="Times New Roman"/>
          <w:color w:val="000000"/>
        </w:rPr>
      </w:pPr>
      <w:r w:rsidRPr="006C002B">
        <w:rPr>
          <w:rFonts w:ascii="Helvetica" w:hAnsi="Helvetica"/>
        </w:rPr>
        <w:t xml:space="preserve">All data and images presented are acquired from the same experiment. </w:t>
      </w:r>
      <w:r w:rsidRPr="006C002B">
        <w:rPr>
          <w:rFonts w:ascii="Helvetica" w:eastAsia="Times New Roman" w:hAnsi="Helvetica" w:cs="Times New Roman"/>
          <w:color w:val="000000"/>
        </w:rPr>
        <w:t xml:space="preserve"> </w:t>
      </w:r>
    </w:p>
    <w:p w14:paraId="59F30351" w14:textId="77777777" w:rsidR="005F392D" w:rsidRPr="006C002B" w:rsidRDefault="005F392D" w:rsidP="005F392D">
      <w:pPr>
        <w:spacing w:line="480" w:lineRule="auto"/>
        <w:jc w:val="both"/>
        <w:rPr>
          <w:rFonts w:ascii="Helvetica" w:hAnsi="Helvetica"/>
        </w:rPr>
      </w:pPr>
      <w:r w:rsidRPr="006C002B">
        <w:rPr>
          <w:rFonts w:ascii="Helvetica" w:eastAsia="Times New Roman" w:hAnsi="Helvetica" w:cs="Times New Roman"/>
          <w:color w:val="000000"/>
        </w:rPr>
        <w:t>This illustrates the possibility to test many different doses and perform sequential measurements from the same plate with our assay.</w:t>
      </w:r>
    </w:p>
    <w:p w14:paraId="5AD316F6" w14:textId="77777777" w:rsidR="005F392D" w:rsidRPr="006C002B" w:rsidRDefault="005F392D" w:rsidP="005F392D">
      <w:pPr>
        <w:spacing w:line="480" w:lineRule="auto"/>
        <w:jc w:val="both"/>
        <w:rPr>
          <w:rFonts w:ascii="Helvetica" w:hAnsi="Helvetica"/>
          <w:b/>
        </w:rPr>
      </w:pPr>
      <w:r w:rsidRPr="006C002B">
        <w:rPr>
          <w:rFonts w:ascii="Helvetica" w:hAnsi="Helvetica"/>
          <w:b/>
        </w:rPr>
        <w:t>Supplementary Figure S3</w:t>
      </w:r>
    </w:p>
    <w:p w14:paraId="6F24C1B7" w14:textId="77777777" w:rsidR="005F392D" w:rsidRPr="006C002B" w:rsidRDefault="005F392D" w:rsidP="005F392D">
      <w:pPr>
        <w:spacing w:line="480" w:lineRule="auto"/>
        <w:jc w:val="both"/>
        <w:rPr>
          <w:rFonts w:ascii="Helvetica" w:hAnsi="Helvetica"/>
        </w:rPr>
      </w:pPr>
      <w:r w:rsidRPr="006C002B">
        <w:rPr>
          <w:rFonts w:ascii="Helvetica" w:hAnsi="Helvetica"/>
        </w:rPr>
        <w:t>Pearson correlation between two viability assays used for the screen. Data for GFP signal (horizontal axis) were acquired after 72h exposure of spheroids to library drugs. TOX8</w:t>
      </w:r>
      <w:r w:rsidRPr="006C002B">
        <w:rPr>
          <w:rFonts w:ascii="Helvetica" w:hAnsi="Helvetica"/>
          <w:vertAlign w:val="superscript"/>
        </w:rPr>
        <w:t>TM</w:t>
      </w:r>
      <w:r w:rsidRPr="006C002B">
        <w:rPr>
          <w:rFonts w:ascii="Helvetica" w:hAnsi="Helvetica"/>
        </w:rPr>
        <w:t xml:space="preserve"> (resazurin-based assay) data were acquired after 7 days of drug exposure, at the end of screening part. </w:t>
      </w:r>
    </w:p>
    <w:p w14:paraId="70288E53" w14:textId="77777777" w:rsidR="005F392D" w:rsidRPr="006C002B" w:rsidRDefault="005F392D" w:rsidP="005F392D">
      <w:pPr>
        <w:spacing w:line="480" w:lineRule="auto"/>
        <w:jc w:val="both"/>
        <w:rPr>
          <w:rFonts w:ascii="Helvetica" w:hAnsi="Helvetica"/>
          <w:b/>
        </w:rPr>
      </w:pPr>
      <w:r w:rsidRPr="006C002B">
        <w:rPr>
          <w:rFonts w:ascii="Helvetica" w:hAnsi="Helvetica"/>
          <w:b/>
        </w:rPr>
        <w:t>Supplementary Figure S4</w:t>
      </w:r>
    </w:p>
    <w:p w14:paraId="5EE9084D" w14:textId="77777777" w:rsidR="005F392D" w:rsidRDefault="005F392D" w:rsidP="005F392D">
      <w:pPr>
        <w:spacing w:line="480" w:lineRule="auto"/>
        <w:jc w:val="both"/>
        <w:rPr>
          <w:rFonts w:ascii="Helvetica" w:hAnsi="Helvetica"/>
          <w:color w:val="000000"/>
        </w:rPr>
      </w:pPr>
      <w:r w:rsidRPr="006C002B">
        <w:rPr>
          <w:rFonts w:ascii="Helvetica" w:hAnsi="Helvetica"/>
        </w:rPr>
        <w:t xml:space="preserve">Clonogenicity of cells from dissociated HT-29 spheroids after 72h incubation with screening hit compounds or doxorubicin at concentrations equal to 2D IC50 values in comparison with unexposed controls. Concentrations used: closantel 25 </w:t>
      </w:r>
      <w:r w:rsidRPr="006C002B">
        <w:rPr>
          <w:rFonts w:ascii="Helvetica" w:hAnsi="Helvetica"/>
          <w:color w:val="000000"/>
        </w:rPr>
        <w:t>μM, niclosamide 17.5 μM, nitazoxanide 25 μM, salinomycin 6 μM, pyrvinium pamoate 0.5 μM, doxorubicin 3 μM.</w:t>
      </w:r>
    </w:p>
    <w:p w14:paraId="178BD8E7" w14:textId="64CAB709" w:rsidR="004A0EC8" w:rsidRPr="006C002B" w:rsidRDefault="004A0EC8" w:rsidP="004A0EC8">
      <w:pPr>
        <w:spacing w:line="480" w:lineRule="auto"/>
        <w:jc w:val="both"/>
        <w:rPr>
          <w:rFonts w:ascii="Helvetica" w:hAnsi="Helvetica"/>
          <w:b/>
        </w:rPr>
      </w:pPr>
      <w:r>
        <w:rPr>
          <w:rFonts w:ascii="Helvetica" w:hAnsi="Helvetica"/>
          <w:b/>
        </w:rPr>
        <w:t>Supplementary Figure S5</w:t>
      </w:r>
    </w:p>
    <w:p w14:paraId="42B792E9" w14:textId="4FDCB035" w:rsidR="004A0EC8" w:rsidRDefault="004A0EC8" w:rsidP="005F392D">
      <w:pPr>
        <w:spacing w:line="480" w:lineRule="auto"/>
        <w:jc w:val="both"/>
        <w:rPr>
          <w:rFonts w:ascii="Helvetica" w:hAnsi="Helvetica"/>
          <w:color w:val="000000"/>
        </w:rPr>
      </w:pPr>
      <w:r>
        <w:rPr>
          <w:rFonts w:ascii="Helvetica" w:hAnsi="Helvetica"/>
          <w:color w:val="000000"/>
        </w:rPr>
        <w:t>Medium-stressed spheroids are more sensitive to the final screening hits than spheroids formed with medium change.</w:t>
      </w:r>
    </w:p>
    <w:p w14:paraId="6060B639" w14:textId="64A52FB7" w:rsidR="004A0EC8" w:rsidRPr="00AA2EC2" w:rsidRDefault="004A0EC8" w:rsidP="00AA2EC2">
      <w:pPr>
        <w:pStyle w:val="ListParagraph"/>
        <w:numPr>
          <w:ilvl w:val="0"/>
          <w:numId w:val="3"/>
        </w:numPr>
        <w:spacing w:line="480" w:lineRule="auto"/>
        <w:jc w:val="both"/>
        <w:rPr>
          <w:rFonts w:ascii="Helvetica" w:eastAsia="ＭＳ ゴシック" w:hAnsi="Helvetica"/>
          <w:color w:val="000000"/>
        </w:rPr>
      </w:pPr>
      <w:r w:rsidRPr="00AA2EC2">
        <w:rPr>
          <w:rFonts w:ascii="Helvetica" w:hAnsi="Helvetica"/>
          <w:color w:val="000000"/>
        </w:rPr>
        <w:t xml:space="preserve">Dose-response curves for HCT116 GFP spheroids </w:t>
      </w:r>
      <w:r w:rsidR="00AA2EC2" w:rsidRPr="00AA2EC2">
        <w:rPr>
          <w:rFonts w:ascii="Helvetica" w:hAnsi="Helvetica"/>
          <w:color w:val="000000"/>
        </w:rPr>
        <w:t>(</w:t>
      </w:r>
      <w:r w:rsidR="00AA2EC2" w:rsidRPr="00AA2EC2">
        <w:rPr>
          <w:rFonts w:ascii="Helvetica" w:hAnsi="Helvetica"/>
        </w:rPr>
        <w:t>10000 cells/well grown as spheroids for 7 days prior treatment)</w:t>
      </w:r>
      <w:r w:rsidR="00AA2EC2" w:rsidRPr="00AA2EC2">
        <w:rPr>
          <w:rFonts w:ascii="Helvetica" w:hAnsi="Helvetica"/>
          <w:color w:val="000000"/>
        </w:rPr>
        <w:t xml:space="preserve"> f</w:t>
      </w:r>
      <w:r w:rsidRPr="00AA2EC2">
        <w:rPr>
          <w:rFonts w:ascii="Helvetica" w:hAnsi="Helvetica"/>
          <w:color w:val="000000"/>
        </w:rPr>
        <w:t>ormed without (no medium change</w:t>
      </w:r>
      <w:r w:rsidR="00AA2EC2" w:rsidRPr="00AA2EC2">
        <w:rPr>
          <w:rFonts w:ascii="Helvetica" w:hAnsi="Helvetica"/>
          <w:color w:val="000000"/>
        </w:rPr>
        <w:t>; blue) or with</w:t>
      </w:r>
      <w:r w:rsidRPr="00AA2EC2">
        <w:rPr>
          <w:rFonts w:ascii="Helvetica" w:hAnsi="Helvetica"/>
          <w:color w:val="000000"/>
        </w:rPr>
        <w:t xml:space="preserve"> medium change (</w:t>
      </w:r>
      <w:r w:rsidR="00AA2EC2" w:rsidRPr="00AA2EC2">
        <w:rPr>
          <w:rFonts w:ascii="Helvetica" w:hAnsi="Helvetica"/>
          <w:color w:val="000000"/>
        </w:rPr>
        <w:t xml:space="preserve">medium changed; red) treated with the final screening hit compounds. Cell viability was assessed with measurements of </w:t>
      </w:r>
      <w:r w:rsidR="00AA2EC2" w:rsidRPr="00AA2EC2">
        <w:rPr>
          <w:rFonts w:ascii="Helvetica" w:hAnsi="Helvetica"/>
        </w:rPr>
        <w:t xml:space="preserve">mean spheroid GFP fluorescence intensity. Results are shown as means </w:t>
      </w:r>
      <w:r w:rsidR="00AA2EC2" w:rsidRPr="00AA2EC2">
        <w:rPr>
          <w:rFonts w:ascii="Helvetica" w:eastAsia="ＭＳ ゴシック" w:hAnsi="Helvetica"/>
          <w:color w:val="000000"/>
        </w:rPr>
        <w:t>± s.d.; (n = 3).</w:t>
      </w:r>
    </w:p>
    <w:p w14:paraId="271D0F96" w14:textId="008895FE" w:rsidR="00AA2EC2" w:rsidRPr="00AA2EC2" w:rsidRDefault="00AA2EC2" w:rsidP="00AA2EC2">
      <w:pPr>
        <w:pStyle w:val="ListParagraph"/>
        <w:numPr>
          <w:ilvl w:val="0"/>
          <w:numId w:val="3"/>
        </w:numPr>
        <w:spacing w:line="480" w:lineRule="auto"/>
        <w:jc w:val="both"/>
        <w:rPr>
          <w:rFonts w:ascii="Helvetica" w:hAnsi="Helvetica"/>
          <w:color w:val="000000"/>
        </w:rPr>
      </w:pPr>
      <w:r>
        <w:rPr>
          <w:rFonts w:ascii="Helvetica" w:hAnsi="Helvetica"/>
          <w:color w:val="000000"/>
        </w:rPr>
        <w:t xml:space="preserve">Viability of HCT116 GFP spheroids formed without or with medium change treated with the final hit compounds at the concentrations indicated. </w:t>
      </w:r>
      <w:r w:rsidRPr="00AA2EC2">
        <w:rPr>
          <w:rFonts w:ascii="Helvetica" w:hAnsi="Helvetica"/>
          <w:color w:val="000000"/>
        </w:rPr>
        <w:t xml:space="preserve">Cell viability was assessed </w:t>
      </w:r>
      <w:r>
        <w:rPr>
          <w:rFonts w:ascii="Helvetica" w:hAnsi="Helvetica"/>
          <w:color w:val="000000"/>
        </w:rPr>
        <w:t xml:space="preserve">every 24 h </w:t>
      </w:r>
      <w:r w:rsidRPr="00AA2EC2">
        <w:rPr>
          <w:rFonts w:ascii="Helvetica" w:hAnsi="Helvetica"/>
          <w:color w:val="000000"/>
        </w:rPr>
        <w:t xml:space="preserve">with measurements of </w:t>
      </w:r>
      <w:r w:rsidRPr="00AA2EC2">
        <w:rPr>
          <w:rFonts w:ascii="Helvetica" w:hAnsi="Helvetica"/>
        </w:rPr>
        <w:t>mean spheroid GFP fluorescence intensity.</w:t>
      </w:r>
      <w:r>
        <w:rPr>
          <w:rFonts w:ascii="Helvetica" w:hAnsi="Helvetica"/>
        </w:rPr>
        <w:t xml:space="preserve"> </w:t>
      </w:r>
      <w:r w:rsidRPr="006C002B">
        <w:rPr>
          <w:rFonts w:ascii="Helvetica" w:hAnsi="Helvetica"/>
        </w:rPr>
        <w:t xml:space="preserve">Results are shown as means </w:t>
      </w:r>
      <w:r w:rsidRPr="006C002B">
        <w:rPr>
          <w:rFonts w:ascii="Helvetica" w:eastAsia="ＭＳ ゴシック" w:hAnsi="Helvetica"/>
          <w:color w:val="000000"/>
        </w:rPr>
        <w:t>± s.d.; (n = 3).</w:t>
      </w:r>
    </w:p>
    <w:p w14:paraId="12EED910" w14:textId="00D524C2" w:rsidR="00AA2EC2" w:rsidRPr="00684DC6" w:rsidRDefault="00AA2EC2" w:rsidP="00AA2EC2">
      <w:pPr>
        <w:pStyle w:val="ListParagraph"/>
        <w:numPr>
          <w:ilvl w:val="0"/>
          <w:numId w:val="3"/>
        </w:numPr>
        <w:spacing w:line="480" w:lineRule="auto"/>
        <w:jc w:val="both"/>
        <w:rPr>
          <w:rFonts w:ascii="Helvetica" w:hAnsi="Helvetica"/>
          <w:color w:val="000000"/>
        </w:rPr>
      </w:pPr>
      <w:r w:rsidRPr="006C002B">
        <w:rPr>
          <w:rFonts w:ascii="Helvetica" w:hAnsi="Helvetica"/>
        </w:rPr>
        <w:t>Clonogenicity of</w:t>
      </w:r>
      <w:r w:rsidR="00143D26">
        <w:rPr>
          <w:rFonts w:ascii="Helvetica" w:hAnsi="Helvetica"/>
        </w:rPr>
        <w:t xml:space="preserve"> all</w:t>
      </w:r>
      <w:r w:rsidRPr="006C002B">
        <w:rPr>
          <w:rFonts w:ascii="Helvetica" w:hAnsi="Helvetica"/>
        </w:rPr>
        <w:t xml:space="preserve"> cells from dissociated HCT116 GFP spheroids </w:t>
      </w:r>
      <w:r>
        <w:rPr>
          <w:rFonts w:ascii="Helvetica" w:hAnsi="Helvetica"/>
        </w:rPr>
        <w:t xml:space="preserve">formed without of with medium change </w:t>
      </w:r>
      <w:r w:rsidRPr="006C002B">
        <w:rPr>
          <w:rFonts w:ascii="Helvetica" w:hAnsi="Helvetica"/>
        </w:rPr>
        <w:t>after 72h</w:t>
      </w:r>
      <w:r>
        <w:rPr>
          <w:rFonts w:ascii="Helvetica" w:hAnsi="Helvetica"/>
        </w:rPr>
        <w:t xml:space="preserve"> exposure to nitazoxanide (</w:t>
      </w:r>
      <w:r w:rsidRPr="006C002B">
        <w:rPr>
          <w:rFonts w:ascii="Helvetica" w:hAnsi="Helvetica"/>
        </w:rPr>
        <w:t xml:space="preserve">5 </w:t>
      </w:r>
      <w:r w:rsidRPr="006C002B">
        <w:rPr>
          <w:rFonts w:ascii="Helvetica" w:hAnsi="Helvetica"/>
          <w:color w:val="000000"/>
        </w:rPr>
        <w:t>μM</w:t>
      </w:r>
      <w:r>
        <w:rPr>
          <w:rFonts w:ascii="Helvetica" w:hAnsi="Helvetica"/>
          <w:color w:val="000000"/>
        </w:rPr>
        <w:t>), niclosamide (0.</w:t>
      </w:r>
      <w:r w:rsidRPr="006C002B">
        <w:rPr>
          <w:rFonts w:ascii="Helvetica" w:hAnsi="Helvetica"/>
        </w:rPr>
        <w:t xml:space="preserve">5 </w:t>
      </w:r>
      <w:r w:rsidRPr="006C002B">
        <w:rPr>
          <w:rFonts w:ascii="Helvetica" w:hAnsi="Helvetica"/>
          <w:color w:val="000000"/>
        </w:rPr>
        <w:t>μM</w:t>
      </w:r>
      <w:r>
        <w:rPr>
          <w:rFonts w:ascii="Helvetica" w:hAnsi="Helvetica"/>
          <w:color w:val="000000"/>
        </w:rPr>
        <w:t>), closantel (1</w:t>
      </w:r>
      <w:r w:rsidRPr="006C002B">
        <w:rPr>
          <w:rFonts w:ascii="Helvetica" w:hAnsi="Helvetica"/>
        </w:rPr>
        <w:t xml:space="preserve">5 </w:t>
      </w:r>
      <w:r w:rsidRPr="006C002B">
        <w:rPr>
          <w:rFonts w:ascii="Helvetica" w:hAnsi="Helvetica"/>
          <w:color w:val="000000"/>
        </w:rPr>
        <w:t>μM</w:t>
      </w:r>
      <w:r>
        <w:rPr>
          <w:rFonts w:ascii="Helvetica" w:hAnsi="Helvetica"/>
          <w:color w:val="000000"/>
        </w:rPr>
        <w:t>), pyrvinium pamoate (0.</w:t>
      </w:r>
      <w:r w:rsidRPr="006C002B">
        <w:rPr>
          <w:rFonts w:ascii="Helvetica" w:hAnsi="Helvetica"/>
        </w:rPr>
        <w:t xml:space="preserve">5 </w:t>
      </w:r>
      <w:r w:rsidRPr="006C002B">
        <w:rPr>
          <w:rFonts w:ascii="Helvetica" w:hAnsi="Helvetica"/>
          <w:color w:val="000000"/>
        </w:rPr>
        <w:t>μM</w:t>
      </w:r>
      <w:r>
        <w:rPr>
          <w:rFonts w:ascii="Helvetica" w:hAnsi="Helvetica"/>
          <w:color w:val="000000"/>
        </w:rPr>
        <w:t>)</w:t>
      </w:r>
      <w:r w:rsidR="00684DC6">
        <w:rPr>
          <w:rFonts w:ascii="Helvetica" w:hAnsi="Helvetica"/>
          <w:color w:val="000000"/>
        </w:rPr>
        <w:t xml:space="preserve"> or salinomycin (2.</w:t>
      </w:r>
      <w:r w:rsidR="00684DC6" w:rsidRPr="006C002B">
        <w:rPr>
          <w:rFonts w:ascii="Helvetica" w:hAnsi="Helvetica"/>
        </w:rPr>
        <w:t xml:space="preserve">5 </w:t>
      </w:r>
      <w:r w:rsidR="00684DC6" w:rsidRPr="006C002B">
        <w:rPr>
          <w:rFonts w:ascii="Helvetica" w:hAnsi="Helvetica"/>
          <w:color w:val="000000"/>
        </w:rPr>
        <w:t>μM</w:t>
      </w:r>
      <w:r w:rsidR="00684DC6">
        <w:rPr>
          <w:rFonts w:ascii="Helvetica" w:hAnsi="Helvetica"/>
          <w:color w:val="000000"/>
        </w:rPr>
        <w:t xml:space="preserve">) in comparison with unexposed controls. </w:t>
      </w:r>
      <w:r w:rsidR="0002311D">
        <w:rPr>
          <w:rFonts w:ascii="Helvetica" w:hAnsi="Helvetica"/>
          <w:color w:val="000000"/>
        </w:rPr>
        <w:t xml:space="preserve">Note </w:t>
      </w:r>
      <w:r w:rsidR="00143D26">
        <w:rPr>
          <w:rFonts w:ascii="Helvetica" w:hAnsi="Helvetica"/>
          <w:color w:val="000000"/>
        </w:rPr>
        <w:t>that all cells of each dissociated spheroid were seeded into w</w:t>
      </w:r>
      <w:r w:rsidR="0002311D">
        <w:rPr>
          <w:rFonts w:ascii="Helvetica" w:hAnsi="Helvetica"/>
          <w:color w:val="000000"/>
        </w:rPr>
        <w:t>ells (variation from other clono</w:t>
      </w:r>
      <w:r w:rsidR="00143D26">
        <w:rPr>
          <w:rFonts w:ascii="Helvetica" w:hAnsi="Helvetica"/>
          <w:color w:val="000000"/>
        </w:rPr>
        <w:t xml:space="preserve">genic assays presented in this paper). </w:t>
      </w:r>
      <w:r w:rsidR="00684DC6" w:rsidRPr="006C002B">
        <w:rPr>
          <w:rFonts w:ascii="Helvetica" w:hAnsi="Helvetica"/>
          <w:color w:val="000000"/>
        </w:rPr>
        <w:t xml:space="preserve">Outgrowth time was 10 days. </w:t>
      </w:r>
      <w:r w:rsidR="00684DC6" w:rsidRPr="006C002B">
        <w:rPr>
          <w:rFonts w:ascii="Helvetica" w:hAnsi="Helvetica"/>
          <w:b/>
          <w:color w:val="000000"/>
        </w:rPr>
        <w:t xml:space="preserve"> </w:t>
      </w:r>
    </w:p>
    <w:p w14:paraId="5CD74C18" w14:textId="151E10C9" w:rsidR="00684DC6" w:rsidRPr="00AA2EC2" w:rsidRDefault="00684DC6" w:rsidP="00684DC6">
      <w:pPr>
        <w:pStyle w:val="ListParagraph"/>
        <w:numPr>
          <w:ilvl w:val="0"/>
          <w:numId w:val="3"/>
        </w:numPr>
        <w:spacing w:line="480" w:lineRule="auto"/>
        <w:jc w:val="both"/>
        <w:rPr>
          <w:rFonts w:ascii="Helvetica" w:eastAsia="ＭＳ ゴシック" w:hAnsi="Helvetica"/>
          <w:color w:val="000000"/>
        </w:rPr>
      </w:pPr>
      <w:r>
        <w:rPr>
          <w:rFonts w:ascii="Helvetica" w:hAnsi="Helvetica"/>
          <w:color w:val="000000"/>
        </w:rPr>
        <w:t>Dose-response curves for HT-29</w:t>
      </w:r>
      <w:r w:rsidRPr="00AA2EC2">
        <w:rPr>
          <w:rFonts w:ascii="Helvetica" w:hAnsi="Helvetica"/>
          <w:color w:val="000000"/>
        </w:rPr>
        <w:t xml:space="preserve"> GFP spheroids (</w:t>
      </w:r>
      <w:r w:rsidRPr="00AA2EC2">
        <w:rPr>
          <w:rFonts w:ascii="Helvetica" w:hAnsi="Helvetica"/>
        </w:rPr>
        <w:t>10000 cells/well grown as spheroids for 7 days prior treatment)</w:t>
      </w:r>
      <w:r w:rsidRPr="00AA2EC2">
        <w:rPr>
          <w:rFonts w:ascii="Helvetica" w:hAnsi="Helvetica"/>
          <w:color w:val="000000"/>
        </w:rPr>
        <w:t xml:space="preserve"> formed without (no medium change; blue) or with medium change (medium changed; red) treated with the final screening hit compounds. Cell viability was assessed with measurements of </w:t>
      </w:r>
      <w:r w:rsidRPr="00AA2EC2">
        <w:rPr>
          <w:rFonts w:ascii="Helvetica" w:hAnsi="Helvetica"/>
        </w:rPr>
        <w:t xml:space="preserve">mean spheroid GFP fluorescence intensity. Results are shown as means </w:t>
      </w:r>
      <w:r w:rsidRPr="00AA2EC2">
        <w:rPr>
          <w:rFonts w:ascii="Helvetica" w:eastAsia="ＭＳ ゴシック" w:hAnsi="Helvetica"/>
          <w:color w:val="000000"/>
        </w:rPr>
        <w:t>± s.d.; (n = 3).</w:t>
      </w:r>
    </w:p>
    <w:p w14:paraId="0C054B26" w14:textId="3D086F1B" w:rsidR="00684DC6" w:rsidRPr="00AA2EC2" w:rsidRDefault="00684DC6" w:rsidP="00684DC6">
      <w:pPr>
        <w:pStyle w:val="ListParagraph"/>
        <w:numPr>
          <w:ilvl w:val="0"/>
          <w:numId w:val="3"/>
        </w:numPr>
        <w:spacing w:line="480" w:lineRule="auto"/>
        <w:jc w:val="both"/>
        <w:rPr>
          <w:rFonts w:ascii="Helvetica" w:hAnsi="Helvetica"/>
          <w:color w:val="000000"/>
        </w:rPr>
      </w:pPr>
      <w:r>
        <w:rPr>
          <w:rFonts w:ascii="Helvetica" w:hAnsi="Helvetica"/>
          <w:color w:val="000000"/>
        </w:rPr>
        <w:t xml:space="preserve">Viability of HT-29 GFP spheroids formed without or with medium change treated with the final hit compounds at the concentrations indicated. </w:t>
      </w:r>
      <w:r w:rsidRPr="00AA2EC2">
        <w:rPr>
          <w:rFonts w:ascii="Helvetica" w:hAnsi="Helvetica"/>
          <w:color w:val="000000"/>
        </w:rPr>
        <w:t xml:space="preserve">Cell viability was assessed </w:t>
      </w:r>
      <w:r>
        <w:rPr>
          <w:rFonts w:ascii="Helvetica" w:hAnsi="Helvetica"/>
          <w:color w:val="000000"/>
        </w:rPr>
        <w:t xml:space="preserve">every 24 h </w:t>
      </w:r>
      <w:r w:rsidRPr="00AA2EC2">
        <w:rPr>
          <w:rFonts w:ascii="Helvetica" w:hAnsi="Helvetica"/>
          <w:color w:val="000000"/>
        </w:rPr>
        <w:t xml:space="preserve">with measurements of </w:t>
      </w:r>
      <w:r w:rsidRPr="00AA2EC2">
        <w:rPr>
          <w:rFonts w:ascii="Helvetica" w:hAnsi="Helvetica"/>
        </w:rPr>
        <w:t>mean spheroid GFP fluorescence intensity.</w:t>
      </w:r>
      <w:r>
        <w:rPr>
          <w:rFonts w:ascii="Helvetica" w:hAnsi="Helvetica"/>
        </w:rPr>
        <w:t xml:space="preserve"> </w:t>
      </w:r>
      <w:r w:rsidRPr="006C002B">
        <w:rPr>
          <w:rFonts w:ascii="Helvetica" w:hAnsi="Helvetica"/>
        </w:rPr>
        <w:t xml:space="preserve">Results are shown as means </w:t>
      </w:r>
      <w:r w:rsidRPr="006C002B">
        <w:rPr>
          <w:rFonts w:ascii="Helvetica" w:eastAsia="ＭＳ ゴシック" w:hAnsi="Helvetica"/>
          <w:color w:val="000000"/>
        </w:rPr>
        <w:t>± s.d.; (n = 3).</w:t>
      </w:r>
    </w:p>
    <w:p w14:paraId="69BCD671" w14:textId="2EA4E1A7" w:rsidR="00684DC6" w:rsidRPr="00684DC6" w:rsidRDefault="00684DC6" w:rsidP="00684DC6">
      <w:pPr>
        <w:pStyle w:val="ListParagraph"/>
        <w:numPr>
          <w:ilvl w:val="0"/>
          <w:numId w:val="3"/>
        </w:numPr>
        <w:spacing w:line="480" w:lineRule="auto"/>
        <w:jc w:val="both"/>
        <w:rPr>
          <w:rFonts w:ascii="Helvetica" w:hAnsi="Helvetica"/>
          <w:color w:val="000000"/>
        </w:rPr>
      </w:pPr>
      <w:r w:rsidRPr="006C002B">
        <w:rPr>
          <w:rFonts w:ascii="Helvetica" w:hAnsi="Helvetica"/>
        </w:rPr>
        <w:t>Clonogenici</w:t>
      </w:r>
      <w:r>
        <w:rPr>
          <w:rFonts w:ascii="Helvetica" w:hAnsi="Helvetica"/>
        </w:rPr>
        <w:t>ty of</w:t>
      </w:r>
      <w:r w:rsidR="00143D26">
        <w:rPr>
          <w:rFonts w:ascii="Helvetica" w:hAnsi="Helvetica"/>
        </w:rPr>
        <w:t xml:space="preserve"> all</w:t>
      </w:r>
      <w:r>
        <w:rPr>
          <w:rFonts w:ascii="Helvetica" w:hAnsi="Helvetica"/>
        </w:rPr>
        <w:t xml:space="preserve"> cells from dissociated HT-29</w:t>
      </w:r>
      <w:r w:rsidRPr="006C002B">
        <w:rPr>
          <w:rFonts w:ascii="Helvetica" w:hAnsi="Helvetica"/>
        </w:rPr>
        <w:t xml:space="preserve"> GFP spheroids </w:t>
      </w:r>
      <w:r>
        <w:rPr>
          <w:rFonts w:ascii="Helvetica" w:hAnsi="Helvetica"/>
        </w:rPr>
        <w:t xml:space="preserve">formed without of with medium change </w:t>
      </w:r>
      <w:r w:rsidRPr="006C002B">
        <w:rPr>
          <w:rFonts w:ascii="Helvetica" w:hAnsi="Helvetica"/>
        </w:rPr>
        <w:t>after 72h</w:t>
      </w:r>
      <w:r>
        <w:rPr>
          <w:rFonts w:ascii="Helvetica" w:hAnsi="Helvetica"/>
        </w:rPr>
        <w:t xml:space="preserve"> exposure to nitazoxanide (2</w:t>
      </w:r>
      <w:r w:rsidRPr="006C002B">
        <w:rPr>
          <w:rFonts w:ascii="Helvetica" w:hAnsi="Helvetica"/>
        </w:rPr>
        <w:t xml:space="preserve">5 </w:t>
      </w:r>
      <w:r w:rsidRPr="006C002B">
        <w:rPr>
          <w:rFonts w:ascii="Helvetica" w:hAnsi="Helvetica"/>
          <w:color w:val="000000"/>
        </w:rPr>
        <w:t>μM</w:t>
      </w:r>
      <w:r>
        <w:rPr>
          <w:rFonts w:ascii="Helvetica" w:hAnsi="Helvetica"/>
          <w:color w:val="000000"/>
        </w:rPr>
        <w:t>), niclosamide (17.</w:t>
      </w:r>
      <w:r w:rsidRPr="006C002B">
        <w:rPr>
          <w:rFonts w:ascii="Helvetica" w:hAnsi="Helvetica"/>
        </w:rPr>
        <w:t xml:space="preserve">5 </w:t>
      </w:r>
      <w:r w:rsidRPr="006C002B">
        <w:rPr>
          <w:rFonts w:ascii="Helvetica" w:hAnsi="Helvetica"/>
          <w:color w:val="000000"/>
        </w:rPr>
        <w:t>μM</w:t>
      </w:r>
      <w:r>
        <w:rPr>
          <w:rFonts w:ascii="Helvetica" w:hAnsi="Helvetica"/>
          <w:color w:val="000000"/>
        </w:rPr>
        <w:t>), closantel (2</w:t>
      </w:r>
      <w:r w:rsidRPr="006C002B">
        <w:rPr>
          <w:rFonts w:ascii="Helvetica" w:hAnsi="Helvetica"/>
        </w:rPr>
        <w:t xml:space="preserve">5 </w:t>
      </w:r>
      <w:r w:rsidRPr="006C002B">
        <w:rPr>
          <w:rFonts w:ascii="Helvetica" w:hAnsi="Helvetica"/>
          <w:color w:val="000000"/>
        </w:rPr>
        <w:t>μM</w:t>
      </w:r>
      <w:r>
        <w:rPr>
          <w:rFonts w:ascii="Helvetica" w:hAnsi="Helvetica"/>
          <w:color w:val="000000"/>
        </w:rPr>
        <w:t>), pyrvinium pamoate (0.</w:t>
      </w:r>
      <w:r w:rsidRPr="006C002B">
        <w:rPr>
          <w:rFonts w:ascii="Helvetica" w:hAnsi="Helvetica"/>
        </w:rPr>
        <w:t xml:space="preserve">5 </w:t>
      </w:r>
      <w:r w:rsidRPr="006C002B">
        <w:rPr>
          <w:rFonts w:ascii="Helvetica" w:hAnsi="Helvetica"/>
          <w:color w:val="000000"/>
        </w:rPr>
        <w:t>μM</w:t>
      </w:r>
      <w:r>
        <w:rPr>
          <w:rFonts w:ascii="Helvetica" w:hAnsi="Helvetica"/>
          <w:color w:val="000000"/>
        </w:rPr>
        <w:t>) or salinomycin (3</w:t>
      </w:r>
      <w:r w:rsidRPr="006C002B">
        <w:rPr>
          <w:rFonts w:ascii="Helvetica" w:hAnsi="Helvetica"/>
        </w:rPr>
        <w:t xml:space="preserve"> </w:t>
      </w:r>
      <w:r w:rsidRPr="006C002B">
        <w:rPr>
          <w:rFonts w:ascii="Helvetica" w:hAnsi="Helvetica"/>
          <w:color w:val="000000"/>
        </w:rPr>
        <w:t>μM</w:t>
      </w:r>
      <w:r>
        <w:rPr>
          <w:rFonts w:ascii="Helvetica" w:hAnsi="Helvetica"/>
          <w:color w:val="000000"/>
        </w:rPr>
        <w:t xml:space="preserve">) in comparison with unexposed controls. </w:t>
      </w:r>
      <w:r w:rsidR="00EF0A5B">
        <w:rPr>
          <w:rFonts w:ascii="Helvetica" w:hAnsi="Helvetica"/>
          <w:color w:val="000000"/>
        </w:rPr>
        <w:t>N</w:t>
      </w:r>
      <w:r w:rsidR="00143D26">
        <w:rPr>
          <w:rFonts w:ascii="Helvetica" w:hAnsi="Helvetica"/>
          <w:color w:val="000000"/>
        </w:rPr>
        <w:t>ote that all cells of each dissociated spheroid were seeded into w</w:t>
      </w:r>
      <w:r w:rsidR="00EF0A5B">
        <w:rPr>
          <w:rFonts w:ascii="Helvetica" w:hAnsi="Helvetica"/>
          <w:color w:val="000000"/>
        </w:rPr>
        <w:t>ells (variation from other clono</w:t>
      </w:r>
      <w:r w:rsidR="00143D26">
        <w:rPr>
          <w:rFonts w:ascii="Helvetica" w:hAnsi="Helvetica"/>
          <w:color w:val="000000"/>
        </w:rPr>
        <w:t xml:space="preserve">genic assays presented in this paper). </w:t>
      </w:r>
      <w:r w:rsidRPr="006C002B">
        <w:rPr>
          <w:rFonts w:ascii="Helvetica" w:hAnsi="Helvetica"/>
          <w:color w:val="000000"/>
        </w:rPr>
        <w:t xml:space="preserve">Outgrowth time was 10 days. </w:t>
      </w:r>
      <w:r w:rsidRPr="006C002B">
        <w:rPr>
          <w:rFonts w:ascii="Helvetica" w:hAnsi="Helvetica"/>
          <w:b/>
          <w:color w:val="000000"/>
        </w:rPr>
        <w:t xml:space="preserve"> </w:t>
      </w:r>
    </w:p>
    <w:p w14:paraId="2CF05F72" w14:textId="1D776AB7" w:rsidR="005F392D" w:rsidRPr="006C002B" w:rsidRDefault="004A0EC8" w:rsidP="005F392D">
      <w:pPr>
        <w:spacing w:line="480" w:lineRule="auto"/>
        <w:jc w:val="both"/>
        <w:rPr>
          <w:rFonts w:ascii="Helvetica" w:hAnsi="Helvetica"/>
          <w:b/>
        </w:rPr>
      </w:pPr>
      <w:r>
        <w:rPr>
          <w:rFonts w:ascii="Helvetica" w:hAnsi="Helvetica"/>
          <w:b/>
        </w:rPr>
        <w:t>Supplementary Figure S6</w:t>
      </w:r>
    </w:p>
    <w:p w14:paraId="1C8A5A5A" w14:textId="77777777" w:rsidR="005F392D" w:rsidRPr="006C002B" w:rsidRDefault="005F392D" w:rsidP="005F392D">
      <w:pPr>
        <w:spacing w:line="480" w:lineRule="auto"/>
        <w:jc w:val="both"/>
        <w:rPr>
          <w:rFonts w:ascii="Helvetica" w:hAnsi="Helvetica"/>
        </w:rPr>
      </w:pPr>
      <w:r w:rsidRPr="006C002B">
        <w:rPr>
          <w:rFonts w:ascii="Helvetica" w:hAnsi="Helvetica"/>
        </w:rPr>
        <w:t xml:space="preserve">Tizoxanide causes the same effects as nitazoxanide. </w:t>
      </w:r>
    </w:p>
    <w:p w14:paraId="02B9028B"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rPr>
        <w:t xml:space="preserve">Dose-response curves for HCT116 (2500 cells/well grown as monolayer for 24h prior treatment; 2D; </w:t>
      </w:r>
      <w:r w:rsidRPr="006C002B">
        <w:rPr>
          <w:rFonts w:ascii="Helvetica" w:hAnsi="Helvetica"/>
          <w:i/>
        </w:rPr>
        <w:t>left</w:t>
      </w:r>
      <w:r w:rsidRPr="006C002B">
        <w:rPr>
          <w:rFonts w:ascii="Helvetica" w:hAnsi="Helvetica"/>
        </w:rPr>
        <w:t xml:space="preserve">) and HCT116 GFP (10000 cells/well grown as spheroids for 7 days prior treatment; 3D; </w:t>
      </w:r>
      <w:r w:rsidRPr="006C002B">
        <w:rPr>
          <w:rFonts w:ascii="Helvetica" w:hAnsi="Helvetica"/>
          <w:i/>
        </w:rPr>
        <w:t>right</w:t>
      </w:r>
      <w:r w:rsidRPr="006C002B">
        <w:rPr>
          <w:rFonts w:ascii="Helvetica" w:hAnsi="Helvetica"/>
        </w:rPr>
        <w:t xml:space="preserve">) cells treated with nitazoxanide or tizoxanide for 72 h. Cell viability was assessed with FMCA (2D) or measurements of mean spheroid GFP fluorescence intensity (3D). Results are shown as means </w:t>
      </w:r>
      <w:r w:rsidRPr="006C002B">
        <w:rPr>
          <w:rFonts w:ascii="Helvetica" w:eastAsia="ＭＳ ゴシック" w:hAnsi="Helvetica"/>
          <w:color w:val="000000"/>
        </w:rPr>
        <w:t>± s.d.; (n = 3).</w:t>
      </w:r>
      <w:r w:rsidRPr="006C002B">
        <w:rPr>
          <w:rFonts w:ascii="Helvetica" w:hAnsi="Helvetica"/>
        </w:rPr>
        <w:t xml:space="preserve"> </w:t>
      </w:r>
    </w:p>
    <w:p w14:paraId="0EA34BCA"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rPr>
        <w:t xml:space="preserve">Clonogenicity of cells from dissociated HCT116 GFP spheroids after 72h exposure to nitazoxanide or tizoxanide at concentrations of 2 or 5 </w:t>
      </w:r>
      <w:r w:rsidRPr="006C002B">
        <w:rPr>
          <w:rFonts w:ascii="Helvetica" w:hAnsi="Helvetica"/>
          <w:color w:val="000000"/>
        </w:rPr>
        <w:t xml:space="preserve">μM in comparison with unexposed controls. Outgrowth time was 10 days. </w:t>
      </w:r>
      <w:r w:rsidRPr="006C002B">
        <w:rPr>
          <w:rFonts w:ascii="Helvetica" w:hAnsi="Helvetica"/>
          <w:b/>
          <w:color w:val="000000"/>
        </w:rPr>
        <w:t xml:space="preserve"> </w:t>
      </w:r>
    </w:p>
    <w:p w14:paraId="299F4E31"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rPr>
        <w:t xml:space="preserve">Effects of nitazoxanide or tizoxanide at the concentration range 1-17 </w:t>
      </w:r>
      <w:r w:rsidRPr="006C002B">
        <w:rPr>
          <w:rFonts w:ascii="Helvetica" w:hAnsi="Helvetica"/>
          <w:color w:val="000000"/>
        </w:rPr>
        <w:t>μM</w:t>
      </w:r>
      <w:r w:rsidRPr="006C002B">
        <w:rPr>
          <w:rFonts w:ascii="Helvetica" w:hAnsi="Helvetica"/>
        </w:rPr>
        <w:t xml:space="preserve"> on oxygen consumption rate (OCR) in 70000 HCT116 cells, as measured by Seahorse XF analyser. Experimental compounds, oligomycin and FCCP were added as indicated with dotted lines. Results are shown as means </w:t>
      </w:r>
      <w:r w:rsidRPr="006C002B">
        <w:rPr>
          <w:rFonts w:ascii="Helvetica" w:eastAsia="ＭＳ ゴシック" w:hAnsi="Helvetica"/>
          <w:color w:val="000000"/>
        </w:rPr>
        <w:t>± s.d.; (n = 3).</w:t>
      </w:r>
    </w:p>
    <w:p w14:paraId="5F87750E"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i/>
          <w:color w:val="000000"/>
        </w:rPr>
        <w:t xml:space="preserve">Left: </w:t>
      </w:r>
      <w:r w:rsidRPr="006C002B">
        <w:rPr>
          <w:rFonts w:ascii="Helvetica" w:hAnsi="Helvetica"/>
          <w:color w:val="000000"/>
        </w:rPr>
        <w:t>Effects of nitazoxanide or tizoxanide at concentrations equal to their 2D IC50 values and FCCP (2.5 μM) on mitochondrial membrane potential in HCT116 cells (2500/well). Results in the graph are shown as means of JC-1 aggregates fluorescence per cell + s.d. (n</w:t>
      </w:r>
      <w:r w:rsidRPr="006C002B">
        <w:rPr>
          <w:rFonts w:ascii="Helvetica" w:eastAsia="ＭＳ ゴシック" w:hAnsi="Helvetica"/>
          <w:color w:val="000000"/>
        </w:rPr>
        <w:t>≥</w:t>
      </w:r>
      <w:r w:rsidRPr="006C002B">
        <w:rPr>
          <w:rFonts w:ascii="Helvetica" w:hAnsi="Helvetica"/>
          <w:color w:val="000000"/>
        </w:rPr>
        <w:t xml:space="preserve">7). </w:t>
      </w:r>
      <w:r w:rsidRPr="006C002B">
        <w:rPr>
          <w:rFonts w:ascii="Helvetica" w:hAnsi="Helvetica"/>
          <w:i/>
          <w:color w:val="000000"/>
        </w:rPr>
        <w:t>Right:</w:t>
      </w:r>
      <w:r w:rsidRPr="006C002B">
        <w:rPr>
          <w:rFonts w:ascii="Helvetica" w:hAnsi="Helvetica"/>
          <w:color w:val="000000"/>
        </w:rPr>
        <w:t xml:space="preserve"> composite pictures from Cellomics Arrayscan VTI Reader of treated HCT 116 cells. Cell nuclei were stained with Hoechst 33342 and polarized mitochondria were stained with JC-1 probe. All pictures were acquired using identical settings. Magnification used was x20. </w:t>
      </w:r>
    </w:p>
    <w:p w14:paraId="6AA29052" w14:textId="75BA8AFA"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color w:val="000000"/>
        </w:rPr>
        <w:t xml:space="preserve">Effects of nitazoxanide, tizoxanide or CCCP on hypoxia within HCT116 GFP spheroids. Spheroids were formed with 10000 cells/well for 7 days without medium change and treated with CCCP (2.5 μM), nitazoxanide (3 μM) or tizoxanide (3 μM) for 4 or 24 h. After </w:t>
      </w:r>
      <w:r w:rsidR="00BA4482">
        <w:rPr>
          <w:rFonts w:ascii="Helvetica" w:hAnsi="Helvetica"/>
          <w:color w:val="000000"/>
        </w:rPr>
        <w:t>1 h</w:t>
      </w:r>
      <w:r w:rsidRPr="006C002B">
        <w:rPr>
          <w:rFonts w:ascii="Helvetica" w:hAnsi="Helvetica"/>
          <w:color w:val="000000"/>
        </w:rPr>
        <w:t xml:space="preserve"> pimonidazole treatment, spheroids were sectioned and hypoxia was visualized by staining for pimonidazole adducts. Scale bar, 250 μm.</w:t>
      </w:r>
    </w:p>
    <w:p w14:paraId="79878BC0"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color w:val="000000"/>
        </w:rPr>
        <w:t>HCT116 GFP spheroids (formed from 10000 cells/well for 7 days without medium change) were treated with nitazoxanide or tizoxanide for 24h at concentrations indicated and analyzed for phospho-AMPK, AMPK and</w:t>
      </w:r>
    </w:p>
    <w:p w14:paraId="60094F84" w14:textId="77777777" w:rsidR="005F392D" w:rsidRPr="006C002B" w:rsidRDefault="005F392D" w:rsidP="005F392D">
      <w:pPr>
        <w:pStyle w:val="ListParagraph"/>
        <w:numPr>
          <w:ilvl w:val="0"/>
          <w:numId w:val="2"/>
        </w:numPr>
        <w:spacing w:line="480" w:lineRule="auto"/>
        <w:jc w:val="both"/>
        <w:rPr>
          <w:rFonts w:ascii="Helvetica" w:hAnsi="Helvetica"/>
        </w:rPr>
      </w:pPr>
      <w:r w:rsidRPr="006C002B">
        <w:rPr>
          <w:rFonts w:ascii="Helvetica" w:hAnsi="Helvetica"/>
          <w:color w:val="000000"/>
        </w:rPr>
        <w:t>phospho-4EBP,1 4EBP1, phospho-p70, p70, C-Myc, phospho-GSK-3</w:t>
      </w:r>
      <w:r w:rsidRPr="006C002B">
        <w:rPr>
          <w:rFonts w:ascii="Helvetica" w:hAnsi="Helvetica" w:cs="Lucida Grande"/>
          <w:color w:val="000000"/>
        </w:rPr>
        <w:t xml:space="preserve">β, </w:t>
      </w:r>
      <w:r w:rsidRPr="006C002B">
        <w:rPr>
          <w:rFonts w:ascii="Helvetica" w:hAnsi="Helvetica"/>
          <w:color w:val="000000"/>
        </w:rPr>
        <w:t>GSK-3</w:t>
      </w:r>
      <w:r w:rsidRPr="006C002B">
        <w:rPr>
          <w:rFonts w:ascii="Helvetica" w:hAnsi="Helvetica" w:cs="Lucida Grande"/>
          <w:color w:val="000000"/>
        </w:rPr>
        <w:t>β</w:t>
      </w:r>
      <w:r w:rsidRPr="006C002B">
        <w:rPr>
          <w:rFonts w:ascii="Helvetica" w:hAnsi="Helvetica"/>
          <w:color w:val="000000"/>
        </w:rPr>
        <w:t xml:space="preserve"> and </w:t>
      </w:r>
      <w:r w:rsidRPr="006C002B">
        <w:rPr>
          <w:rFonts w:ascii="Helvetica" w:hAnsi="Helvetica" w:cs="Lucida Grande"/>
          <w:color w:val="000000"/>
        </w:rPr>
        <w:t>β-actin by western blotting.</w:t>
      </w:r>
    </w:p>
    <w:p w14:paraId="603C6413" w14:textId="52DB3DB7" w:rsidR="005F392D" w:rsidRPr="006C002B" w:rsidRDefault="004A0EC8" w:rsidP="005F392D">
      <w:pPr>
        <w:spacing w:line="480" w:lineRule="auto"/>
        <w:jc w:val="both"/>
        <w:rPr>
          <w:rFonts w:ascii="Helvetica" w:hAnsi="Helvetica"/>
          <w:b/>
        </w:rPr>
      </w:pPr>
      <w:r>
        <w:rPr>
          <w:rFonts w:ascii="Helvetica" w:hAnsi="Helvetica"/>
          <w:b/>
        </w:rPr>
        <w:t>Supplementary Figure S7</w:t>
      </w:r>
    </w:p>
    <w:p w14:paraId="01A948A2" w14:textId="15FAAC5A" w:rsidR="00F71B15" w:rsidRDefault="00F71B15" w:rsidP="005F392D">
      <w:pPr>
        <w:pStyle w:val="ListParagraph"/>
        <w:numPr>
          <w:ilvl w:val="0"/>
          <w:numId w:val="4"/>
        </w:numPr>
        <w:spacing w:line="480" w:lineRule="auto"/>
        <w:jc w:val="both"/>
        <w:rPr>
          <w:rFonts w:ascii="Helvetica" w:hAnsi="Helvetica"/>
          <w:color w:val="000000"/>
        </w:rPr>
      </w:pPr>
      <w:r>
        <w:rPr>
          <w:rFonts w:ascii="Helvetica" w:hAnsi="Helvetica"/>
        </w:rPr>
        <w:t>Proliferation rates in s</w:t>
      </w:r>
      <w:r w:rsidRPr="00550DF5">
        <w:rPr>
          <w:rFonts w:ascii="Helvetica" w:hAnsi="Helvetica"/>
        </w:rPr>
        <w:t>pheroid formed from 10</w:t>
      </w:r>
      <w:r>
        <w:rPr>
          <w:rFonts w:ascii="Helvetica" w:hAnsi="Helvetica"/>
        </w:rPr>
        <w:t>,</w:t>
      </w:r>
      <w:r w:rsidRPr="00550DF5">
        <w:rPr>
          <w:rFonts w:ascii="Helvetica" w:hAnsi="Helvetica"/>
        </w:rPr>
        <w:t>000 HCT116 GFP cells</w:t>
      </w:r>
      <w:r>
        <w:rPr>
          <w:rFonts w:ascii="Helvetica" w:hAnsi="Helvetica"/>
        </w:rPr>
        <w:t xml:space="preserve"> with medium change after 4 and 7 days of the culture. Staining for Ki-67</w:t>
      </w:r>
      <w:r w:rsidRPr="00550DF5">
        <w:rPr>
          <w:rFonts w:ascii="Helvetica" w:hAnsi="Helvetica"/>
        </w:rPr>
        <w:t xml:space="preserve">. </w:t>
      </w:r>
      <w:r w:rsidRPr="00550DF5">
        <w:rPr>
          <w:rFonts w:ascii="Helvetica" w:hAnsi="Helvetica"/>
          <w:color w:val="000000"/>
        </w:rPr>
        <w:t>Scale bar, 250 μm.</w:t>
      </w:r>
    </w:p>
    <w:p w14:paraId="304D6007" w14:textId="6BAD573C" w:rsidR="00F71B15" w:rsidRDefault="00F71B15" w:rsidP="005F392D">
      <w:pPr>
        <w:pStyle w:val="ListParagraph"/>
        <w:numPr>
          <w:ilvl w:val="0"/>
          <w:numId w:val="4"/>
        </w:numPr>
        <w:spacing w:line="480" w:lineRule="auto"/>
        <w:jc w:val="both"/>
        <w:rPr>
          <w:rFonts w:ascii="Helvetica" w:hAnsi="Helvetica"/>
          <w:color w:val="000000"/>
        </w:rPr>
      </w:pPr>
      <w:r w:rsidRPr="006C002B">
        <w:rPr>
          <w:rFonts w:ascii="Helvetica" w:hAnsi="Helvetica"/>
        </w:rPr>
        <w:t xml:space="preserve">Clonogenicity of cells from dissociated HCT116 GFP spheroids (10000 cells/well grown as spheroids for 7 days prior treatment; medium was changed on day 4 of the culture and shortly before the treatment; 3D) after 72h exposure to nitazoxanide (10 </w:t>
      </w:r>
      <w:r w:rsidRPr="006C002B">
        <w:rPr>
          <w:rFonts w:ascii="Helvetica" w:hAnsi="Helvetica"/>
          <w:color w:val="000000"/>
        </w:rPr>
        <w:t>μM)</w:t>
      </w:r>
      <w:r w:rsidRPr="006C002B">
        <w:rPr>
          <w:rFonts w:ascii="Helvetica" w:hAnsi="Helvetica"/>
        </w:rPr>
        <w:t xml:space="preserve">, irinotecan (16 </w:t>
      </w:r>
      <w:r w:rsidRPr="006C002B">
        <w:rPr>
          <w:rFonts w:ascii="Helvetica" w:hAnsi="Helvetica"/>
          <w:color w:val="000000"/>
        </w:rPr>
        <w:t>μM) or combination of both drugs</w:t>
      </w:r>
      <w:r w:rsidRPr="006C002B">
        <w:rPr>
          <w:rFonts w:ascii="Helvetica" w:hAnsi="Helvetica"/>
        </w:rPr>
        <w:t xml:space="preserve"> in comparison with unexposed controls. </w:t>
      </w:r>
      <w:r w:rsidRPr="006C002B">
        <w:rPr>
          <w:rFonts w:ascii="Helvetica" w:hAnsi="Helvetica"/>
          <w:color w:val="000000"/>
        </w:rPr>
        <w:t>Outgrowth time was 10 days.</w:t>
      </w:r>
    </w:p>
    <w:p w14:paraId="73F87EEC" w14:textId="62C62D61" w:rsidR="00F71B15" w:rsidRPr="00F71B15" w:rsidRDefault="00F71B15" w:rsidP="005F392D">
      <w:pPr>
        <w:pStyle w:val="ListParagraph"/>
        <w:numPr>
          <w:ilvl w:val="0"/>
          <w:numId w:val="4"/>
        </w:numPr>
        <w:spacing w:line="480" w:lineRule="auto"/>
        <w:jc w:val="both"/>
        <w:rPr>
          <w:rFonts w:ascii="Helvetica" w:hAnsi="Helvetica"/>
          <w:color w:val="000000"/>
        </w:rPr>
      </w:pPr>
      <w:r w:rsidRPr="006C002B">
        <w:rPr>
          <w:rFonts w:ascii="Helvetica" w:hAnsi="Helvetica"/>
          <w:color w:val="000000"/>
        </w:rPr>
        <w:t xml:space="preserve">Number of colonies in each well from clonogenicity experiment presented in panel A was counted. Wells too dense to count were assumed to contain over 200 colonies. </w:t>
      </w:r>
      <w:r w:rsidRPr="006C002B">
        <w:rPr>
          <w:rFonts w:ascii="Helvetica" w:hAnsi="Helvetica"/>
        </w:rPr>
        <w:t xml:space="preserve">Results are shown as means </w:t>
      </w:r>
      <w:r w:rsidRPr="006C002B">
        <w:rPr>
          <w:rFonts w:ascii="Helvetica" w:eastAsia="ＭＳ ゴシック" w:hAnsi="Helvetica"/>
          <w:color w:val="000000"/>
        </w:rPr>
        <w:t>± s.d.; (n = 3).</w:t>
      </w:r>
    </w:p>
    <w:p w14:paraId="61BA64ED" w14:textId="5F1C9C0A" w:rsidR="005F392D" w:rsidRPr="006C002B" w:rsidRDefault="005F392D" w:rsidP="005F392D">
      <w:pPr>
        <w:spacing w:line="480" w:lineRule="auto"/>
        <w:jc w:val="both"/>
        <w:rPr>
          <w:rFonts w:ascii="Helvetica" w:eastAsia="ＭＳ ゴシック" w:hAnsi="Helvetica"/>
          <w:color w:val="000000"/>
        </w:rPr>
      </w:pPr>
      <w:r w:rsidRPr="006C002B">
        <w:rPr>
          <w:rFonts w:ascii="Helvetica" w:eastAsia="ＭＳ ゴシック" w:hAnsi="Helvetica"/>
          <w:b/>
          <w:color w:val="000000"/>
        </w:rPr>
        <w:t>Supplementary Figure S</w:t>
      </w:r>
      <w:r w:rsidR="004A0EC8">
        <w:rPr>
          <w:rFonts w:ascii="Helvetica" w:eastAsia="ＭＳ ゴシック" w:hAnsi="Helvetica"/>
          <w:b/>
          <w:color w:val="000000"/>
        </w:rPr>
        <w:t>8</w:t>
      </w:r>
    </w:p>
    <w:p w14:paraId="5520E628" w14:textId="6AC35E48" w:rsidR="00E7787C" w:rsidRDefault="00E7787C" w:rsidP="005F392D">
      <w:pPr>
        <w:spacing w:line="480" w:lineRule="auto"/>
        <w:jc w:val="both"/>
        <w:rPr>
          <w:rFonts w:ascii="Helvetica" w:hAnsi="Helvetica"/>
        </w:rPr>
      </w:pPr>
      <w:r>
        <w:rPr>
          <w:rFonts w:ascii="Helvetica" w:hAnsi="Helvetica"/>
        </w:rPr>
        <w:t xml:space="preserve">CD44 staining </w:t>
      </w:r>
      <w:r w:rsidR="006133DE">
        <w:rPr>
          <w:rFonts w:ascii="Helvetica" w:hAnsi="Helvetica"/>
        </w:rPr>
        <w:t>of</w:t>
      </w:r>
      <w:r>
        <w:rPr>
          <w:rFonts w:ascii="Helvetica" w:hAnsi="Helvetica"/>
        </w:rPr>
        <w:t xml:space="preserve"> spheroids</w:t>
      </w:r>
    </w:p>
    <w:p w14:paraId="46BED4B4" w14:textId="2A254D21" w:rsidR="005F392D" w:rsidRPr="00550DF5" w:rsidRDefault="005F392D" w:rsidP="00550DF5">
      <w:pPr>
        <w:pStyle w:val="ListParagraph"/>
        <w:numPr>
          <w:ilvl w:val="0"/>
          <w:numId w:val="4"/>
        </w:numPr>
        <w:spacing w:line="480" w:lineRule="auto"/>
        <w:jc w:val="both"/>
        <w:rPr>
          <w:rFonts w:ascii="Helvetica" w:hAnsi="Helvetica"/>
          <w:color w:val="000000"/>
        </w:rPr>
      </w:pPr>
      <w:r w:rsidRPr="00550DF5">
        <w:rPr>
          <w:rFonts w:ascii="Helvetica" w:hAnsi="Helvetica"/>
        </w:rPr>
        <w:t>Spheroid formed from 10000 HCT116 GFP cells. Staining for CD44.</w:t>
      </w:r>
      <w:r w:rsidR="00550DF5" w:rsidRPr="00550DF5">
        <w:rPr>
          <w:rFonts w:ascii="Helvetica" w:hAnsi="Helvetica"/>
        </w:rPr>
        <w:t xml:space="preserve"> </w:t>
      </w:r>
      <w:r w:rsidR="00550DF5" w:rsidRPr="00550DF5">
        <w:rPr>
          <w:rFonts w:ascii="Helvetica" w:hAnsi="Helvetica"/>
          <w:color w:val="000000"/>
        </w:rPr>
        <w:t>Scale bar, 250 μm.</w:t>
      </w:r>
    </w:p>
    <w:p w14:paraId="04941F67" w14:textId="6F7A4F29" w:rsidR="00550DF5" w:rsidRPr="00550DF5" w:rsidRDefault="00550DF5" w:rsidP="00550DF5">
      <w:pPr>
        <w:pStyle w:val="ListParagraph"/>
        <w:numPr>
          <w:ilvl w:val="0"/>
          <w:numId w:val="4"/>
        </w:numPr>
        <w:spacing w:line="480" w:lineRule="auto"/>
        <w:jc w:val="both"/>
        <w:rPr>
          <w:rFonts w:ascii="Helvetica" w:hAnsi="Helvetica"/>
          <w:color w:val="000000"/>
        </w:rPr>
      </w:pPr>
      <w:r w:rsidRPr="00550DF5">
        <w:rPr>
          <w:rFonts w:ascii="Helvetica" w:hAnsi="Helvetica"/>
        </w:rPr>
        <w:t>S</w:t>
      </w:r>
      <w:r>
        <w:rPr>
          <w:rFonts w:ascii="Helvetica" w:hAnsi="Helvetica"/>
        </w:rPr>
        <w:t>pheroid formed from 10000 HT-29</w:t>
      </w:r>
      <w:r w:rsidRPr="00550DF5">
        <w:rPr>
          <w:rFonts w:ascii="Helvetica" w:hAnsi="Helvetica"/>
        </w:rPr>
        <w:t xml:space="preserve"> GFP cells. Staining for CD44. </w:t>
      </w:r>
    </w:p>
    <w:p w14:paraId="21F2D9DB" w14:textId="2F42D7AF" w:rsidR="005F392D" w:rsidRPr="00F71B15" w:rsidRDefault="00550DF5" w:rsidP="00F71B15">
      <w:pPr>
        <w:pStyle w:val="ListParagraph"/>
        <w:numPr>
          <w:ilvl w:val="0"/>
          <w:numId w:val="4"/>
        </w:numPr>
        <w:spacing w:line="480" w:lineRule="auto"/>
        <w:jc w:val="both"/>
        <w:rPr>
          <w:rFonts w:ascii="Helvetica" w:hAnsi="Helvetica"/>
          <w:color w:val="000000"/>
        </w:rPr>
      </w:pPr>
      <w:r w:rsidRPr="00550DF5">
        <w:rPr>
          <w:rFonts w:ascii="Helvetica" w:hAnsi="Helvetica"/>
        </w:rPr>
        <w:t xml:space="preserve">Spheroid formed from 10000 HCT116 GFP cells. </w:t>
      </w:r>
      <w:r>
        <w:rPr>
          <w:rFonts w:ascii="Helvetica" w:hAnsi="Helvetica"/>
        </w:rPr>
        <w:t>Staining without primary antibody (secondary antibody control)</w:t>
      </w:r>
      <w:r w:rsidRPr="00550DF5">
        <w:rPr>
          <w:rFonts w:ascii="Helvetica" w:hAnsi="Helvetica"/>
        </w:rPr>
        <w:t>.</w:t>
      </w:r>
    </w:p>
    <w:sectPr w:rsidR="005F392D" w:rsidRPr="00F71B15" w:rsidSect="00F71B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6B1"/>
    <w:multiLevelType w:val="hybridMultilevel"/>
    <w:tmpl w:val="9CB8BC16"/>
    <w:lvl w:ilvl="0" w:tplc="B73C1016">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1485E"/>
    <w:multiLevelType w:val="hybridMultilevel"/>
    <w:tmpl w:val="A6E65018"/>
    <w:lvl w:ilvl="0" w:tplc="49082F4A">
      <w:start w:val="1"/>
      <w:numFmt w:val="upperLetter"/>
      <w:lvlText w:val="(%1)"/>
      <w:lvlJc w:val="left"/>
      <w:pPr>
        <w:ind w:left="800" w:hanging="44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1C98"/>
    <w:multiLevelType w:val="hybridMultilevel"/>
    <w:tmpl w:val="C6D0B008"/>
    <w:lvl w:ilvl="0" w:tplc="1F4E734C">
      <w:start w:val="1"/>
      <w:numFmt w:val="upperLetter"/>
      <w:lvlText w:val="(%1)"/>
      <w:lvlJc w:val="left"/>
      <w:pPr>
        <w:ind w:left="760" w:hanging="40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B244C"/>
    <w:multiLevelType w:val="hybridMultilevel"/>
    <w:tmpl w:val="E7D0C9C8"/>
    <w:lvl w:ilvl="0" w:tplc="91B0AC14">
      <w:start w:val="1"/>
      <w:numFmt w:val="upperLetter"/>
      <w:lvlText w:val="(%1)"/>
      <w:lvlJc w:val="left"/>
      <w:pPr>
        <w:ind w:left="800" w:hanging="4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D"/>
    <w:rsid w:val="0002311D"/>
    <w:rsid w:val="00143D26"/>
    <w:rsid w:val="004A0EC8"/>
    <w:rsid w:val="005277F1"/>
    <w:rsid w:val="00550DF5"/>
    <w:rsid w:val="005F392D"/>
    <w:rsid w:val="006133DE"/>
    <w:rsid w:val="00627E28"/>
    <w:rsid w:val="00684DC6"/>
    <w:rsid w:val="006B5958"/>
    <w:rsid w:val="00744FDE"/>
    <w:rsid w:val="007D3F7D"/>
    <w:rsid w:val="007E53BF"/>
    <w:rsid w:val="008271FE"/>
    <w:rsid w:val="00A60C9B"/>
    <w:rsid w:val="00AA2EC2"/>
    <w:rsid w:val="00B94C78"/>
    <w:rsid w:val="00BA4482"/>
    <w:rsid w:val="00BC752B"/>
    <w:rsid w:val="00D722F9"/>
    <w:rsid w:val="00DF79C1"/>
    <w:rsid w:val="00E7787C"/>
    <w:rsid w:val="00ED4E72"/>
    <w:rsid w:val="00EF0A5B"/>
    <w:rsid w:val="00F71B15"/>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D6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392D"/>
    <w:rPr>
      <w:i/>
      <w:iCs/>
    </w:rPr>
  </w:style>
  <w:style w:type="paragraph" w:styleId="ListParagraph">
    <w:name w:val="List Paragraph"/>
    <w:basedOn w:val="Normal"/>
    <w:uiPriority w:val="34"/>
    <w:qFormat/>
    <w:rsid w:val="005F392D"/>
    <w:pPr>
      <w:ind w:left="720"/>
      <w:contextualSpacing/>
    </w:pPr>
  </w:style>
  <w:style w:type="table" w:styleId="TableGrid">
    <w:name w:val="Table Grid"/>
    <w:basedOn w:val="TableNormal"/>
    <w:uiPriority w:val="59"/>
    <w:rsid w:val="005F3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5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9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392D"/>
    <w:rPr>
      <w:i/>
      <w:iCs/>
    </w:rPr>
  </w:style>
  <w:style w:type="paragraph" w:styleId="ListParagraph">
    <w:name w:val="List Paragraph"/>
    <w:basedOn w:val="Normal"/>
    <w:uiPriority w:val="34"/>
    <w:qFormat/>
    <w:rsid w:val="005F392D"/>
    <w:pPr>
      <w:ind w:left="720"/>
      <w:contextualSpacing/>
    </w:pPr>
  </w:style>
  <w:style w:type="table" w:styleId="TableGrid">
    <w:name w:val="Table Grid"/>
    <w:basedOn w:val="TableNormal"/>
    <w:uiPriority w:val="59"/>
    <w:rsid w:val="005F3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5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9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2346</Words>
  <Characters>12976</Characters>
  <Application>Microsoft Macintosh Word</Application>
  <DocSecurity>0</DocSecurity>
  <Lines>166</Lines>
  <Paragraphs>13</Paragraphs>
  <ScaleCrop>false</ScaleCrop>
  <Company>Uppsala universitet</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Senkowski</dc:creator>
  <cp:keywords/>
  <dc:description/>
  <cp:lastModifiedBy>Wojciech Senkowski</cp:lastModifiedBy>
  <cp:revision>4</cp:revision>
  <dcterms:created xsi:type="dcterms:W3CDTF">2015-02-18T22:07:00Z</dcterms:created>
  <dcterms:modified xsi:type="dcterms:W3CDTF">2015-02-19T11:11:00Z</dcterms:modified>
</cp:coreProperties>
</file>