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F8" w:rsidRPr="00A24F93" w:rsidRDefault="006D42F8" w:rsidP="006D42F8">
      <w:pPr>
        <w:spacing w:line="276" w:lineRule="auto"/>
        <w:rPr>
          <w:b/>
        </w:rPr>
      </w:pPr>
      <w:r w:rsidRPr="00A24F93">
        <w:rPr>
          <w:b/>
        </w:rPr>
        <w:t>Supplemental Methods</w:t>
      </w:r>
      <w:r>
        <w:rPr>
          <w:b/>
        </w:rPr>
        <w:t xml:space="preserve"> for:</w:t>
      </w:r>
    </w:p>
    <w:p w:rsidR="006D42F8" w:rsidRPr="006D42F8" w:rsidRDefault="006D42F8" w:rsidP="006D42F8">
      <w:pPr>
        <w:rPr>
          <w:b/>
        </w:rPr>
      </w:pPr>
      <w:r w:rsidRPr="006D42F8">
        <w:rPr>
          <w:b/>
        </w:rPr>
        <w:t>Nonclinical Safety Evaluation of VX15/2503; a Humanized IgG4 Anti-SEMA4D Antibody</w:t>
      </w:r>
    </w:p>
    <w:p w:rsidR="006D42F8" w:rsidRPr="006D42F8" w:rsidRDefault="006D42F8" w:rsidP="006D42F8"/>
    <w:p w:rsidR="006D42F8" w:rsidRDefault="006D42F8" w:rsidP="006D42F8">
      <w:r w:rsidRPr="007E2D49">
        <w:t xml:space="preserve">John E. Leonard, Terrence L. Fisher, Laurie </w:t>
      </w:r>
      <w:r>
        <w:t xml:space="preserve">A. </w:t>
      </w:r>
      <w:r w:rsidRPr="007E2D49">
        <w:t>Winter, Chad A. Cornelius, Christine Reilly, Ernest S. Smith and Maurice Zauderer</w:t>
      </w:r>
    </w:p>
    <w:p w:rsidR="006D42F8" w:rsidRPr="007E2D49" w:rsidRDefault="006D42F8" w:rsidP="006D42F8">
      <w:r>
        <w:t>Vaccinex, Inc; Rochester, New York</w:t>
      </w:r>
    </w:p>
    <w:p w:rsidR="006D42F8" w:rsidRDefault="006D42F8" w:rsidP="006D42F8"/>
    <w:p w:rsidR="006D42F8" w:rsidRDefault="006D42F8" w:rsidP="006D42F8">
      <w:r w:rsidRPr="004E764A">
        <w:rPr>
          <w:b/>
        </w:rPr>
        <w:t>Running Title</w:t>
      </w:r>
      <w:r>
        <w:t>:  Nonclinical characterization of the anti-SEMA4D antibody VX15/2503</w:t>
      </w:r>
    </w:p>
    <w:p w:rsidR="006D42F8" w:rsidRDefault="006D42F8" w:rsidP="006D42F8">
      <w:r w:rsidRPr="004E764A">
        <w:rPr>
          <w:b/>
        </w:rPr>
        <w:t>Key Words</w:t>
      </w:r>
      <w:r>
        <w:t>:  Anti-Semaphorin 4D; nonclinical evaluation; VX15/2503</w:t>
      </w:r>
    </w:p>
    <w:p w:rsidR="006D42F8" w:rsidRDefault="006D42F8" w:rsidP="006D42F8">
      <w:pPr>
        <w:spacing w:after="0" w:line="240" w:lineRule="auto"/>
        <w:contextualSpacing/>
        <w:rPr>
          <w:szCs w:val="24"/>
        </w:rPr>
      </w:pPr>
      <w:r w:rsidRPr="004E764A">
        <w:rPr>
          <w:b/>
          <w:szCs w:val="24"/>
        </w:rPr>
        <w:t>Financial Support</w:t>
      </w:r>
      <w:r>
        <w:rPr>
          <w:szCs w:val="24"/>
        </w:rPr>
        <w:t xml:space="preserve">:  </w:t>
      </w:r>
      <w:r w:rsidRPr="000F7618">
        <w:rPr>
          <w:szCs w:val="20"/>
        </w:rPr>
        <w:t>All authors</w:t>
      </w:r>
      <w:r>
        <w:rPr>
          <w:szCs w:val="20"/>
        </w:rPr>
        <w:t xml:space="preserve"> are employees of Vaccinex, Inc and </w:t>
      </w:r>
      <w:r>
        <w:rPr>
          <w:szCs w:val="24"/>
        </w:rPr>
        <w:t>this work was funded solely by company resources.</w:t>
      </w:r>
    </w:p>
    <w:p w:rsidR="006D42F8" w:rsidRDefault="006D42F8" w:rsidP="006D42F8">
      <w:pPr>
        <w:spacing w:after="0" w:line="240" w:lineRule="auto"/>
        <w:contextualSpacing/>
        <w:rPr>
          <w:szCs w:val="24"/>
        </w:rPr>
      </w:pPr>
    </w:p>
    <w:p w:rsidR="006D42F8" w:rsidRDefault="006D42F8" w:rsidP="006D42F8">
      <w:pPr>
        <w:spacing w:after="0" w:line="240" w:lineRule="auto"/>
        <w:contextualSpacing/>
        <w:rPr>
          <w:szCs w:val="24"/>
        </w:rPr>
      </w:pPr>
      <w:r w:rsidRPr="004E764A">
        <w:rPr>
          <w:b/>
          <w:szCs w:val="24"/>
        </w:rPr>
        <w:t>Corresponding Author</w:t>
      </w:r>
      <w:r>
        <w:rPr>
          <w:szCs w:val="24"/>
        </w:rPr>
        <w:t>:</w:t>
      </w:r>
    </w:p>
    <w:p w:rsidR="006D42F8" w:rsidRDefault="006D42F8" w:rsidP="006D42F8">
      <w:pPr>
        <w:spacing w:after="0" w:line="240" w:lineRule="auto"/>
        <w:contextualSpacing/>
        <w:rPr>
          <w:szCs w:val="24"/>
        </w:rPr>
      </w:pPr>
      <w:r>
        <w:rPr>
          <w:szCs w:val="24"/>
        </w:rPr>
        <w:tab/>
        <w:t>John E Leonard, PhD</w:t>
      </w:r>
    </w:p>
    <w:p w:rsidR="006D42F8" w:rsidRDefault="006D42F8" w:rsidP="006D42F8">
      <w:pPr>
        <w:spacing w:after="0" w:line="240" w:lineRule="auto"/>
        <w:contextualSpacing/>
        <w:rPr>
          <w:szCs w:val="24"/>
        </w:rPr>
      </w:pPr>
      <w:r>
        <w:rPr>
          <w:szCs w:val="24"/>
        </w:rPr>
        <w:tab/>
        <w:t>Vaccinex, Inc</w:t>
      </w:r>
    </w:p>
    <w:p w:rsidR="006D42F8" w:rsidRDefault="006D42F8" w:rsidP="006D42F8">
      <w:pPr>
        <w:spacing w:after="0" w:line="240" w:lineRule="auto"/>
        <w:ind w:firstLine="720"/>
        <w:contextualSpacing/>
        <w:rPr>
          <w:szCs w:val="24"/>
        </w:rPr>
      </w:pPr>
      <w:r>
        <w:rPr>
          <w:szCs w:val="24"/>
        </w:rPr>
        <w:t>1895 Mt Hope Ave</w:t>
      </w:r>
    </w:p>
    <w:p w:rsidR="006D42F8" w:rsidRDefault="006D42F8" w:rsidP="006D42F8">
      <w:pPr>
        <w:spacing w:after="0" w:line="240" w:lineRule="auto"/>
        <w:ind w:firstLine="720"/>
        <w:contextualSpacing/>
        <w:rPr>
          <w:szCs w:val="24"/>
        </w:rPr>
      </w:pPr>
      <w:r>
        <w:rPr>
          <w:szCs w:val="24"/>
        </w:rPr>
        <w:t>Rochester, NY 14620</w:t>
      </w:r>
    </w:p>
    <w:p w:rsidR="006D42F8" w:rsidRDefault="006D42F8" w:rsidP="006D42F8">
      <w:pPr>
        <w:spacing w:after="0" w:line="240" w:lineRule="auto"/>
        <w:ind w:firstLine="720"/>
        <w:contextualSpacing/>
        <w:rPr>
          <w:szCs w:val="24"/>
        </w:rPr>
      </w:pPr>
      <w:r>
        <w:rPr>
          <w:szCs w:val="24"/>
        </w:rPr>
        <w:t>(C) 760-815-5960</w:t>
      </w:r>
    </w:p>
    <w:p w:rsidR="006D42F8" w:rsidRDefault="006D42F8" w:rsidP="006D42F8">
      <w:pPr>
        <w:spacing w:after="0" w:line="240" w:lineRule="auto"/>
        <w:ind w:firstLine="720"/>
        <w:contextualSpacing/>
        <w:rPr>
          <w:szCs w:val="24"/>
        </w:rPr>
      </w:pPr>
      <w:r>
        <w:rPr>
          <w:szCs w:val="24"/>
        </w:rPr>
        <w:t>(F) 585 271 2765</w:t>
      </w:r>
    </w:p>
    <w:p w:rsidR="006D42F8" w:rsidRPr="004915C9" w:rsidRDefault="006D42F8" w:rsidP="006D42F8">
      <w:pPr>
        <w:spacing w:after="0" w:line="240" w:lineRule="auto"/>
        <w:ind w:firstLine="720"/>
        <w:contextualSpacing/>
        <w:rPr>
          <w:szCs w:val="24"/>
        </w:rPr>
      </w:pPr>
      <w:r>
        <w:rPr>
          <w:szCs w:val="24"/>
        </w:rPr>
        <w:t>jleonard@vaccinex.com</w:t>
      </w:r>
    </w:p>
    <w:p w:rsidR="006D42F8" w:rsidRDefault="006D42F8" w:rsidP="006D42F8">
      <w:pPr>
        <w:spacing w:line="276" w:lineRule="auto"/>
        <w:rPr>
          <w:b/>
        </w:rPr>
      </w:pPr>
    </w:p>
    <w:p w:rsidR="006D42F8" w:rsidRDefault="006D42F8" w:rsidP="006D42F8">
      <w:pPr>
        <w:spacing w:line="276" w:lineRule="auto"/>
        <w:rPr>
          <w:b/>
        </w:rPr>
      </w:pPr>
    </w:p>
    <w:p w:rsidR="006D42F8" w:rsidRDefault="006D42F8">
      <w:pPr>
        <w:spacing w:after="120"/>
        <w:rPr>
          <w:b/>
        </w:rPr>
      </w:pPr>
      <w:r>
        <w:rPr>
          <w:b/>
        </w:rPr>
        <w:br w:type="page"/>
      </w:r>
    </w:p>
    <w:p w:rsidR="006D42F8" w:rsidRDefault="006D42F8" w:rsidP="006D42F8">
      <w:pPr>
        <w:spacing w:line="276" w:lineRule="auto"/>
        <w:rPr>
          <w:b/>
        </w:rPr>
      </w:pPr>
    </w:p>
    <w:p w:rsidR="006D42F8" w:rsidRPr="00A24F93" w:rsidRDefault="006D42F8" w:rsidP="006D42F8">
      <w:pPr>
        <w:spacing w:line="276" w:lineRule="auto"/>
        <w:rPr>
          <w:b/>
        </w:rPr>
      </w:pPr>
      <w:r w:rsidRPr="00A24F93">
        <w:rPr>
          <w:b/>
        </w:rPr>
        <w:t>Supplemental Methods</w:t>
      </w:r>
    </w:p>
    <w:p w:rsidR="006D42F8" w:rsidRDefault="006D42F8" w:rsidP="006D42F8">
      <w:pPr>
        <w:spacing w:line="276" w:lineRule="auto"/>
      </w:pPr>
      <w:r w:rsidRPr="0061638E">
        <w:rPr>
          <w:i/>
          <w:szCs w:val="24"/>
        </w:rPr>
        <w:t>SEMA4D Affinity Determinations</w:t>
      </w:r>
    </w:p>
    <w:p w:rsidR="006D42F8" w:rsidRDefault="006D42F8" w:rsidP="006D42F8">
      <w:pPr>
        <w:spacing w:after="120" w:line="480" w:lineRule="auto"/>
        <w:contextualSpacing/>
        <w:rPr>
          <w:szCs w:val="24"/>
        </w:rPr>
      </w:pPr>
      <w:r w:rsidRPr="00870706">
        <w:rPr>
          <w:szCs w:val="24"/>
        </w:rPr>
        <w:t xml:space="preserve">Goat anti-Mouse IgG Fc (for MAb 67-2) or Goat anti-human IgG Fc (for VX15/2503) (Jackson </w:t>
      </w:r>
      <w:proofErr w:type="spellStart"/>
      <w:r w:rsidRPr="00870706">
        <w:rPr>
          <w:szCs w:val="24"/>
        </w:rPr>
        <w:t>ImmunoResearch</w:t>
      </w:r>
      <w:proofErr w:type="spellEnd"/>
      <w:r w:rsidRPr="00870706">
        <w:rPr>
          <w:szCs w:val="24"/>
        </w:rPr>
        <w:t>) was immobilized on the chip surface by way of amine coupling.  M</w:t>
      </w:r>
      <w:r>
        <w:rPr>
          <w:szCs w:val="24"/>
        </w:rPr>
        <w:t>A</w:t>
      </w:r>
      <w:r w:rsidRPr="00870706">
        <w:rPr>
          <w:szCs w:val="24"/>
        </w:rPr>
        <w:t>b 67-2 or VX15/2503 was captured and recombinant antigen was injected in a concentration range from 50 to 0 nM</w:t>
      </w:r>
      <w:r>
        <w:rPr>
          <w:szCs w:val="24"/>
        </w:rPr>
        <w:t>; samples were assayed</w:t>
      </w:r>
      <w:r w:rsidRPr="00870706">
        <w:rPr>
          <w:szCs w:val="24"/>
        </w:rPr>
        <w:t xml:space="preserve"> in duplicate</w:t>
      </w:r>
      <w:r>
        <w:rPr>
          <w:szCs w:val="24"/>
        </w:rPr>
        <w:t xml:space="preserve"> and t</w:t>
      </w:r>
      <w:r w:rsidRPr="00870706">
        <w:rPr>
          <w:szCs w:val="24"/>
        </w:rPr>
        <w:t xml:space="preserve">he dataset was evaluated using </w:t>
      </w:r>
      <w:proofErr w:type="spellStart"/>
      <w:r w:rsidRPr="00870706">
        <w:rPr>
          <w:szCs w:val="24"/>
        </w:rPr>
        <w:t>BiaEvaluation</w:t>
      </w:r>
      <w:proofErr w:type="spellEnd"/>
      <w:r w:rsidRPr="00870706">
        <w:rPr>
          <w:szCs w:val="24"/>
        </w:rPr>
        <w:t xml:space="preserve"> software and globally fit to a 1:1 model.  Sensorgrams were subjected to reference surface subtraction and subtraction of buffer response (zero analyte concentration).  </w:t>
      </w:r>
    </w:p>
    <w:p w:rsidR="006D42F8" w:rsidRDefault="006D42F8" w:rsidP="006D42F8">
      <w:pPr>
        <w:spacing w:after="120" w:line="480" w:lineRule="auto"/>
        <w:contextualSpacing/>
        <w:rPr>
          <w:szCs w:val="24"/>
        </w:rPr>
      </w:pPr>
    </w:p>
    <w:p w:rsidR="006D42F8" w:rsidRDefault="006D42F8" w:rsidP="006D42F8">
      <w:pPr>
        <w:pStyle w:val="Heading2"/>
        <w:spacing w:before="0" w:after="120" w:line="480" w:lineRule="auto"/>
        <w:contextualSpacing/>
        <w:rPr>
          <w:szCs w:val="24"/>
        </w:rPr>
      </w:pPr>
      <w:r>
        <w:rPr>
          <w:szCs w:val="24"/>
        </w:rPr>
        <w:t xml:space="preserve">Animal Toxicology </w:t>
      </w:r>
      <w:r w:rsidR="00E03A43">
        <w:rPr>
          <w:szCs w:val="24"/>
        </w:rPr>
        <w:t xml:space="preserve">Studies </w:t>
      </w:r>
    </w:p>
    <w:p w:rsidR="006D42F8" w:rsidRPr="00FC3D5D" w:rsidRDefault="006D42F8" w:rsidP="006D42F8">
      <w:pPr>
        <w:spacing w:after="120" w:line="480" w:lineRule="auto"/>
        <w:contextualSpacing/>
        <w:rPr>
          <w:szCs w:val="24"/>
        </w:rPr>
      </w:pPr>
      <w:r>
        <w:rPr>
          <w:szCs w:val="24"/>
        </w:rPr>
        <w:t xml:space="preserve">The single dose rat study employed </w:t>
      </w:r>
      <w:r w:rsidRPr="00FC3D5D">
        <w:rPr>
          <w:szCs w:val="24"/>
        </w:rPr>
        <w:t>three</w:t>
      </w:r>
      <w:r>
        <w:rPr>
          <w:szCs w:val="24"/>
        </w:rPr>
        <w:t xml:space="preserve"> animals</w:t>
      </w:r>
      <w:r w:rsidRPr="00FC3D5D">
        <w:rPr>
          <w:szCs w:val="24"/>
        </w:rPr>
        <w:t>/sex/group</w:t>
      </w:r>
      <w:r>
        <w:rPr>
          <w:szCs w:val="24"/>
        </w:rPr>
        <w:t>; a similar single-dose study using</w:t>
      </w:r>
      <w:r w:rsidRPr="00FC3D5D">
        <w:rPr>
          <w:szCs w:val="24"/>
        </w:rPr>
        <w:t xml:space="preserve"> cynomolgus macaques </w:t>
      </w:r>
      <w:r>
        <w:rPr>
          <w:szCs w:val="24"/>
        </w:rPr>
        <w:t xml:space="preserve">contained </w:t>
      </w:r>
      <w:r w:rsidRPr="00FC3D5D">
        <w:rPr>
          <w:szCs w:val="24"/>
        </w:rPr>
        <w:t>four/sex</w:t>
      </w:r>
      <w:r>
        <w:rPr>
          <w:szCs w:val="24"/>
        </w:rPr>
        <w:t xml:space="preserve"> for </w:t>
      </w:r>
      <w:r w:rsidRPr="00FC3D5D">
        <w:rPr>
          <w:szCs w:val="24"/>
        </w:rPr>
        <w:t>control</w:t>
      </w:r>
      <w:r>
        <w:rPr>
          <w:szCs w:val="24"/>
        </w:rPr>
        <w:t xml:space="preserve"> and</w:t>
      </w:r>
      <w:r w:rsidRPr="00FC3D5D">
        <w:rPr>
          <w:szCs w:val="24"/>
        </w:rPr>
        <w:t xml:space="preserve"> two/sex </w:t>
      </w:r>
      <w:r>
        <w:rPr>
          <w:szCs w:val="24"/>
        </w:rPr>
        <w:t>for each test article</w:t>
      </w:r>
      <w:r w:rsidRPr="00FC3D5D">
        <w:rPr>
          <w:szCs w:val="24"/>
        </w:rPr>
        <w:t xml:space="preserve"> dose group.  .  Rats were approximately 12 weeks of age at study initiation and weighed between 300 to 350 g.  Cynomolgus macaques were three years old at study initiation and </w:t>
      </w:r>
      <w:r>
        <w:rPr>
          <w:szCs w:val="24"/>
        </w:rPr>
        <w:t xml:space="preserve">generally </w:t>
      </w:r>
      <w:r w:rsidRPr="00FC3D5D">
        <w:rPr>
          <w:szCs w:val="24"/>
        </w:rPr>
        <w:t xml:space="preserve">weighed between 2.4 </w:t>
      </w:r>
      <w:r>
        <w:rPr>
          <w:szCs w:val="24"/>
        </w:rPr>
        <w:t>and</w:t>
      </w:r>
      <w:r w:rsidRPr="00FC3D5D">
        <w:rPr>
          <w:szCs w:val="24"/>
        </w:rPr>
        <w:t xml:space="preserve"> 3.8 kg</w:t>
      </w:r>
      <w:r>
        <w:rPr>
          <w:szCs w:val="24"/>
        </w:rPr>
        <w:t xml:space="preserve"> each</w:t>
      </w:r>
      <w:r w:rsidRPr="00FC3D5D">
        <w:rPr>
          <w:szCs w:val="24"/>
        </w:rPr>
        <w:t>.</w:t>
      </w:r>
    </w:p>
    <w:p w:rsidR="006D42F8" w:rsidRPr="00FC3D5D" w:rsidRDefault="006D42F8" w:rsidP="006D42F8">
      <w:pPr>
        <w:spacing w:after="120" w:line="480" w:lineRule="auto"/>
        <w:contextualSpacing/>
        <w:rPr>
          <w:szCs w:val="24"/>
        </w:rPr>
      </w:pPr>
    </w:p>
    <w:p w:rsidR="006D42F8" w:rsidRDefault="006D42F8" w:rsidP="006D42F8">
      <w:pPr>
        <w:spacing w:after="120" w:line="480" w:lineRule="auto"/>
        <w:contextualSpacing/>
        <w:rPr>
          <w:szCs w:val="24"/>
        </w:rPr>
      </w:pPr>
      <w:r w:rsidRPr="00FC3D5D">
        <w:rPr>
          <w:szCs w:val="24"/>
        </w:rPr>
        <w:t>On all other non</w:t>
      </w:r>
      <w:r>
        <w:rPr>
          <w:szCs w:val="24"/>
        </w:rPr>
        <w:t>-</w:t>
      </w:r>
      <w:r w:rsidRPr="00FC3D5D">
        <w:rPr>
          <w:szCs w:val="24"/>
        </w:rPr>
        <w:t xml:space="preserve">dose days, animals were monitored once </w:t>
      </w:r>
      <w:r>
        <w:rPr>
          <w:szCs w:val="24"/>
        </w:rPr>
        <w:t>each</w:t>
      </w:r>
      <w:r w:rsidRPr="00FC3D5D">
        <w:rPr>
          <w:szCs w:val="24"/>
        </w:rPr>
        <w:t xml:space="preserve"> day</w:t>
      </w:r>
      <w:r>
        <w:rPr>
          <w:szCs w:val="24"/>
        </w:rPr>
        <w:t xml:space="preserve">; animals </w:t>
      </w:r>
      <w:r w:rsidRPr="00FC3D5D">
        <w:rPr>
          <w:szCs w:val="24"/>
        </w:rPr>
        <w:t>were also closely examined during weekly bodyweight evaluation</w:t>
      </w:r>
      <w:r>
        <w:rPr>
          <w:szCs w:val="24"/>
        </w:rPr>
        <w:t xml:space="preserve">s </w:t>
      </w:r>
      <w:r w:rsidRPr="00FC3D5D">
        <w:rPr>
          <w:szCs w:val="24"/>
        </w:rPr>
        <w:t>and prior to sacrifice for changes in food consumption</w:t>
      </w:r>
      <w:r>
        <w:rPr>
          <w:szCs w:val="24"/>
        </w:rPr>
        <w:t xml:space="preserve"> and for changes in </w:t>
      </w:r>
      <w:r w:rsidRPr="00FC3D5D">
        <w:rPr>
          <w:szCs w:val="24"/>
        </w:rPr>
        <w:t>hematology</w:t>
      </w:r>
      <w:r>
        <w:rPr>
          <w:szCs w:val="24"/>
        </w:rPr>
        <w:t xml:space="preserve"> (including platelet levels for macaques)</w:t>
      </w:r>
      <w:r w:rsidRPr="00FC3D5D">
        <w:rPr>
          <w:szCs w:val="24"/>
        </w:rPr>
        <w:t>, clinical chemistry, coagulation</w:t>
      </w:r>
      <w:r>
        <w:rPr>
          <w:szCs w:val="24"/>
        </w:rPr>
        <w:t xml:space="preserve"> (macaques) and </w:t>
      </w:r>
      <w:r w:rsidRPr="00FC3D5D">
        <w:rPr>
          <w:szCs w:val="24"/>
        </w:rPr>
        <w:t>urinalysis</w:t>
      </w:r>
      <w:r>
        <w:rPr>
          <w:szCs w:val="24"/>
        </w:rPr>
        <w:t xml:space="preserve"> parameters.  </w:t>
      </w:r>
    </w:p>
    <w:p w:rsidR="006D42F8" w:rsidRDefault="006D42F8" w:rsidP="006D42F8">
      <w:pPr>
        <w:spacing w:after="120" w:line="480" w:lineRule="auto"/>
        <w:contextualSpacing/>
        <w:rPr>
          <w:szCs w:val="24"/>
        </w:rPr>
      </w:pPr>
    </w:p>
    <w:p w:rsidR="006D42F8" w:rsidRPr="00FC3D5D" w:rsidRDefault="006D42F8" w:rsidP="006D42F8">
      <w:pPr>
        <w:spacing w:after="120" w:line="480" w:lineRule="auto"/>
        <w:contextualSpacing/>
        <w:rPr>
          <w:szCs w:val="24"/>
        </w:rPr>
      </w:pPr>
      <w:r>
        <w:rPr>
          <w:szCs w:val="24"/>
        </w:rPr>
        <w:lastRenderedPageBreak/>
        <w:t>Animals in the 0.01 through 10 mg/kg d</w:t>
      </w:r>
      <w:r w:rsidRPr="00FC3D5D">
        <w:rPr>
          <w:szCs w:val="24"/>
        </w:rPr>
        <w:t xml:space="preserve">ose groups were sacrificed along with a cohort of control animals when animals dosed with 10 mg/kg no longer demonstrated </w:t>
      </w:r>
      <w:r>
        <w:rPr>
          <w:szCs w:val="24"/>
        </w:rPr>
        <w:t>any T cell SEMA4D saturation by VX15/2503</w:t>
      </w:r>
      <w:r w:rsidRPr="00FC3D5D">
        <w:rPr>
          <w:szCs w:val="24"/>
        </w:rPr>
        <w:t xml:space="preserve">.  Once the 100 mg/kg group </w:t>
      </w:r>
      <w:r>
        <w:rPr>
          <w:szCs w:val="24"/>
        </w:rPr>
        <w:t xml:space="preserve">animals </w:t>
      </w:r>
      <w:r w:rsidRPr="00FC3D5D">
        <w:rPr>
          <w:szCs w:val="24"/>
        </w:rPr>
        <w:t xml:space="preserve">no longer </w:t>
      </w:r>
      <w:r>
        <w:rPr>
          <w:szCs w:val="24"/>
        </w:rPr>
        <w:t>exhibited cSEMA4D saturation,</w:t>
      </w:r>
      <w:r w:rsidRPr="00FC3D5D">
        <w:rPr>
          <w:szCs w:val="24"/>
        </w:rPr>
        <w:t xml:space="preserve"> they </w:t>
      </w:r>
      <w:r>
        <w:rPr>
          <w:szCs w:val="24"/>
        </w:rPr>
        <w:t xml:space="preserve">too </w:t>
      </w:r>
      <w:r w:rsidRPr="00FC3D5D">
        <w:rPr>
          <w:szCs w:val="24"/>
        </w:rPr>
        <w:t>were sacrificed along with remaining control animals.</w:t>
      </w:r>
      <w:r>
        <w:rPr>
          <w:szCs w:val="24"/>
        </w:rPr>
        <w:t xml:space="preserve">  </w:t>
      </w:r>
      <w:r w:rsidRPr="00FC3D5D">
        <w:rPr>
          <w:szCs w:val="24"/>
        </w:rPr>
        <w:t xml:space="preserve">  Standard tissues were collected </w:t>
      </w:r>
      <w:r>
        <w:rPr>
          <w:szCs w:val="24"/>
        </w:rPr>
        <w:t>and stored in</w:t>
      </w:r>
      <w:r w:rsidRPr="00FC3D5D">
        <w:rPr>
          <w:szCs w:val="24"/>
        </w:rPr>
        <w:t xml:space="preserve"> 10% neutral buffered formalin (NBF) </w:t>
      </w:r>
      <w:r>
        <w:rPr>
          <w:szCs w:val="24"/>
        </w:rPr>
        <w:t>prior to being</w:t>
      </w:r>
      <w:r w:rsidRPr="00FC3D5D">
        <w:rPr>
          <w:szCs w:val="24"/>
        </w:rPr>
        <w:t xml:space="preserve"> processed for histopathologic examination.  Eyes and testes were collected </w:t>
      </w:r>
      <w:r>
        <w:rPr>
          <w:szCs w:val="24"/>
        </w:rPr>
        <w:t>and stored in</w:t>
      </w:r>
      <w:r w:rsidRPr="00FC3D5D">
        <w:rPr>
          <w:szCs w:val="24"/>
        </w:rPr>
        <w:t xml:space="preserve"> Davidson’s fixative in lieu of 10% NBF.  </w:t>
      </w:r>
      <w:r>
        <w:rPr>
          <w:szCs w:val="24"/>
        </w:rPr>
        <w:t>Selected</w:t>
      </w:r>
      <w:r w:rsidRPr="00FC3D5D">
        <w:rPr>
          <w:szCs w:val="24"/>
        </w:rPr>
        <w:t xml:space="preserve"> organs were weighed prior to fixation.  </w:t>
      </w:r>
    </w:p>
    <w:p w:rsidR="006D42F8" w:rsidRDefault="006D42F8" w:rsidP="006D42F8">
      <w:pPr>
        <w:spacing w:after="120" w:line="480" w:lineRule="auto"/>
        <w:contextualSpacing/>
        <w:rPr>
          <w:szCs w:val="24"/>
        </w:rPr>
      </w:pPr>
    </w:p>
    <w:p w:rsidR="006D42F8" w:rsidRDefault="006D42F8" w:rsidP="006D42F8">
      <w:pPr>
        <w:spacing w:after="120" w:line="480" w:lineRule="auto"/>
        <w:contextualSpacing/>
        <w:rPr>
          <w:szCs w:val="24"/>
        </w:rPr>
      </w:pPr>
      <w:r>
        <w:t xml:space="preserve">A </w:t>
      </w:r>
      <w:r w:rsidRPr="003D7E8E">
        <w:t xml:space="preserve">GLP </w:t>
      </w:r>
      <w:r>
        <w:t xml:space="preserve">maximum feasible dose (MFD) study was also conducted using cynomolgus macaques.    Previously described observations and study assessments were performed on these animals.  </w:t>
      </w:r>
      <w:r w:rsidR="0032797D">
        <w:t>At sacrifice</w:t>
      </w:r>
      <w:r>
        <w:t xml:space="preserve"> an extensive panel of tissues was </w:t>
      </w:r>
      <w:r w:rsidR="0032797D">
        <w:t xml:space="preserve">collected for analysis </w:t>
      </w:r>
      <w:r>
        <w:t>by histopathology.</w:t>
      </w:r>
      <w:r w:rsidR="0032797D">
        <w:t xml:space="preserve">  </w:t>
      </w:r>
      <w:r w:rsidR="0032797D" w:rsidRPr="0040586C">
        <w:t>The maximum dose employed was determined by the antibody concentration in the existing clinical formulation as well as the maximum infusion volume for macaques.</w:t>
      </w:r>
      <w:r w:rsidR="0032797D">
        <w:t xml:space="preserve">  </w:t>
      </w:r>
    </w:p>
    <w:p w:rsidR="006D42F8" w:rsidRPr="00FC3D5D" w:rsidRDefault="006D42F8" w:rsidP="006D42F8">
      <w:pPr>
        <w:spacing w:after="120" w:line="480" w:lineRule="auto"/>
        <w:contextualSpacing/>
        <w:rPr>
          <w:szCs w:val="24"/>
        </w:rPr>
      </w:pPr>
    </w:p>
    <w:p w:rsidR="006D42F8" w:rsidRPr="00FC3D5D" w:rsidRDefault="006D42F8" w:rsidP="006D42F8">
      <w:pPr>
        <w:spacing w:after="120" w:line="480" w:lineRule="auto"/>
        <w:contextualSpacing/>
        <w:rPr>
          <w:szCs w:val="24"/>
        </w:rPr>
      </w:pPr>
      <w:r w:rsidRPr="00B82CD0">
        <w:rPr>
          <w:szCs w:val="24"/>
        </w:rPr>
        <w:t xml:space="preserve">One month toxicology studies followed </w:t>
      </w:r>
      <w:r>
        <w:rPr>
          <w:szCs w:val="24"/>
        </w:rPr>
        <w:t xml:space="preserve">the single dose studies </w:t>
      </w:r>
      <w:r w:rsidRPr="00B82CD0">
        <w:rPr>
          <w:szCs w:val="24"/>
        </w:rPr>
        <w:t>and evaluated toxicity of five weekly doses of VX15/2503 to determine toxicity, PK, PD, and immunogenicity of the antibody in this repeat dose regimen</w:t>
      </w:r>
      <w:r w:rsidRPr="00FC3D5D">
        <w:rPr>
          <w:szCs w:val="24"/>
        </w:rPr>
        <w:t xml:space="preserve">.  </w:t>
      </w:r>
      <w:r>
        <w:rPr>
          <w:szCs w:val="24"/>
        </w:rPr>
        <w:t xml:space="preserve">Twelve week old rats </w:t>
      </w:r>
      <w:r w:rsidRPr="00FC3D5D">
        <w:rPr>
          <w:szCs w:val="24"/>
        </w:rPr>
        <w:t xml:space="preserve">were split between a main toxicity subgroup and a subgroup utilized for PK/PD </w:t>
      </w:r>
      <w:r>
        <w:rPr>
          <w:szCs w:val="24"/>
        </w:rPr>
        <w:t>assessments</w:t>
      </w:r>
      <w:r w:rsidRPr="00FC3D5D">
        <w:rPr>
          <w:szCs w:val="24"/>
        </w:rPr>
        <w:t>.  The main study group was comprised of 20</w:t>
      </w:r>
      <w:r>
        <w:rPr>
          <w:szCs w:val="24"/>
        </w:rPr>
        <w:t xml:space="preserve"> rats per </w:t>
      </w:r>
      <w:r w:rsidRPr="00FC3D5D">
        <w:rPr>
          <w:szCs w:val="24"/>
        </w:rPr>
        <w:t xml:space="preserve">sex </w:t>
      </w:r>
      <w:r>
        <w:rPr>
          <w:szCs w:val="24"/>
        </w:rPr>
        <w:t xml:space="preserve">in the </w:t>
      </w:r>
      <w:r w:rsidRPr="00FC3D5D">
        <w:rPr>
          <w:szCs w:val="24"/>
        </w:rPr>
        <w:t>control group, 15</w:t>
      </w:r>
      <w:r>
        <w:rPr>
          <w:szCs w:val="24"/>
        </w:rPr>
        <w:t xml:space="preserve"> per </w:t>
      </w:r>
      <w:r w:rsidRPr="00FC3D5D">
        <w:rPr>
          <w:szCs w:val="24"/>
        </w:rPr>
        <w:t xml:space="preserve">sex </w:t>
      </w:r>
      <w:r>
        <w:rPr>
          <w:szCs w:val="24"/>
        </w:rPr>
        <w:t xml:space="preserve">in the </w:t>
      </w:r>
      <w:r w:rsidRPr="00FC3D5D">
        <w:rPr>
          <w:szCs w:val="24"/>
        </w:rPr>
        <w:t>low and high dose group, and 10</w:t>
      </w:r>
      <w:r>
        <w:rPr>
          <w:szCs w:val="24"/>
        </w:rPr>
        <w:t xml:space="preserve"> per </w:t>
      </w:r>
      <w:r w:rsidRPr="00FC3D5D">
        <w:rPr>
          <w:szCs w:val="24"/>
        </w:rPr>
        <w:t xml:space="preserve">sex </w:t>
      </w:r>
      <w:r>
        <w:rPr>
          <w:szCs w:val="24"/>
        </w:rPr>
        <w:t xml:space="preserve">in the </w:t>
      </w:r>
      <w:r w:rsidRPr="00FC3D5D">
        <w:rPr>
          <w:szCs w:val="24"/>
        </w:rPr>
        <w:t xml:space="preserve">mid dose group.  </w:t>
      </w:r>
      <w:r>
        <w:rPr>
          <w:szCs w:val="24"/>
        </w:rPr>
        <w:t>S</w:t>
      </w:r>
      <w:r w:rsidRPr="00FC3D5D">
        <w:rPr>
          <w:szCs w:val="24"/>
        </w:rPr>
        <w:t>atellite subgroups all contained 9</w:t>
      </w:r>
      <w:r>
        <w:rPr>
          <w:szCs w:val="24"/>
        </w:rPr>
        <w:t xml:space="preserve"> per </w:t>
      </w:r>
      <w:r w:rsidRPr="00FC3D5D">
        <w:rPr>
          <w:szCs w:val="24"/>
        </w:rPr>
        <w:t>sex</w:t>
      </w:r>
      <w:r>
        <w:rPr>
          <w:szCs w:val="24"/>
        </w:rPr>
        <w:t xml:space="preserve"> per </w:t>
      </w:r>
      <w:r w:rsidRPr="00FC3D5D">
        <w:rPr>
          <w:szCs w:val="24"/>
        </w:rPr>
        <w:t xml:space="preserve">group.  Cynomolgus macaques 3 to 4 years of age were divided as </w:t>
      </w:r>
      <w:r>
        <w:rPr>
          <w:szCs w:val="24"/>
        </w:rPr>
        <w:t xml:space="preserve">follows:  </w:t>
      </w:r>
      <w:r w:rsidRPr="00FC3D5D">
        <w:rPr>
          <w:szCs w:val="24"/>
        </w:rPr>
        <w:t>seven</w:t>
      </w:r>
      <w:r>
        <w:rPr>
          <w:szCs w:val="24"/>
        </w:rPr>
        <w:t xml:space="preserve"> per </w:t>
      </w:r>
      <w:r w:rsidRPr="00FC3D5D">
        <w:rPr>
          <w:szCs w:val="24"/>
        </w:rPr>
        <w:t xml:space="preserve">sex </w:t>
      </w:r>
      <w:r>
        <w:rPr>
          <w:szCs w:val="24"/>
        </w:rPr>
        <w:t xml:space="preserve">in the </w:t>
      </w:r>
      <w:r w:rsidRPr="00FC3D5D">
        <w:rPr>
          <w:szCs w:val="24"/>
        </w:rPr>
        <w:t>control group, five</w:t>
      </w:r>
      <w:r>
        <w:rPr>
          <w:szCs w:val="24"/>
        </w:rPr>
        <w:t xml:space="preserve"> per </w:t>
      </w:r>
      <w:r w:rsidRPr="00FC3D5D">
        <w:rPr>
          <w:szCs w:val="24"/>
        </w:rPr>
        <w:t xml:space="preserve">sex </w:t>
      </w:r>
      <w:r>
        <w:rPr>
          <w:szCs w:val="24"/>
        </w:rPr>
        <w:t xml:space="preserve">in the </w:t>
      </w:r>
      <w:r w:rsidRPr="00FC3D5D">
        <w:rPr>
          <w:szCs w:val="24"/>
        </w:rPr>
        <w:t>low and high dose groups and three</w:t>
      </w:r>
      <w:r>
        <w:rPr>
          <w:szCs w:val="24"/>
        </w:rPr>
        <w:t xml:space="preserve"> per </w:t>
      </w:r>
      <w:r w:rsidRPr="00FC3D5D">
        <w:rPr>
          <w:szCs w:val="24"/>
        </w:rPr>
        <w:t xml:space="preserve">sex </w:t>
      </w:r>
      <w:r>
        <w:rPr>
          <w:szCs w:val="24"/>
        </w:rPr>
        <w:t xml:space="preserve">in the </w:t>
      </w:r>
      <w:r w:rsidRPr="00FC3D5D">
        <w:rPr>
          <w:szCs w:val="24"/>
        </w:rPr>
        <w:t xml:space="preserve">mid dose group.  </w:t>
      </w:r>
      <w:r>
        <w:rPr>
          <w:szCs w:val="24"/>
        </w:rPr>
        <w:t>A</w:t>
      </w:r>
      <w:r w:rsidRPr="00FC3D5D">
        <w:rPr>
          <w:szCs w:val="24"/>
        </w:rPr>
        <w:t xml:space="preserve">t initiation </w:t>
      </w:r>
      <w:r>
        <w:rPr>
          <w:szCs w:val="24"/>
        </w:rPr>
        <w:t>of each study, r</w:t>
      </w:r>
      <w:r w:rsidRPr="00FC3D5D">
        <w:rPr>
          <w:szCs w:val="24"/>
        </w:rPr>
        <w:t>ats weighed between 327 and 365 g</w:t>
      </w:r>
      <w:r>
        <w:rPr>
          <w:szCs w:val="24"/>
        </w:rPr>
        <w:t xml:space="preserve"> and c</w:t>
      </w:r>
      <w:r w:rsidRPr="00FC3D5D">
        <w:rPr>
          <w:szCs w:val="24"/>
        </w:rPr>
        <w:t xml:space="preserve">ynomolgus macaques </w:t>
      </w:r>
      <w:r>
        <w:rPr>
          <w:szCs w:val="24"/>
        </w:rPr>
        <w:t xml:space="preserve">generally </w:t>
      </w:r>
      <w:r w:rsidRPr="00FC3D5D">
        <w:rPr>
          <w:szCs w:val="24"/>
        </w:rPr>
        <w:t xml:space="preserve">weighed between 2.3 </w:t>
      </w:r>
      <w:r>
        <w:rPr>
          <w:szCs w:val="24"/>
        </w:rPr>
        <w:t>and</w:t>
      </w:r>
      <w:r w:rsidRPr="00FC3D5D">
        <w:rPr>
          <w:szCs w:val="24"/>
        </w:rPr>
        <w:t xml:space="preserve"> </w:t>
      </w:r>
      <w:r w:rsidRPr="00FC3D5D">
        <w:rPr>
          <w:szCs w:val="24"/>
        </w:rPr>
        <w:lastRenderedPageBreak/>
        <w:t xml:space="preserve">3.7 kg.  VX15/2503 was administered intravenously </w:t>
      </w:r>
      <w:r>
        <w:rPr>
          <w:szCs w:val="24"/>
        </w:rPr>
        <w:t>each week for</w:t>
      </w:r>
      <w:r w:rsidRPr="00FC3D5D">
        <w:rPr>
          <w:szCs w:val="24"/>
        </w:rPr>
        <w:t xml:space="preserve"> five week</w:t>
      </w:r>
      <w:r>
        <w:rPr>
          <w:szCs w:val="24"/>
        </w:rPr>
        <w:t>s; the length of the i</w:t>
      </w:r>
      <w:r w:rsidRPr="00FC3D5D">
        <w:rPr>
          <w:szCs w:val="24"/>
        </w:rPr>
        <w:t>nfusion</w:t>
      </w:r>
      <w:r>
        <w:rPr>
          <w:szCs w:val="24"/>
        </w:rPr>
        <w:t>s</w:t>
      </w:r>
      <w:r w:rsidRPr="00FC3D5D">
        <w:rPr>
          <w:szCs w:val="24"/>
        </w:rPr>
        <w:t xml:space="preserve"> was </w:t>
      </w:r>
      <w:r>
        <w:rPr>
          <w:szCs w:val="24"/>
        </w:rPr>
        <w:t xml:space="preserve">roughly </w:t>
      </w:r>
      <w:r w:rsidRPr="00FC3D5D">
        <w:rPr>
          <w:szCs w:val="24"/>
        </w:rPr>
        <w:t xml:space="preserve">the same as </w:t>
      </w:r>
      <w:r>
        <w:rPr>
          <w:szCs w:val="24"/>
        </w:rPr>
        <w:t>that used</w:t>
      </w:r>
      <w:r w:rsidRPr="00FC3D5D">
        <w:rPr>
          <w:szCs w:val="24"/>
        </w:rPr>
        <w:t xml:space="preserve"> </w:t>
      </w:r>
      <w:r>
        <w:rPr>
          <w:szCs w:val="24"/>
        </w:rPr>
        <w:t>for</w:t>
      </w:r>
      <w:r w:rsidRPr="00FC3D5D">
        <w:rPr>
          <w:szCs w:val="24"/>
        </w:rPr>
        <w:t xml:space="preserve"> the single dose studies.  </w:t>
      </w:r>
    </w:p>
    <w:p w:rsidR="006D42F8" w:rsidRPr="00FC3D5D" w:rsidRDefault="006D42F8" w:rsidP="006D42F8">
      <w:pPr>
        <w:spacing w:after="120" w:line="480" w:lineRule="auto"/>
        <w:contextualSpacing/>
        <w:rPr>
          <w:szCs w:val="24"/>
        </w:rPr>
      </w:pPr>
    </w:p>
    <w:p w:rsidR="006D42F8" w:rsidRDefault="006D42F8" w:rsidP="006D42F8">
      <w:pPr>
        <w:spacing w:after="120" w:line="480" w:lineRule="auto"/>
      </w:pPr>
      <w:r w:rsidRPr="00B82CD0">
        <w:t>Prior to receiving the first dose, after the final dose and prior to sacrifice</w:t>
      </w:r>
      <w:r>
        <w:t>,</w:t>
      </w:r>
      <w:r w:rsidRPr="00B82CD0">
        <w:t xml:space="preserve"> animals in each of the one-month studies were observed for clinical changes.  </w:t>
      </w:r>
      <w:r>
        <w:t>P</w:t>
      </w:r>
      <w:r w:rsidRPr="00B82CD0">
        <w:t>hysical examinations</w:t>
      </w:r>
      <w:r>
        <w:t xml:space="preserve"> and clinical </w:t>
      </w:r>
      <w:r w:rsidRPr="00B82CD0">
        <w:t xml:space="preserve">assessments </w:t>
      </w:r>
      <w:r>
        <w:t xml:space="preserve">(see above) </w:t>
      </w:r>
      <w:r w:rsidRPr="00B82CD0">
        <w:t xml:space="preserve">were evaluated only in the </w:t>
      </w:r>
      <w:r>
        <w:t xml:space="preserve">cynomolgus </w:t>
      </w:r>
      <w:r w:rsidRPr="00B82CD0">
        <w:t xml:space="preserve">macaque study.  </w:t>
      </w:r>
      <w:r>
        <w:t>Rats and macaques</w:t>
      </w:r>
      <w:r w:rsidRPr="00B82CD0">
        <w:t xml:space="preserve"> were evaluated for changes in behavior after every dose and at least once daily on non</w:t>
      </w:r>
      <w:r>
        <w:t>-</w:t>
      </w:r>
      <w:r w:rsidRPr="00B82CD0">
        <w:t>dose days.  A portion of animals in each study were sacrificed three to four days after final dose</w:t>
      </w:r>
      <w:r>
        <w:t>,</w:t>
      </w:r>
      <w:r w:rsidRPr="00B82CD0">
        <w:t xml:space="preserve"> while the remaining animals entered a recovery phase.  Additional animals were sacrificed along with control cohorts after </w:t>
      </w:r>
      <w:r>
        <w:t xml:space="preserve">cellular </w:t>
      </w:r>
      <w:r w:rsidRPr="00B82CD0">
        <w:t xml:space="preserve">SEMA4D saturation </w:t>
      </w:r>
      <w:r>
        <w:t xml:space="preserve">levels </w:t>
      </w:r>
      <w:r w:rsidRPr="00B82CD0">
        <w:t>returned to baseline.  Standard tissue</w:t>
      </w:r>
      <w:r>
        <w:t xml:space="preserve"> set</w:t>
      </w:r>
      <w:r w:rsidRPr="00B82CD0">
        <w:t>s were collected</w:t>
      </w:r>
      <w:r>
        <w:t xml:space="preserve"> at necropsy and tissues were</w:t>
      </w:r>
      <w:r w:rsidRPr="00B82CD0">
        <w:t xml:space="preserve"> placed in 10% NBF and processed for histopathologic examination.  Eyes and testes were stored in Davidson’s fixative prior to evaluation.  Selected organs were weighed prior to fixation.</w:t>
      </w:r>
    </w:p>
    <w:p w:rsidR="006D42F8" w:rsidRDefault="006D42F8" w:rsidP="006D42F8">
      <w:pPr>
        <w:spacing w:after="120" w:line="480" w:lineRule="auto"/>
        <w:contextualSpacing/>
        <w:rPr>
          <w:szCs w:val="24"/>
        </w:rPr>
      </w:pPr>
    </w:p>
    <w:p w:rsidR="006D42F8" w:rsidRPr="002C72D1" w:rsidRDefault="006D42F8" w:rsidP="006D42F8">
      <w:pPr>
        <w:spacing w:after="120" w:line="480" w:lineRule="auto"/>
        <w:contextualSpacing/>
        <w:rPr>
          <w:i/>
          <w:szCs w:val="24"/>
        </w:rPr>
      </w:pPr>
      <w:r w:rsidRPr="005A7840">
        <w:rPr>
          <w:i/>
          <w:szCs w:val="24"/>
        </w:rPr>
        <w:t>Pharmacokinetic Analyses</w:t>
      </w:r>
    </w:p>
    <w:p w:rsidR="006D42F8" w:rsidRDefault="006D42F8" w:rsidP="006D42F8">
      <w:pPr>
        <w:spacing w:after="120" w:line="480" w:lineRule="auto"/>
        <w:contextualSpacing/>
        <w:rPr>
          <w:szCs w:val="24"/>
        </w:rPr>
      </w:pPr>
      <w:r w:rsidRPr="00FC3D5D">
        <w:rPr>
          <w:szCs w:val="24"/>
        </w:rPr>
        <w:t>Maximum serum concentration (C</w:t>
      </w:r>
      <w:r w:rsidRPr="00FC3D5D">
        <w:rPr>
          <w:szCs w:val="24"/>
          <w:vertAlign w:val="subscript"/>
        </w:rPr>
        <w:t>max</w:t>
      </w:r>
      <w:r w:rsidRPr="00FC3D5D">
        <w:rPr>
          <w:szCs w:val="24"/>
        </w:rPr>
        <w:t>) and time to maximum concentration (T</w:t>
      </w:r>
      <w:r w:rsidRPr="00FC3D5D">
        <w:rPr>
          <w:szCs w:val="24"/>
          <w:vertAlign w:val="subscript"/>
        </w:rPr>
        <w:t>max</w:t>
      </w:r>
      <w:r w:rsidRPr="00FC3D5D">
        <w:rPr>
          <w:szCs w:val="24"/>
        </w:rPr>
        <w:t xml:space="preserve">) were both noted.  Total exposure was estimated by the linear trapezoidal rule when analyzing serum antibody concentration versus time area under the curve (AUC).  Total antibody exposure was calculated </w:t>
      </w:r>
      <w:r>
        <w:rPr>
          <w:szCs w:val="24"/>
        </w:rPr>
        <w:t xml:space="preserve">over the time range of </w:t>
      </w:r>
      <w:r w:rsidRPr="00FC3D5D">
        <w:rPr>
          <w:szCs w:val="24"/>
        </w:rPr>
        <w:t xml:space="preserve">0 to 168 </w:t>
      </w:r>
      <w:r>
        <w:rPr>
          <w:szCs w:val="24"/>
        </w:rPr>
        <w:t xml:space="preserve">hours </w:t>
      </w:r>
      <w:r w:rsidRPr="00FC3D5D">
        <w:rPr>
          <w:szCs w:val="24"/>
        </w:rPr>
        <w:t>(AUC</w:t>
      </w:r>
      <w:r w:rsidRPr="00FC3D5D">
        <w:rPr>
          <w:szCs w:val="24"/>
          <w:vertAlign w:val="subscript"/>
        </w:rPr>
        <w:t>0-168</w:t>
      </w:r>
      <w:r w:rsidRPr="00FC3D5D">
        <w:rPr>
          <w:szCs w:val="24"/>
        </w:rPr>
        <w:t>) or to the last measurable concentration (AUC</w:t>
      </w:r>
      <w:r w:rsidRPr="00FC3D5D">
        <w:rPr>
          <w:szCs w:val="24"/>
          <w:vertAlign w:val="subscript"/>
        </w:rPr>
        <w:t>0-t</w:t>
      </w:r>
      <w:r w:rsidRPr="00FC3D5D">
        <w:rPr>
          <w:szCs w:val="24"/>
        </w:rPr>
        <w:t xml:space="preserve">).  Elimination half-life was determined, when </w:t>
      </w:r>
      <w:r>
        <w:rPr>
          <w:szCs w:val="24"/>
        </w:rPr>
        <w:t>appropriate</w:t>
      </w:r>
      <w:r w:rsidRPr="00FC3D5D">
        <w:rPr>
          <w:szCs w:val="24"/>
        </w:rPr>
        <w:t xml:space="preserve">, </w:t>
      </w:r>
      <w:r>
        <w:rPr>
          <w:szCs w:val="24"/>
        </w:rPr>
        <w:t>using the equation</w:t>
      </w:r>
      <w:r w:rsidRPr="00FC3D5D">
        <w:rPr>
          <w:szCs w:val="24"/>
        </w:rPr>
        <w:t xml:space="preserve"> </w:t>
      </w:r>
      <w:proofErr w:type="gramStart"/>
      <w:r w:rsidRPr="00FC3D5D">
        <w:rPr>
          <w:szCs w:val="24"/>
        </w:rPr>
        <w:t>ln(</w:t>
      </w:r>
      <w:proofErr w:type="gramEnd"/>
      <w:r w:rsidRPr="00FC3D5D">
        <w:rPr>
          <w:szCs w:val="24"/>
        </w:rPr>
        <w:t>2)/</w:t>
      </w:r>
      <w:proofErr w:type="spellStart"/>
      <w:r w:rsidRPr="00FC3D5D">
        <w:rPr>
          <w:szCs w:val="24"/>
        </w:rPr>
        <w:t>λ</w:t>
      </w:r>
      <w:r w:rsidRPr="00FC3D5D">
        <w:rPr>
          <w:szCs w:val="24"/>
          <w:vertAlign w:val="subscript"/>
        </w:rPr>
        <w:t>Ζ</w:t>
      </w:r>
      <w:proofErr w:type="spellEnd"/>
      <w:r>
        <w:rPr>
          <w:szCs w:val="24"/>
        </w:rPr>
        <w:t xml:space="preserve">, where </w:t>
      </w:r>
      <w:proofErr w:type="spellStart"/>
      <w:r w:rsidRPr="00FC3D5D">
        <w:rPr>
          <w:szCs w:val="24"/>
        </w:rPr>
        <w:t>λ</w:t>
      </w:r>
      <w:r w:rsidRPr="00FC3D5D">
        <w:rPr>
          <w:szCs w:val="24"/>
          <w:vertAlign w:val="subscript"/>
        </w:rPr>
        <w:t>Ζ</w:t>
      </w:r>
      <w:proofErr w:type="spellEnd"/>
      <w:r w:rsidRPr="00FC3D5D">
        <w:rPr>
          <w:szCs w:val="24"/>
        </w:rPr>
        <w:t xml:space="preserve"> is the elimination constant.  Systemic clearance was calculated </w:t>
      </w:r>
      <w:r>
        <w:rPr>
          <w:szCs w:val="24"/>
        </w:rPr>
        <w:t>using the quotient of</w:t>
      </w:r>
      <w:r w:rsidRPr="00FC3D5D">
        <w:rPr>
          <w:szCs w:val="24"/>
        </w:rPr>
        <w:t xml:space="preserve"> dose</w:t>
      </w:r>
      <w:r>
        <w:rPr>
          <w:szCs w:val="24"/>
        </w:rPr>
        <w:t xml:space="preserve"> and </w:t>
      </w:r>
      <w:r w:rsidRPr="00FC3D5D">
        <w:rPr>
          <w:szCs w:val="24"/>
        </w:rPr>
        <w:t>AUC</w:t>
      </w:r>
      <w:r w:rsidRPr="00FC3D5D">
        <w:rPr>
          <w:szCs w:val="24"/>
          <w:vertAlign w:val="subscript"/>
        </w:rPr>
        <w:t>0-168</w:t>
      </w:r>
      <w:r w:rsidRPr="00FC3D5D">
        <w:rPr>
          <w:szCs w:val="24"/>
        </w:rPr>
        <w:t>.  Volume of distribution at steady state was calculated as CL•MRT.</w:t>
      </w:r>
      <w:r>
        <w:rPr>
          <w:szCs w:val="24"/>
        </w:rPr>
        <w:t xml:space="preserve">  T</w:t>
      </w:r>
      <w:r w:rsidRPr="00FC3D5D">
        <w:rPr>
          <w:szCs w:val="24"/>
        </w:rPr>
        <w:t xml:space="preserve">he single dose rat study </w:t>
      </w:r>
      <w:r>
        <w:rPr>
          <w:szCs w:val="24"/>
        </w:rPr>
        <w:t>was</w:t>
      </w:r>
      <w:r w:rsidRPr="00FC3D5D">
        <w:rPr>
          <w:szCs w:val="24"/>
        </w:rPr>
        <w:t xml:space="preserve"> analyzed using Prism </w:t>
      </w:r>
      <w:proofErr w:type="spellStart"/>
      <w:r w:rsidRPr="00FC3D5D">
        <w:rPr>
          <w:szCs w:val="24"/>
        </w:rPr>
        <w:t>GraphPad</w:t>
      </w:r>
      <w:proofErr w:type="spellEnd"/>
      <w:r w:rsidRPr="00FC3D5D">
        <w:rPr>
          <w:szCs w:val="24"/>
        </w:rPr>
        <w:t xml:space="preserve"> version 10 (</w:t>
      </w:r>
      <w:proofErr w:type="spellStart"/>
      <w:r w:rsidRPr="00FC3D5D">
        <w:rPr>
          <w:szCs w:val="24"/>
        </w:rPr>
        <w:t>GraphPad</w:t>
      </w:r>
      <w:proofErr w:type="spellEnd"/>
      <w:r w:rsidRPr="00FC3D5D">
        <w:rPr>
          <w:szCs w:val="24"/>
        </w:rPr>
        <w:t xml:space="preserve"> </w:t>
      </w:r>
      <w:r w:rsidRPr="00FC3D5D">
        <w:rPr>
          <w:szCs w:val="24"/>
        </w:rPr>
        <w:lastRenderedPageBreak/>
        <w:t>Software Inc., La Jolla, CA).  C</w:t>
      </w:r>
      <w:r w:rsidRPr="00FC3D5D">
        <w:rPr>
          <w:szCs w:val="24"/>
          <w:vertAlign w:val="subscript"/>
        </w:rPr>
        <w:t>max</w:t>
      </w:r>
      <w:r w:rsidRPr="00FC3D5D">
        <w:rPr>
          <w:szCs w:val="24"/>
        </w:rPr>
        <w:t>, T</w:t>
      </w:r>
      <w:r w:rsidRPr="00FC3D5D">
        <w:rPr>
          <w:szCs w:val="24"/>
          <w:vertAlign w:val="subscript"/>
        </w:rPr>
        <w:t>max</w:t>
      </w:r>
      <w:r w:rsidRPr="00FC3D5D">
        <w:rPr>
          <w:szCs w:val="24"/>
        </w:rPr>
        <w:t>, AUC, and half-li</w:t>
      </w:r>
      <w:r>
        <w:rPr>
          <w:szCs w:val="24"/>
        </w:rPr>
        <w:t>ves</w:t>
      </w:r>
      <w:r w:rsidRPr="00FC3D5D">
        <w:rPr>
          <w:szCs w:val="24"/>
        </w:rPr>
        <w:t xml:space="preserve"> were determined as above</w:t>
      </w:r>
      <w:r>
        <w:rPr>
          <w:szCs w:val="24"/>
        </w:rPr>
        <w:t xml:space="preserve"> using a single compartment one or two phase model</w:t>
      </w:r>
      <w:r w:rsidRPr="00FC3D5D">
        <w:rPr>
          <w:szCs w:val="24"/>
        </w:rPr>
        <w:t xml:space="preserve">.  </w:t>
      </w:r>
      <w:r>
        <w:t xml:space="preserve">VX15/2503 serum concentration data from the rat bioavailability study were analyzed with both nonlinear (biphasic and monophasic) and linear analyses.  </w:t>
      </w:r>
    </w:p>
    <w:p w:rsidR="006D42F8" w:rsidRPr="00870706" w:rsidRDefault="006D42F8" w:rsidP="006D42F8">
      <w:pPr>
        <w:spacing w:after="120" w:line="480" w:lineRule="auto"/>
        <w:contextualSpacing/>
        <w:rPr>
          <w:szCs w:val="24"/>
        </w:rPr>
      </w:pPr>
    </w:p>
    <w:p w:rsidR="006D42F8" w:rsidRDefault="006D42F8" w:rsidP="006D42F8">
      <w:pPr>
        <w:spacing w:line="276" w:lineRule="auto"/>
      </w:pPr>
    </w:p>
    <w:p w:rsidR="00AC199B" w:rsidRDefault="00AB2119"/>
    <w:sectPr w:rsidR="00AC199B" w:rsidSect="00D6136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119" w:rsidRDefault="00AB2119" w:rsidP="006D42F8">
      <w:pPr>
        <w:spacing w:after="0" w:line="240" w:lineRule="auto"/>
      </w:pPr>
      <w:r>
        <w:separator/>
      </w:r>
    </w:p>
  </w:endnote>
  <w:endnote w:type="continuationSeparator" w:id="0">
    <w:p w:rsidR="00AB2119" w:rsidRDefault="00AB2119" w:rsidP="006D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8668"/>
      <w:docPartObj>
        <w:docPartGallery w:val="Page Numbers (Bottom of Page)"/>
        <w:docPartUnique/>
      </w:docPartObj>
    </w:sdtPr>
    <w:sdtContent>
      <w:p w:rsidR="006D42F8" w:rsidRDefault="00E941ED">
        <w:pPr>
          <w:pStyle w:val="Footer"/>
          <w:jc w:val="center"/>
        </w:pPr>
        <w:fldSimple w:instr=" PAGE   \* MERGEFORMAT ">
          <w:r w:rsidR="00674196">
            <w:rPr>
              <w:noProof/>
            </w:rPr>
            <w:t>4</w:t>
          </w:r>
        </w:fldSimple>
      </w:p>
    </w:sdtContent>
  </w:sdt>
  <w:p w:rsidR="006D42F8" w:rsidRDefault="006D42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119" w:rsidRDefault="00AB2119" w:rsidP="006D42F8">
      <w:pPr>
        <w:spacing w:after="0" w:line="240" w:lineRule="auto"/>
      </w:pPr>
      <w:r>
        <w:separator/>
      </w:r>
    </w:p>
  </w:footnote>
  <w:footnote w:type="continuationSeparator" w:id="0">
    <w:p w:rsidR="00AB2119" w:rsidRDefault="00AB2119" w:rsidP="006D4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2F8"/>
    <w:rsid w:val="000A1E91"/>
    <w:rsid w:val="000B2B6F"/>
    <w:rsid w:val="002368F1"/>
    <w:rsid w:val="002652D8"/>
    <w:rsid w:val="002A384C"/>
    <w:rsid w:val="002C47BE"/>
    <w:rsid w:val="0032797D"/>
    <w:rsid w:val="0033384E"/>
    <w:rsid w:val="003A01D6"/>
    <w:rsid w:val="0048603C"/>
    <w:rsid w:val="005A3D8E"/>
    <w:rsid w:val="00657105"/>
    <w:rsid w:val="0066437E"/>
    <w:rsid w:val="00674196"/>
    <w:rsid w:val="006D1E2D"/>
    <w:rsid w:val="006D42F8"/>
    <w:rsid w:val="007E1184"/>
    <w:rsid w:val="008C7DFB"/>
    <w:rsid w:val="009D3A46"/>
    <w:rsid w:val="00A97EE4"/>
    <w:rsid w:val="00AB1F1C"/>
    <w:rsid w:val="00AB2119"/>
    <w:rsid w:val="00AC0896"/>
    <w:rsid w:val="00C12B77"/>
    <w:rsid w:val="00CB3A0C"/>
    <w:rsid w:val="00D815AB"/>
    <w:rsid w:val="00E03A43"/>
    <w:rsid w:val="00E90A02"/>
    <w:rsid w:val="00E941ED"/>
    <w:rsid w:val="00EC0A97"/>
    <w:rsid w:val="00EC6007"/>
    <w:rsid w:val="00F832A0"/>
    <w:rsid w:val="00FB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F8"/>
    <w:pPr>
      <w:spacing w:after="200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2F8"/>
    <w:pPr>
      <w:keepNext/>
      <w:keepLines/>
      <w:spacing w:before="200" w:after="0"/>
      <w:outlineLvl w:val="1"/>
    </w:pPr>
    <w:rPr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42F8"/>
    <w:rPr>
      <w:rFonts w:eastAsia="Times New Roman" w:cs="Times New Roman"/>
      <w:bCs/>
      <w:i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6D4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2F8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D4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2F8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D4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jleonard</dc:creator>
  <cp:lastModifiedBy>jleonard</cp:lastModifiedBy>
  <cp:revision>2</cp:revision>
  <dcterms:created xsi:type="dcterms:W3CDTF">2014-12-29T19:15:00Z</dcterms:created>
  <dcterms:modified xsi:type="dcterms:W3CDTF">2014-12-29T19:15:00Z</dcterms:modified>
</cp:coreProperties>
</file>