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1CD21" w14:textId="77777777" w:rsidR="000338BF" w:rsidRDefault="000338BF" w:rsidP="000338BF">
      <w:pPr>
        <w:spacing w:after="0" w:line="360" w:lineRule="auto"/>
        <w:jc w:val="both"/>
        <w:rPr>
          <w:b/>
          <w:sz w:val="24"/>
          <w:lang w:val="en-US"/>
        </w:rPr>
      </w:pPr>
      <w:r>
        <w:rPr>
          <w:b/>
          <w:sz w:val="24"/>
          <w:lang w:val="en-US"/>
        </w:rPr>
        <w:t>Supplementary Tables and Figures</w:t>
      </w:r>
    </w:p>
    <w:p w14:paraId="1411CD22" w14:textId="77777777" w:rsidR="000338BF" w:rsidRDefault="000338BF" w:rsidP="000338BF">
      <w:pPr>
        <w:spacing w:after="0" w:line="360" w:lineRule="auto"/>
        <w:jc w:val="both"/>
        <w:rPr>
          <w:b/>
          <w:sz w:val="24"/>
          <w:lang w:val="en-US"/>
        </w:rPr>
      </w:pPr>
    </w:p>
    <w:p w14:paraId="1411CD23" w14:textId="77777777" w:rsidR="000338BF" w:rsidRDefault="000338BF" w:rsidP="000338BF">
      <w:pPr>
        <w:spacing w:after="0" w:line="360" w:lineRule="auto"/>
        <w:jc w:val="both"/>
        <w:rPr>
          <w:b/>
          <w:sz w:val="24"/>
          <w:lang w:val="en-US"/>
        </w:rPr>
      </w:pPr>
      <w:r>
        <w:rPr>
          <w:b/>
          <w:sz w:val="24"/>
          <w:lang w:val="en-US"/>
        </w:rPr>
        <w:t>Table S1</w:t>
      </w:r>
    </w:p>
    <w:p w14:paraId="1411CD24" w14:textId="77777777" w:rsidR="000338BF" w:rsidRDefault="000338BF" w:rsidP="000338BF">
      <w:pPr>
        <w:spacing w:after="0" w:line="360" w:lineRule="auto"/>
        <w:jc w:val="both"/>
        <w:rPr>
          <w:b/>
          <w:sz w:val="24"/>
          <w:lang w:val="en-US"/>
        </w:rPr>
      </w:pPr>
      <w:r w:rsidRPr="00FA6250">
        <w:rPr>
          <w:noProof/>
          <w:lang w:val="en-US"/>
        </w:rPr>
        <w:drawing>
          <wp:inline distT="0" distB="0" distL="0" distR="0" wp14:anchorId="1411CD5F" wp14:editId="1411CD60">
            <wp:extent cx="6120130" cy="264589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645891"/>
                    </a:xfrm>
                    <a:prstGeom prst="rect">
                      <a:avLst/>
                    </a:prstGeom>
                    <a:noFill/>
                    <a:ln>
                      <a:noFill/>
                    </a:ln>
                  </pic:spPr>
                </pic:pic>
              </a:graphicData>
            </a:graphic>
          </wp:inline>
        </w:drawing>
      </w:r>
    </w:p>
    <w:p w14:paraId="1411CD25" w14:textId="77777777" w:rsidR="000338BF" w:rsidRDefault="000338BF" w:rsidP="000338BF">
      <w:pPr>
        <w:spacing w:after="0" w:line="360" w:lineRule="auto"/>
        <w:jc w:val="both"/>
        <w:rPr>
          <w:b/>
          <w:sz w:val="24"/>
          <w:lang w:val="en-US"/>
        </w:rPr>
      </w:pPr>
    </w:p>
    <w:p w14:paraId="1411CD27" w14:textId="77777777" w:rsidR="000338BF" w:rsidRPr="00AC0D06" w:rsidRDefault="000338BF" w:rsidP="000338BF">
      <w:pPr>
        <w:spacing w:after="0" w:line="360" w:lineRule="auto"/>
        <w:jc w:val="both"/>
        <w:rPr>
          <w:lang w:val="en-US"/>
        </w:rPr>
      </w:pPr>
      <w:bookmarkStart w:id="0" w:name="_GoBack"/>
      <w:bookmarkEnd w:id="0"/>
      <w:r w:rsidRPr="00AC0D06">
        <w:rPr>
          <w:lang w:val="en-US"/>
        </w:rPr>
        <w:t>Apparent affinity (EC50) for antibodies binding to chimeric human:mouse HER2 ECD constructs where each HER2 domain was sequentially exchanged from human to murine sequence. EC50 values are expressed in µg/ml. (-) Not binding.</w:t>
      </w:r>
    </w:p>
    <w:p w14:paraId="1411CD28" w14:textId="77777777" w:rsidR="000338BF" w:rsidRDefault="000338BF" w:rsidP="000338BF">
      <w:pPr>
        <w:rPr>
          <w:b/>
          <w:sz w:val="24"/>
          <w:lang w:val="en-US"/>
        </w:rPr>
      </w:pPr>
      <w:r>
        <w:rPr>
          <w:b/>
          <w:sz w:val="24"/>
          <w:lang w:val="en-US"/>
        </w:rPr>
        <w:br w:type="page"/>
      </w:r>
    </w:p>
    <w:p w14:paraId="1411CD29" w14:textId="77777777" w:rsidR="000338BF" w:rsidRDefault="000338BF" w:rsidP="000338BF">
      <w:pPr>
        <w:spacing w:after="0" w:line="360" w:lineRule="auto"/>
        <w:jc w:val="both"/>
        <w:rPr>
          <w:b/>
          <w:sz w:val="24"/>
          <w:lang w:val="en-US"/>
        </w:rPr>
      </w:pPr>
    </w:p>
    <w:p w14:paraId="1411CD2A" w14:textId="77777777" w:rsidR="000338BF" w:rsidRDefault="000338BF" w:rsidP="000338BF">
      <w:pPr>
        <w:spacing w:after="0" w:line="360" w:lineRule="auto"/>
        <w:jc w:val="both"/>
        <w:rPr>
          <w:b/>
          <w:sz w:val="24"/>
          <w:lang w:val="en-US"/>
        </w:rPr>
      </w:pPr>
      <w:r>
        <w:rPr>
          <w:b/>
          <w:sz w:val="24"/>
          <w:lang w:val="en-US"/>
        </w:rPr>
        <w:t>Table S2 HER2 antibodies target distinct epitopes on HER2 ECD</w:t>
      </w:r>
    </w:p>
    <w:p w14:paraId="1411CD2B" w14:textId="77777777" w:rsidR="000338BF" w:rsidRPr="001E785F" w:rsidRDefault="000338BF" w:rsidP="000338BF">
      <w:pPr>
        <w:spacing w:after="0" w:line="360" w:lineRule="auto"/>
        <w:jc w:val="both"/>
        <w:rPr>
          <w:b/>
          <w:sz w:val="24"/>
          <w:lang w:val="en-US"/>
        </w:rPr>
      </w:pPr>
      <w:r w:rsidRPr="00C0735D">
        <w:rPr>
          <w:noProof/>
          <w:lang w:val="en-US"/>
        </w:rPr>
        <w:drawing>
          <wp:inline distT="0" distB="0" distL="0" distR="0" wp14:anchorId="1411CD61" wp14:editId="1411CD62">
            <wp:extent cx="6120130" cy="188865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20130" cy="1888651"/>
                    </a:xfrm>
                    <a:prstGeom prst="rect">
                      <a:avLst/>
                    </a:prstGeom>
                    <a:noFill/>
                    <a:ln w="9525">
                      <a:noFill/>
                      <a:miter lim="800000"/>
                      <a:headEnd/>
                      <a:tailEnd/>
                    </a:ln>
                  </pic:spPr>
                </pic:pic>
              </a:graphicData>
            </a:graphic>
          </wp:inline>
        </w:drawing>
      </w:r>
    </w:p>
    <w:p w14:paraId="1411CD2C" w14:textId="77777777" w:rsidR="000338BF" w:rsidRPr="00AC0D06" w:rsidRDefault="000338BF" w:rsidP="000338BF">
      <w:pPr>
        <w:spacing w:after="0" w:line="360" w:lineRule="auto"/>
        <w:jc w:val="both"/>
        <w:rPr>
          <w:lang w:val="en-US"/>
        </w:rPr>
      </w:pPr>
      <w:r>
        <w:rPr>
          <w:lang w:val="en-US"/>
        </w:rPr>
        <w:t xml:space="preserve">Epitope </w:t>
      </w:r>
      <w:r w:rsidRPr="00AC0D06">
        <w:rPr>
          <w:lang w:val="en-US"/>
        </w:rPr>
        <w:t xml:space="preserve">binning of antibodies as measured by BioLayer Interferometry (BLI) competition assay.  Immobilized human HER2 ECD was saturated with each antibody from the HER2 panel (blocking mAb) and tested for competition with each of the same antibodies from the panel (Test mAb). Antibodies were grouped according to recognized HER2 domain. The percentage competition shown </w:t>
      </w:r>
      <w:r>
        <w:rPr>
          <w:lang w:val="en-US"/>
        </w:rPr>
        <w:t>was</w:t>
      </w:r>
      <w:r w:rsidRPr="00AC0D06">
        <w:rPr>
          <w:lang w:val="en-US"/>
        </w:rPr>
        <w:t xml:space="preserve"> calculated as the reduction in maximal binding of each antibody when tested on the antibody saturated antigen and is color coded as indicated. Antibody pairs binding overlapping epitopes were identified by an arbitrary set cut-off value of at least 50% inhibition (light red to dark red squares). Boxed squares indicate inhibition values for antibodies blocking their own binding. Negative inhibition values indicate binding enhancement.</w:t>
      </w:r>
    </w:p>
    <w:p w14:paraId="1411CD2D" w14:textId="77777777" w:rsidR="000338BF" w:rsidRDefault="000338BF" w:rsidP="000338BF">
      <w:pPr>
        <w:spacing w:after="0" w:line="360" w:lineRule="auto"/>
        <w:jc w:val="both"/>
        <w:rPr>
          <w:b/>
          <w:sz w:val="24"/>
          <w:lang w:val="en-US"/>
        </w:rPr>
      </w:pPr>
    </w:p>
    <w:p w14:paraId="1411CD2E" w14:textId="77777777" w:rsidR="000338BF" w:rsidRDefault="000338BF" w:rsidP="000338BF">
      <w:pPr>
        <w:spacing w:after="0" w:line="360" w:lineRule="auto"/>
        <w:jc w:val="both"/>
        <w:rPr>
          <w:b/>
          <w:sz w:val="24"/>
          <w:lang w:val="en-US"/>
        </w:rPr>
      </w:pPr>
    </w:p>
    <w:p w14:paraId="1411CD2F" w14:textId="77777777" w:rsidR="000338BF" w:rsidRDefault="000338BF" w:rsidP="000338BF">
      <w:pPr>
        <w:rPr>
          <w:b/>
          <w:sz w:val="24"/>
          <w:lang w:val="en-US"/>
        </w:rPr>
      </w:pPr>
      <w:r>
        <w:rPr>
          <w:b/>
          <w:sz w:val="24"/>
          <w:lang w:val="en-US"/>
        </w:rPr>
        <w:br w:type="page"/>
      </w:r>
    </w:p>
    <w:p w14:paraId="45A0E8D6" w14:textId="765B6F38" w:rsidR="001E3B62" w:rsidRDefault="001E3B62" w:rsidP="001E3B62">
      <w:pPr>
        <w:spacing w:after="0" w:line="360" w:lineRule="auto"/>
        <w:jc w:val="both"/>
        <w:rPr>
          <w:b/>
          <w:sz w:val="24"/>
          <w:lang w:val="en-US"/>
        </w:rPr>
      </w:pPr>
      <w:r>
        <w:rPr>
          <w:b/>
          <w:sz w:val="24"/>
          <w:lang w:val="en-US"/>
        </w:rPr>
        <w:lastRenderedPageBreak/>
        <w:t>Figure S1 Comparison of Petuzumab analogue and Perjeta</w:t>
      </w:r>
    </w:p>
    <w:p w14:paraId="49112186" w14:textId="77777777" w:rsidR="001E3B62" w:rsidRDefault="001E3B62" w:rsidP="001E3B62">
      <w:pPr>
        <w:spacing w:after="0" w:line="360" w:lineRule="auto"/>
        <w:jc w:val="center"/>
        <w:rPr>
          <w:b/>
          <w:sz w:val="24"/>
          <w:lang w:val="en-US"/>
        </w:rPr>
      </w:pPr>
      <w:r w:rsidRPr="00F62A44">
        <w:rPr>
          <w:noProof/>
          <w:lang w:val="en-US"/>
        </w:rPr>
        <w:drawing>
          <wp:inline distT="0" distB="0" distL="0" distR="0" wp14:anchorId="18C724A5" wp14:editId="2AD59E7E">
            <wp:extent cx="3838575" cy="30846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4631" cy="3089560"/>
                    </a:xfrm>
                    <a:prstGeom prst="rect">
                      <a:avLst/>
                    </a:prstGeom>
                    <a:noFill/>
                    <a:ln>
                      <a:noFill/>
                    </a:ln>
                  </pic:spPr>
                </pic:pic>
              </a:graphicData>
            </a:graphic>
          </wp:inline>
        </w:drawing>
      </w:r>
    </w:p>
    <w:p w14:paraId="313FEBF8" w14:textId="77777777" w:rsidR="001E3B62" w:rsidRDefault="001E3B62" w:rsidP="001E3B62">
      <w:pPr>
        <w:spacing w:after="0" w:line="360" w:lineRule="auto"/>
        <w:jc w:val="both"/>
        <w:rPr>
          <w:b/>
          <w:sz w:val="24"/>
          <w:lang w:val="en-US"/>
        </w:rPr>
      </w:pPr>
    </w:p>
    <w:p w14:paraId="7C4C5E35" w14:textId="77777777" w:rsidR="001E3B62" w:rsidRPr="0080113F" w:rsidRDefault="001E3B62" w:rsidP="001E3B62">
      <w:pPr>
        <w:rPr>
          <w:sz w:val="24"/>
          <w:lang w:val="en-US"/>
        </w:rPr>
      </w:pPr>
      <w:r w:rsidRPr="0080113F">
        <w:rPr>
          <w:sz w:val="24"/>
          <w:lang w:val="en-US"/>
        </w:rPr>
        <w:t>Comparison of the pertuzumab analogue used in throughout this work and commercially available Perjeta® (pertuzumab).</w:t>
      </w:r>
      <w:r>
        <w:rPr>
          <w:sz w:val="24"/>
          <w:lang w:val="en-US"/>
        </w:rPr>
        <w:t xml:space="preserve"> Similar inhibitory activity was seen in the cell line MDA-MB-175-VII.</w:t>
      </w:r>
    </w:p>
    <w:p w14:paraId="1BE8B98E" w14:textId="77777777" w:rsidR="001E3B62" w:rsidRDefault="001E3B62" w:rsidP="000338BF">
      <w:pPr>
        <w:spacing w:after="0" w:line="360" w:lineRule="auto"/>
        <w:jc w:val="both"/>
        <w:rPr>
          <w:b/>
          <w:sz w:val="24"/>
          <w:lang w:val="en-US"/>
        </w:rPr>
      </w:pPr>
    </w:p>
    <w:p w14:paraId="4A2341D2" w14:textId="781DB0D2" w:rsidR="00F144E6" w:rsidRDefault="00F144E6">
      <w:pPr>
        <w:spacing w:after="160" w:line="259" w:lineRule="auto"/>
        <w:rPr>
          <w:b/>
          <w:sz w:val="24"/>
          <w:lang w:val="en-US"/>
        </w:rPr>
      </w:pPr>
      <w:r>
        <w:rPr>
          <w:b/>
          <w:sz w:val="24"/>
          <w:lang w:val="en-US"/>
        </w:rPr>
        <w:br w:type="page"/>
      </w:r>
    </w:p>
    <w:p w14:paraId="261567F8" w14:textId="77777777" w:rsidR="001E3B62" w:rsidRDefault="001E3B62" w:rsidP="000338BF">
      <w:pPr>
        <w:spacing w:after="0" w:line="360" w:lineRule="auto"/>
        <w:jc w:val="both"/>
        <w:rPr>
          <w:b/>
          <w:sz w:val="24"/>
          <w:lang w:val="en-US"/>
        </w:rPr>
      </w:pPr>
    </w:p>
    <w:p w14:paraId="1411CD30" w14:textId="5FDDD7C6" w:rsidR="000338BF" w:rsidRDefault="000338BF" w:rsidP="000338BF">
      <w:pPr>
        <w:spacing w:after="0" w:line="360" w:lineRule="auto"/>
        <w:jc w:val="both"/>
        <w:rPr>
          <w:b/>
          <w:sz w:val="24"/>
          <w:lang w:val="en-US"/>
        </w:rPr>
      </w:pPr>
      <w:r>
        <w:rPr>
          <w:b/>
          <w:sz w:val="24"/>
          <w:lang w:val="en-US"/>
        </w:rPr>
        <w:t>Figure S</w:t>
      </w:r>
      <w:r w:rsidR="001E3B62">
        <w:rPr>
          <w:b/>
          <w:sz w:val="24"/>
          <w:lang w:val="en-US"/>
        </w:rPr>
        <w:t>2</w:t>
      </w:r>
      <w:r>
        <w:rPr>
          <w:b/>
          <w:sz w:val="24"/>
          <w:lang w:val="en-US"/>
        </w:rPr>
        <w:t xml:space="preserve"> Sensograms</w:t>
      </w:r>
    </w:p>
    <w:p w14:paraId="1411CD31" w14:textId="77777777" w:rsidR="000338BF" w:rsidRDefault="000338BF" w:rsidP="000338BF">
      <w:pPr>
        <w:spacing w:after="0" w:line="360" w:lineRule="auto"/>
        <w:jc w:val="both"/>
        <w:rPr>
          <w:b/>
          <w:sz w:val="24"/>
          <w:lang w:val="en-US"/>
        </w:rPr>
      </w:pPr>
      <w:r>
        <w:rPr>
          <w:noProof/>
          <w:lang w:val="en-US"/>
        </w:rPr>
        <w:drawing>
          <wp:inline distT="0" distB="0" distL="0" distR="0" wp14:anchorId="1411CD63" wp14:editId="1411CD64">
            <wp:extent cx="6120130" cy="203771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3" cstate="print"/>
                    <a:srcRect/>
                    <a:stretch>
                      <a:fillRect/>
                    </a:stretch>
                  </pic:blipFill>
                  <pic:spPr bwMode="auto">
                    <a:xfrm>
                      <a:off x="0" y="0"/>
                      <a:ext cx="6120130" cy="2037715"/>
                    </a:xfrm>
                    <a:prstGeom prst="rect">
                      <a:avLst/>
                    </a:prstGeom>
                    <a:noFill/>
                    <a:ln w="1">
                      <a:noFill/>
                      <a:miter lim="800000"/>
                      <a:headEnd/>
                      <a:tailEnd/>
                    </a:ln>
                  </pic:spPr>
                </pic:pic>
              </a:graphicData>
            </a:graphic>
          </wp:inline>
        </w:drawing>
      </w:r>
    </w:p>
    <w:p w14:paraId="1411CD32" w14:textId="77777777" w:rsidR="000338BF" w:rsidRDefault="000338BF" w:rsidP="000338BF">
      <w:pPr>
        <w:spacing w:after="0" w:line="360" w:lineRule="auto"/>
        <w:jc w:val="both"/>
        <w:rPr>
          <w:b/>
          <w:sz w:val="24"/>
          <w:lang w:val="en-US"/>
        </w:rPr>
      </w:pPr>
      <w:r>
        <w:rPr>
          <w:noProof/>
          <w:lang w:val="en-US"/>
        </w:rPr>
        <w:drawing>
          <wp:inline distT="0" distB="0" distL="0" distR="0" wp14:anchorId="1411CD65" wp14:editId="1411CD66">
            <wp:extent cx="6120130" cy="254889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4"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3" w14:textId="77777777" w:rsidR="000338BF" w:rsidRDefault="000338BF" w:rsidP="000338BF">
      <w:pPr>
        <w:spacing w:after="0" w:line="360" w:lineRule="auto"/>
        <w:jc w:val="both"/>
        <w:rPr>
          <w:b/>
          <w:sz w:val="24"/>
          <w:lang w:val="en-US"/>
        </w:rPr>
      </w:pPr>
      <w:r>
        <w:rPr>
          <w:noProof/>
          <w:lang w:val="en-US"/>
        </w:rPr>
        <w:drawing>
          <wp:inline distT="0" distB="0" distL="0" distR="0" wp14:anchorId="1411CD67" wp14:editId="1411CD68">
            <wp:extent cx="6120130" cy="254889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4" w14:textId="77777777" w:rsidR="000338BF" w:rsidRDefault="000338BF" w:rsidP="000338BF">
      <w:pPr>
        <w:spacing w:after="0" w:line="360" w:lineRule="auto"/>
        <w:jc w:val="both"/>
        <w:rPr>
          <w:b/>
          <w:sz w:val="24"/>
          <w:lang w:val="en-US"/>
        </w:rPr>
      </w:pPr>
      <w:r>
        <w:rPr>
          <w:noProof/>
          <w:lang w:val="en-US"/>
        </w:rPr>
        <w:lastRenderedPageBreak/>
        <w:drawing>
          <wp:inline distT="0" distB="0" distL="0" distR="0" wp14:anchorId="1411CD69" wp14:editId="1411CD6A">
            <wp:extent cx="6120130" cy="254889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6"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5" w14:textId="77777777" w:rsidR="000338BF" w:rsidRDefault="000338BF" w:rsidP="000338BF">
      <w:pPr>
        <w:spacing w:after="0" w:line="360" w:lineRule="auto"/>
        <w:jc w:val="both"/>
        <w:rPr>
          <w:b/>
          <w:sz w:val="24"/>
          <w:lang w:val="en-US"/>
        </w:rPr>
      </w:pPr>
      <w:r>
        <w:rPr>
          <w:noProof/>
          <w:lang w:val="en-US"/>
        </w:rPr>
        <w:drawing>
          <wp:inline distT="0" distB="0" distL="0" distR="0" wp14:anchorId="1411CD6B" wp14:editId="1411CD6C">
            <wp:extent cx="6120130" cy="254889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7"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6" w14:textId="77777777" w:rsidR="000338BF" w:rsidRDefault="000338BF" w:rsidP="000338BF">
      <w:pPr>
        <w:spacing w:after="0" w:line="360" w:lineRule="auto"/>
        <w:jc w:val="both"/>
        <w:rPr>
          <w:b/>
          <w:sz w:val="24"/>
          <w:lang w:val="en-US"/>
        </w:rPr>
      </w:pPr>
      <w:r>
        <w:rPr>
          <w:noProof/>
          <w:lang w:val="en-US"/>
        </w:rPr>
        <w:drawing>
          <wp:inline distT="0" distB="0" distL="0" distR="0" wp14:anchorId="1411CD6D" wp14:editId="1411CD6E">
            <wp:extent cx="6120130" cy="254889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8"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7" w14:textId="77777777" w:rsidR="000338BF" w:rsidRDefault="000338BF" w:rsidP="000338BF">
      <w:pPr>
        <w:spacing w:after="0" w:line="360" w:lineRule="auto"/>
        <w:jc w:val="both"/>
        <w:rPr>
          <w:b/>
          <w:sz w:val="24"/>
          <w:lang w:val="en-US"/>
        </w:rPr>
      </w:pPr>
      <w:r>
        <w:rPr>
          <w:noProof/>
          <w:lang w:val="en-US"/>
        </w:rPr>
        <w:lastRenderedPageBreak/>
        <w:drawing>
          <wp:inline distT="0" distB="0" distL="0" distR="0" wp14:anchorId="1411CD6F" wp14:editId="1411CD70">
            <wp:extent cx="6120130" cy="254889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19"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8" w14:textId="77777777" w:rsidR="000338BF" w:rsidRDefault="000338BF" w:rsidP="000338BF">
      <w:pPr>
        <w:spacing w:after="0" w:line="360" w:lineRule="auto"/>
        <w:jc w:val="both"/>
        <w:rPr>
          <w:b/>
          <w:sz w:val="24"/>
          <w:lang w:val="en-US"/>
        </w:rPr>
      </w:pPr>
      <w:r>
        <w:rPr>
          <w:noProof/>
          <w:lang w:val="en-US"/>
        </w:rPr>
        <w:drawing>
          <wp:inline distT="0" distB="0" distL="0" distR="0" wp14:anchorId="1411CD71" wp14:editId="1411CD72">
            <wp:extent cx="6120130" cy="254889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0"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9" w14:textId="77777777" w:rsidR="000338BF" w:rsidRDefault="000338BF" w:rsidP="000338BF">
      <w:pPr>
        <w:spacing w:after="0" w:line="360" w:lineRule="auto"/>
        <w:jc w:val="both"/>
        <w:rPr>
          <w:b/>
          <w:sz w:val="24"/>
          <w:lang w:val="en-US"/>
        </w:rPr>
      </w:pPr>
      <w:r>
        <w:rPr>
          <w:noProof/>
          <w:lang w:val="en-US"/>
        </w:rPr>
        <w:drawing>
          <wp:inline distT="0" distB="0" distL="0" distR="0" wp14:anchorId="1411CD73" wp14:editId="1411CD74">
            <wp:extent cx="6120130" cy="254889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1"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1411CD3A" w14:textId="77777777" w:rsidR="000338BF" w:rsidRDefault="000338BF" w:rsidP="000338BF">
      <w:pPr>
        <w:spacing w:after="0" w:line="360" w:lineRule="auto"/>
        <w:jc w:val="both"/>
        <w:rPr>
          <w:b/>
          <w:sz w:val="24"/>
          <w:lang w:val="en-US"/>
        </w:rPr>
      </w:pPr>
      <w:r>
        <w:rPr>
          <w:noProof/>
          <w:lang w:val="en-US"/>
        </w:rPr>
        <w:lastRenderedPageBreak/>
        <w:drawing>
          <wp:inline distT="0" distB="0" distL="0" distR="0" wp14:anchorId="1411CD75" wp14:editId="1411CD76">
            <wp:extent cx="6120130" cy="254889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2" cstate="print"/>
                    <a:srcRect/>
                    <a:stretch>
                      <a:fillRect/>
                    </a:stretch>
                  </pic:blipFill>
                  <pic:spPr bwMode="auto">
                    <a:xfrm>
                      <a:off x="0" y="0"/>
                      <a:ext cx="6120130" cy="2548890"/>
                    </a:xfrm>
                    <a:prstGeom prst="rect">
                      <a:avLst/>
                    </a:prstGeom>
                    <a:noFill/>
                    <a:ln w="1">
                      <a:noFill/>
                      <a:miter lim="800000"/>
                      <a:headEnd/>
                      <a:tailEnd/>
                    </a:ln>
                  </pic:spPr>
                </pic:pic>
              </a:graphicData>
            </a:graphic>
          </wp:inline>
        </w:drawing>
      </w:r>
    </w:p>
    <w:p w14:paraId="393D56FC" w14:textId="73071B5A" w:rsidR="00566FD9" w:rsidRPr="0080113F" w:rsidRDefault="00566FD9" w:rsidP="00566FD9">
      <w:pPr>
        <w:rPr>
          <w:sz w:val="24"/>
          <w:lang w:val="en-US"/>
        </w:rPr>
      </w:pPr>
      <w:r>
        <w:rPr>
          <w:sz w:val="24"/>
          <w:lang w:val="en-US"/>
        </w:rPr>
        <w:t>Sensograms for the antibodies 4380, 4382, 4383, 4384, 4385, 4387, 4517, 4518, trastuzumab (Herceptin) and the pertuzumab analogue.</w:t>
      </w:r>
    </w:p>
    <w:p w14:paraId="1411CD3B" w14:textId="77777777" w:rsidR="000338BF" w:rsidRDefault="000338BF" w:rsidP="000338BF">
      <w:pPr>
        <w:rPr>
          <w:b/>
          <w:sz w:val="24"/>
          <w:lang w:val="en-US"/>
        </w:rPr>
      </w:pPr>
      <w:r>
        <w:rPr>
          <w:b/>
          <w:sz w:val="24"/>
          <w:lang w:val="en-US"/>
        </w:rPr>
        <w:br w:type="page"/>
      </w:r>
    </w:p>
    <w:p w14:paraId="1411CD3C" w14:textId="400F8E0E" w:rsidR="000338BF" w:rsidRDefault="000338BF" w:rsidP="000338BF">
      <w:pPr>
        <w:spacing w:after="0" w:line="360" w:lineRule="auto"/>
        <w:jc w:val="both"/>
        <w:rPr>
          <w:b/>
          <w:sz w:val="24"/>
          <w:lang w:val="en-US"/>
        </w:rPr>
      </w:pPr>
      <w:r>
        <w:rPr>
          <w:b/>
          <w:sz w:val="24"/>
          <w:lang w:val="en-US"/>
        </w:rPr>
        <w:lastRenderedPageBreak/>
        <w:t>Figure S</w:t>
      </w:r>
      <w:r w:rsidR="001E3B62">
        <w:rPr>
          <w:b/>
          <w:sz w:val="24"/>
          <w:lang w:val="en-US"/>
        </w:rPr>
        <w:t>3</w:t>
      </w:r>
      <w:r>
        <w:rPr>
          <w:b/>
          <w:sz w:val="24"/>
          <w:lang w:val="en-US"/>
        </w:rPr>
        <w:t xml:space="preserve"> Dose-response curves for different anti-HER2 mixtures</w:t>
      </w:r>
    </w:p>
    <w:p w14:paraId="1411CD3D" w14:textId="10198413" w:rsidR="000338BF" w:rsidRDefault="00043F58" w:rsidP="000338BF">
      <w:pPr>
        <w:spacing w:after="0" w:line="360" w:lineRule="auto"/>
        <w:jc w:val="both"/>
        <w:rPr>
          <w:b/>
          <w:sz w:val="24"/>
          <w:lang w:val="en-US"/>
        </w:rPr>
      </w:pPr>
      <w:r>
        <w:rPr>
          <w:b/>
          <w:noProof/>
          <w:sz w:val="24"/>
          <w:lang w:val="en-US"/>
        </w:rPr>
        <w:drawing>
          <wp:inline distT="0" distB="0" distL="0" distR="0" wp14:anchorId="3DEC8480" wp14:editId="173E6A43">
            <wp:extent cx="6120130" cy="2132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view lead selection top20.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132330"/>
                    </a:xfrm>
                    <a:prstGeom prst="rect">
                      <a:avLst/>
                    </a:prstGeom>
                  </pic:spPr>
                </pic:pic>
              </a:graphicData>
            </a:graphic>
          </wp:inline>
        </w:drawing>
      </w:r>
    </w:p>
    <w:p w14:paraId="1411CD3E" w14:textId="77777777" w:rsidR="000338BF" w:rsidRDefault="000338BF" w:rsidP="000338BF">
      <w:pPr>
        <w:rPr>
          <w:b/>
          <w:sz w:val="24"/>
          <w:lang w:val="en-US"/>
        </w:rPr>
      </w:pPr>
      <w:r>
        <w:rPr>
          <w:sz w:val="24"/>
          <w:lang w:val="en-US"/>
        </w:rPr>
        <w:t xml:space="preserve">Heat map visualization of dose-response curves for selected anti-HER2 antibody mixtures in a panel of four HER2-driven cancer cell lines. </w:t>
      </w:r>
      <w:r>
        <w:rPr>
          <w:b/>
          <w:sz w:val="24"/>
          <w:lang w:val="en-US"/>
        </w:rPr>
        <w:br w:type="page"/>
      </w:r>
    </w:p>
    <w:p w14:paraId="1411CD3F" w14:textId="63AA85D8" w:rsidR="000338BF" w:rsidRDefault="000338BF" w:rsidP="000338BF">
      <w:pPr>
        <w:spacing w:after="0" w:line="360" w:lineRule="auto"/>
        <w:jc w:val="both"/>
        <w:rPr>
          <w:b/>
          <w:sz w:val="24"/>
          <w:lang w:val="en-US"/>
        </w:rPr>
      </w:pPr>
      <w:r>
        <w:rPr>
          <w:b/>
          <w:sz w:val="24"/>
          <w:lang w:val="en-US"/>
        </w:rPr>
        <w:lastRenderedPageBreak/>
        <w:t>Figure S</w:t>
      </w:r>
      <w:r w:rsidR="001E3B62">
        <w:rPr>
          <w:b/>
          <w:sz w:val="24"/>
          <w:lang w:val="en-US"/>
        </w:rPr>
        <w:t>4</w:t>
      </w:r>
      <w:r>
        <w:rPr>
          <w:b/>
          <w:sz w:val="24"/>
          <w:lang w:val="en-US"/>
        </w:rPr>
        <w:t xml:space="preserve"> Expression and activation status of HER family in cell line panel</w:t>
      </w:r>
    </w:p>
    <w:p w14:paraId="1411CD41" w14:textId="020F1126" w:rsidR="000338BF" w:rsidRDefault="006471F7" w:rsidP="000338BF">
      <w:pPr>
        <w:spacing w:after="0" w:line="360" w:lineRule="auto"/>
        <w:jc w:val="both"/>
        <w:rPr>
          <w:b/>
          <w:sz w:val="24"/>
          <w:lang w:val="en-US"/>
        </w:rPr>
      </w:pPr>
      <w:r>
        <w:rPr>
          <w:b/>
          <w:noProof/>
          <w:sz w:val="24"/>
          <w:lang w:val="en-US"/>
        </w:rPr>
        <w:drawing>
          <wp:inline distT="0" distB="0" distL="0" distR="0" wp14:anchorId="171189E4" wp14:editId="23C0E11C">
            <wp:extent cx="4282019" cy="5360298"/>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lected-cell-lines_sho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83673" cy="5362369"/>
                    </a:xfrm>
                    <a:prstGeom prst="rect">
                      <a:avLst/>
                    </a:prstGeom>
                  </pic:spPr>
                </pic:pic>
              </a:graphicData>
            </a:graphic>
          </wp:inline>
        </w:drawing>
      </w:r>
    </w:p>
    <w:p w14:paraId="1411CD42" w14:textId="77777777" w:rsidR="000338BF" w:rsidRPr="00DB1893" w:rsidRDefault="000338BF" w:rsidP="00C14473">
      <w:pPr>
        <w:rPr>
          <w:sz w:val="24"/>
          <w:lang w:val="en-US"/>
        </w:rPr>
      </w:pPr>
      <w:r w:rsidRPr="00DB1893">
        <w:rPr>
          <w:sz w:val="24"/>
          <w:lang w:val="en-US"/>
        </w:rPr>
        <w:t>Western blot analyses of EGFR</w:t>
      </w:r>
      <w:r>
        <w:rPr>
          <w:sz w:val="24"/>
          <w:lang w:val="en-US"/>
        </w:rPr>
        <w:t>, HER2 and HER3 levels in the eight cancer cell lines used for lead selection studies</w:t>
      </w:r>
    </w:p>
    <w:p w14:paraId="1411CD43" w14:textId="77777777" w:rsidR="000338BF" w:rsidRDefault="000338BF" w:rsidP="000338BF">
      <w:pPr>
        <w:rPr>
          <w:b/>
          <w:sz w:val="24"/>
          <w:lang w:val="en-US"/>
        </w:rPr>
      </w:pPr>
      <w:r>
        <w:rPr>
          <w:b/>
          <w:sz w:val="24"/>
          <w:lang w:val="en-US"/>
        </w:rPr>
        <w:br w:type="page"/>
      </w:r>
    </w:p>
    <w:p w14:paraId="1411CD44" w14:textId="77777777" w:rsidR="000338BF" w:rsidRDefault="000338BF" w:rsidP="000338BF">
      <w:pPr>
        <w:spacing w:after="0" w:line="360" w:lineRule="auto"/>
        <w:jc w:val="both"/>
        <w:rPr>
          <w:b/>
          <w:sz w:val="24"/>
          <w:lang w:val="en-US"/>
        </w:rPr>
      </w:pPr>
    </w:p>
    <w:p w14:paraId="1411CD45" w14:textId="119305BE" w:rsidR="000338BF" w:rsidRDefault="000338BF" w:rsidP="000338BF">
      <w:pPr>
        <w:spacing w:after="0" w:line="360" w:lineRule="auto"/>
        <w:jc w:val="both"/>
        <w:rPr>
          <w:b/>
          <w:sz w:val="24"/>
          <w:lang w:val="en-US"/>
        </w:rPr>
      </w:pPr>
      <w:r>
        <w:rPr>
          <w:b/>
          <w:sz w:val="24"/>
          <w:lang w:val="en-US"/>
        </w:rPr>
        <w:t>Figure S</w:t>
      </w:r>
      <w:r w:rsidR="001E3B62">
        <w:rPr>
          <w:b/>
          <w:sz w:val="24"/>
          <w:lang w:val="en-US"/>
        </w:rPr>
        <w:t>5</w:t>
      </w:r>
      <w:r>
        <w:rPr>
          <w:b/>
          <w:sz w:val="24"/>
          <w:lang w:val="en-US"/>
        </w:rPr>
        <w:t xml:space="preserve"> ADCC and CDC</w:t>
      </w:r>
    </w:p>
    <w:p w14:paraId="255C315A" w14:textId="77777777" w:rsidR="00EB02C7" w:rsidRDefault="00EB02C7" w:rsidP="00EB02C7">
      <w:pPr>
        <w:spacing w:after="0" w:line="360" w:lineRule="auto"/>
        <w:jc w:val="both"/>
        <w:rPr>
          <w:b/>
          <w:noProof/>
          <w:sz w:val="24"/>
          <w:lang w:val="en-US"/>
        </w:rPr>
      </w:pPr>
      <w:r>
        <w:rPr>
          <w:b/>
          <w:noProof/>
          <w:sz w:val="24"/>
          <w:lang w:val="en-US"/>
        </w:rPr>
        <w:t>A)</w:t>
      </w:r>
    </w:p>
    <w:p w14:paraId="5CDE0D34" w14:textId="60AC0506" w:rsidR="00EB02C7" w:rsidRDefault="002120BA" w:rsidP="00EB02C7">
      <w:pPr>
        <w:spacing w:after="0" w:line="360" w:lineRule="auto"/>
        <w:jc w:val="both"/>
        <w:rPr>
          <w:b/>
          <w:noProof/>
          <w:sz w:val="24"/>
          <w:lang w:val="en-US"/>
        </w:rPr>
      </w:pPr>
      <w:r>
        <w:rPr>
          <w:b/>
          <w:noProof/>
          <w:sz w:val="24"/>
          <w:lang w:val="en-US"/>
        </w:rPr>
        <w:drawing>
          <wp:inline distT="0" distB="0" distL="0" distR="0" wp14:anchorId="4249AADF" wp14:editId="52FAEDCB">
            <wp:extent cx="5934075" cy="2934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dcc2.png"/>
                    <pic:cNvPicPr/>
                  </pic:nvPicPr>
                  <pic:blipFill>
                    <a:blip r:embed="rId25">
                      <a:extLst>
                        <a:ext uri="{28A0092B-C50C-407E-A947-70E740481C1C}">
                          <a14:useLocalDpi xmlns:a14="http://schemas.microsoft.com/office/drawing/2010/main" val="0"/>
                        </a:ext>
                      </a:extLst>
                    </a:blip>
                    <a:stretch>
                      <a:fillRect/>
                    </a:stretch>
                  </pic:blipFill>
                  <pic:spPr>
                    <a:xfrm>
                      <a:off x="0" y="0"/>
                      <a:ext cx="5942977" cy="2938807"/>
                    </a:xfrm>
                    <a:prstGeom prst="rect">
                      <a:avLst/>
                    </a:prstGeom>
                  </pic:spPr>
                </pic:pic>
              </a:graphicData>
            </a:graphic>
          </wp:inline>
        </w:drawing>
      </w:r>
    </w:p>
    <w:p w14:paraId="4DAD76FB" w14:textId="77777777" w:rsidR="00EB02C7" w:rsidRDefault="00EB02C7" w:rsidP="00EB02C7">
      <w:pPr>
        <w:spacing w:after="0" w:line="360" w:lineRule="auto"/>
        <w:jc w:val="both"/>
        <w:rPr>
          <w:b/>
          <w:noProof/>
          <w:sz w:val="24"/>
          <w:lang w:val="en-US"/>
        </w:rPr>
      </w:pPr>
      <w:r>
        <w:rPr>
          <w:b/>
          <w:noProof/>
          <w:sz w:val="24"/>
          <w:lang w:val="en-US"/>
        </w:rPr>
        <w:t>B)</w:t>
      </w:r>
    </w:p>
    <w:p w14:paraId="12BA5507" w14:textId="0BBB5353" w:rsidR="00EB02C7" w:rsidRDefault="00F020C2" w:rsidP="00EB02C7">
      <w:pPr>
        <w:spacing w:after="0" w:line="360" w:lineRule="auto"/>
        <w:jc w:val="center"/>
        <w:rPr>
          <w:b/>
          <w:noProof/>
          <w:sz w:val="24"/>
          <w:lang w:val="en-US"/>
        </w:rPr>
      </w:pPr>
      <w:r>
        <w:rPr>
          <w:b/>
          <w:noProof/>
          <w:sz w:val="24"/>
          <w:lang w:val="en-US"/>
        </w:rPr>
        <w:drawing>
          <wp:inline distT="0" distB="0" distL="0" distR="0" wp14:anchorId="2C785EC9" wp14:editId="2A4C8021">
            <wp:extent cx="5248275" cy="28958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CC-and-CDC-figure-panel-2.png"/>
                    <pic:cNvPicPr/>
                  </pic:nvPicPr>
                  <pic:blipFill>
                    <a:blip r:embed="rId26">
                      <a:extLst>
                        <a:ext uri="{28A0092B-C50C-407E-A947-70E740481C1C}">
                          <a14:useLocalDpi xmlns:a14="http://schemas.microsoft.com/office/drawing/2010/main" val="0"/>
                        </a:ext>
                      </a:extLst>
                    </a:blip>
                    <a:stretch>
                      <a:fillRect/>
                    </a:stretch>
                  </pic:blipFill>
                  <pic:spPr>
                    <a:xfrm>
                      <a:off x="0" y="0"/>
                      <a:ext cx="5261146" cy="2902965"/>
                    </a:xfrm>
                    <a:prstGeom prst="rect">
                      <a:avLst/>
                    </a:prstGeom>
                  </pic:spPr>
                </pic:pic>
              </a:graphicData>
            </a:graphic>
          </wp:inline>
        </w:drawing>
      </w:r>
    </w:p>
    <w:p w14:paraId="1411CD4E" w14:textId="003F6937" w:rsidR="000338BF" w:rsidRDefault="00EB02C7" w:rsidP="000338BF">
      <w:pPr>
        <w:rPr>
          <w:b/>
          <w:sz w:val="24"/>
          <w:lang w:val="en-US"/>
        </w:rPr>
      </w:pPr>
      <w:r w:rsidRPr="00C14473">
        <w:rPr>
          <w:sz w:val="24"/>
          <w:lang w:val="en-US"/>
        </w:rPr>
        <w:t>ADCC and CDC of anti-HER2 antibody mixtures against HER2 expressing tumor cell lines in the presence of human PBMCs (ADCC) or serum (CDC). Maximum lysis was measured as the amount of sodium chromate (51Cr) released into the medium by labeled SKBR-3 (white bars) or NCI-N87 (black bars) in the presence of 1 µg/ml (ADCC) or 20 µg/ml (CDC) antibody. Data were normalized to the minimum and maximum signal provided by PBMCs/serum alone and Triton X-100, respectively. Error bars represent SEM.</w:t>
      </w:r>
      <w:r w:rsidR="000338BF">
        <w:rPr>
          <w:b/>
          <w:sz w:val="24"/>
          <w:lang w:val="en-US"/>
        </w:rPr>
        <w:br w:type="page"/>
      </w:r>
    </w:p>
    <w:p w14:paraId="6BBDF617" w14:textId="2B0A98AF" w:rsidR="005D51F1" w:rsidRDefault="005D51F1" w:rsidP="005D51F1">
      <w:pPr>
        <w:spacing w:after="0" w:line="360" w:lineRule="auto"/>
        <w:jc w:val="both"/>
        <w:rPr>
          <w:b/>
          <w:sz w:val="24"/>
          <w:lang w:val="en-US"/>
        </w:rPr>
      </w:pPr>
      <w:r>
        <w:rPr>
          <w:b/>
          <w:sz w:val="24"/>
          <w:lang w:val="en-US"/>
        </w:rPr>
        <w:lastRenderedPageBreak/>
        <w:t>Figure S</w:t>
      </w:r>
      <w:r w:rsidR="00861B2D">
        <w:rPr>
          <w:b/>
          <w:sz w:val="24"/>
          <w:lang w:val="en-US"/>
        </w:rPr>
        <w:t>6</w:t>
      </w:r>
      <w:r>
        <w:rPr>
          <w:b/>
          <w:sz w:val="24"/>
          <w:lang w:val="en-US"/>
        </w:rPr>
        <w:t xml:space="preserve"> </w:t>
      </w:r>
      <w:r w:rsidR="00F4559F">
        <w:rPr>
          <w:b/>
          <w:sz w:val="24"/>
          <w:lang w:val="en-US"/>
        </w:rPr>
        <w:t xml:space="preserve">Validation of </w:t>
      </w:r>
      <w:r w:rsidR="001E3B62">
        <w:rPr>
          <w:b/>
          <w:sz w:val="24"/>
          <w:lang w:val="en-US"/>
        </w:rPr>
        <w:t xml:space="preserve">mAb </w:t>
      </w:r>
      <w:r>
        <w:rPr>
          <w:b/>
          <w:sz w:val="24"/>
          <w:lang w:val="en-US"/>
        </w:rPr>
        <w:t>Synergy using Nonlinear Blending Method</w:t>
      </w:r>
    </w:p>
    <w:p w14:paraId="3F755A56" w14:textId="664D40BB" w:rsidR="00F4559F" w:rsidRPr="000E2DEF" w:rsidRDefault="00F4559F" w:rsidP="00F4559F">
      <w:pPr>
        <w:spacing w:after="0" w:line="360" w:lineRule="auto"/>
        <w:jc w:val="both"/>
        <w:rPr>
          <w:lang w:val="en-US"/>
        </w:rPr>
      </w:pPr>
      <w:r>
        <w:rPr>
          <w:b/>
          <w:sz w:val="24"/>
          <w:lang w:val="en-US"/>
        </w:rPr>
        <w:object w:dxaOrig="11452" w:dyaOrig="12643" w14:anchorId="23F27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532.4pt" o:ole="" filled="t">
            <v:imagedata r:id="rId27" o:title=""/>
          </v:shape>
          <o:OLEObject Type="Embed" ProgID="Prism5.Document" ShapeID="_x0000_i1025" DrawAspect="Content" ObjectID="_1481822869" r:id="rId28"/>
        </w:object>
      </w:r>
      <w:r w:rsidRPr="00F4559F">
        <w:rPr>
          <w:lang w:val="en-US"/>
        </w:rPr>
        <w:t xml:space="preserve"> </w:t>
      </w:r>
    </w:p>
    <w:p w14:paraId="143ECB97" w14:textId="501A29C0" w:rsidR="00FD0FC9" w:rsidRDefault="00C72294" w:rsidP="00C14473">
      <w:pPr>
        <w:rPr>
          <w:sz w:val="24"/>
          <w:lang w:val="en-US"/>
        </w:rPr>
      </w:pPr>
      <w:r>
        <w:rPr>
          <w:sz w:val="24"/>
          <w:lang w:val="en-US"/>
        </w:rPr>
        <w:t xml:space="preserve">The figure </w:t>
      </w:r>
      <w:r w:rsidRPr="00C72294">
        <w:rPr>
          <w:sz w:val="24"/>
          <w:lang w:val="en-US"/>
        </w:rPr>
        <w:t>show</w:t>
      </w:r>
      <w:r>
        <w:rPr>
          <w:sz w:val="24"/>
          <w:lang w:val="en-US"/>
        </w:rPr>
        <w:t>s</w:t>
      </w:r>
      <w:r w:rsidRPr="00C72294">
        <w:rPr>
          <w:sz w:val="24"/>
          <w:lang w:val="en-US"/>
        </w:rPr>
        <w:t xml:space="preserve"> blending synergy for the total dose amount</w:t>
      </w:r>
      <w:r>
        <w:rPr>
          <w:sz w:val="24"/>
          <w:lang w:val="en-US"/>
        </w:rPr>
        <w:t xml:space="preserve"> of 25 µg/ml</w:t>
      </w:r>
      <w:r w:rsidRPr="00C72294">
        <w:rPr>
          <w:sz w:val="24"/>
          <w:lang w:val="en-US"/>
        </w:rPr>
        <w:t xml:space="preserve"> </w:t>
      </w:r>
      <w:r w:rsidR="00FD0FC9">
        <w:rPr>
          <w:sz w:val="24"/>
          <w:lang w:val="en-US"/>
        </w:rPr>
        <w:t xml:space="preserve">of the three two mAb mixtures 4382+4387, 4382+4517 and 4387+4517 </w:t>
      </w:r>
      <w:r w:rsidRPr="00C72294">
        <w:rPr>
          <w:sz w:val="24"/>
          <w:lang w:val="en-US"/>
        </w:rPr>
        <w:t>as</w:t>
      </w:r>
      <w:r>
        <w:rPr>
          <w:sz w:val="24"/>
          <w:lang w:val="en-US"/>
        </w:rPr>
        <w:t xml:space="preserve"> </w:t>
      </w:r>
      <w:r w:rsidRPr="00C72294">
        <w:rPr>
          <w:sz w:val="24"/>
          <w:lang w:val="en-US"/>
        </w:rPr>
        <w:t xml:space="preserve">the proportion of </w:t>
      </w:r>
      <w:r>
        <w:rPr>
          <w:sz w:val="24"/>
          <w:lang w:val="en-US"/>
        </w:rPr>
        <w:t>mAbs</w:t>
      </w:r>
      <w:r w:rsidRPr="00C72294">
        <w:rPr>
          <w:sz w:val="24"/>
          <w:lang w:val="en-US"/>
        </w:rPr>
        <w:t xml:space="preserve"> is changed from 0 </w:t>
      </w:r>
      <w:r>
        <w:rPr>
          <w:sz w:val="24"/>
          <w:lang w:val="en-US"/>
        </w:rPr>
        <w:t xml:space="preserve">to </w:t>
      </w:r>
      <w:r w:rsidRPr="00C72294">
        <w:rPr>
          <w:sz w:val="24"/>
          <w:lang w:val="en-US"/>
        </w:rPr>
        <w:t xml:space="preserve">1. </w:t>
      </w:r>
      <w:r w:rsidR="00FD0FC9">
        <w:rPr>
          <w:sz w:val="24"/>
          <w:lang w:val="en-US"/>
        </w:rPr>
        <w:t>Blending synergy (grey area) was demonstrated for each of the possible two mixtures 4382+4387, 4382+4517 and 4387+4517. 4382 and 4387 had the strongest blending synergy. Strong blending synergy was also confirmed when adding a third antibody to each of the possible two-mixtures.</w:t>
      </w:r>
    </w:p>
    <w:p w14:paraId="3CE967E1" w14:textId="5CB8A64B" w:rsidR="005D51F1" w:rsidRPr="00F4559F" w:rsidRDefault="00FD0FC9" w:rsidP="00C14473">
      <w:pPr>
        <w:rPr>
          <w:sz w:val="24"/>
          <w:lang w:val="en-US"/>
        </w:rPr>
      </w:pPr>
      <w:r>
        <w:rPr>
          <w:sz w:val="24"/>
          <w:lang w:val="en-US"/>
        </w:rPr>
        <w:lastRenderedPageBreak/>
        <w:t>B</w:t>
      </w:r>
      <w:r w:rsidR="00F4559F">
        <w:rPr>
          <w:sz w:val="24"/>
          <w:lang w:val="en-US"/>
        </w:rPr>
        <w:t xml:space="preserve">lending </w:t>
      </w:r>
      <w:r>
        <w:rPr>
          <w:sz w:val="24"/>
          <w:lang w:val="en-US"/>
        </w:rPr>
        <w:t xml:space="preserve">synergy </w:t>
      </w:r>
      <w:r w:rsidR="00F4559F">
        <w:rPr>
          <w:sz w:val="24"/>
          <w:lang w:val="en-US"/>
        </w:rPr>
        <w:t>was not observed for the trastuzumab+pertuzumab combination in this cell line and trastuzumab was superior to the combination</w:t>
      </w:r>
      <w:r>
        <w:rPr>
          <w:sz w:val="24"/>
          <w:lang w:val="en-US"/>
        </w:rPr>
        <w:t xml:space="preserve"> indicating antagonism of the two antibodies in this cell line</w:t>
      </w:r>
      <w:r w:rsidR="00F4559F">
        <w:rPr>
          <w:sz w:val="24"/>
          <w:lang w:val="en-US"/>
        </w:rPr>
        <w:t>.</w:t>
      </w:r>
    </w:p>
    <w:p w14:paraId="6142F1C9" w14:textId="77777777" w:rsidR="005D51F1" w:rsidRDefault="005D51F1" w:rsidP="005D51F1">
      <w:pPr>
        <w:spacing w:after="0" w:line="360" w:lineRule="auto"/>
        <w:jc w:val="both"/>
        <w:rPr>
          <w:lang w:val="en-US"/>
        </w:rPr>
      </w:pPr>
    </w:p>
    <w:p w14:paraId="24FBF1AE" w14:textId="64BC1378" w:rsidR="00861B2D" w:rsidRDefault="00861B2D" w:rsidP="00861B2D">
      <w:pPr>
        <w:spacing w:after="0" w:line="360" w:lineRule="auto"/>
        <w:jc w:val="both"/>
        <w:rPr>
          <w:b/>
          <w:sz w:val="24"/>
          <w:lang w:val="en-US"/>
        </w:rPr>
      </w:pPr>
      <w:r>
        <w:rPr>
          <w:b/>
          <w:sz w:val="24"/>
          <w:lang w:val="en-US"/>
        </w:rPr>
        <w:t>Figure S7 Western blot quantification</w:t>
      </w:r>
    </w:p>
    <w:p w14:paraId="707370D5" w14:textId="2F26AC82" w:rsidR="00861B2D" w:rsidRDefault="001503C5" w:rsidP="00861B2D">
      <w:pPr>
        <w:spacing w:after="0" w:line="360" w:lineRule="auto"/>
        <w:jc w:val="both"/>
        <w:rPr>
          <w:b/>
          <w:sz w:val="24"/>
          <w:lang w:val="en-US"/>
        </w:rPr>
      </w:pPr>
      <w:r w:rsidRPr="001503C5">
        <w:rPr>
          <w:noProof/>
          <w:lang w:val="en-US"/>
        </w:rPr>
        <w:drawing>
          <wp:inline distT="0" distB="0" distL="0" distR="0" wp14:anchorId="76C2256D" wp14:editId="322C965F">
            <wp:extent cx="6120130" cy="4615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615401"/>
                    </a:xfrm>
                    <a:prstGeom prst="rect">
                      <a:avLst/>
                    </a:prstGeom>
                    <a:noFill/>
                    <a:ln>
                      <a:noFill/>
                    </a:ln>
                  </pic:spPr>
                </pic:pic>
              </a:graphicData>
            </a:graphic>
          </wp:inline>
        </w:drawing>
      </w:r>
    </w:p>
    <w:p w14:paraId="3679199B" w14:textId="77777777" w:rsidR="00861B2D" w:rsidRDefault="00861B2D" w:rsidP="00861B2D">
      <w:pPr>
        <w:spacing w:after="0" w:line="360" w:lineRule="auto"/>
        <w:jc w:val="both"/>
        <w:rPr>
          <w:lang w:val="en-US"/>
        </w:rPr>
      </w:pPr>
    </w:p>
    <w:p w14:paraId="5ED81CC8" w14:textId="77777777" w:rsidR="00861B2D" w:rsidRPr="00C14473" w:rsidRDefault="00861B2D" w:rsidP="00861B2D">
      <w:pPr>
        <w:rPr>
          <w:sz w:val="24"/>
          <w:lang w:val="en-US"/>
        </w:rPr>
      </w:pPr>
      <w:r w:rsidRPr="00C14473">
        <w:rPr>
          <w:sz w:val="24"/>
          <w:lang w:val="en-US"/>
        </w:rPr>
        <w:t xml:space="preserve">Quantification of western blots from Figure 2D. HER2 levels were quantified using simple western as described in method section above. pHER2 (Y1248) levels were estimated from traditional western blots using Odyssey software package. </w:t>
      </w:r>
    </w:p>
    <w:p w14:paraId="1411CD53" w14:textId="77777777" w:rsidR="000338BF" w:rsidRDefault="000338BF" w:rsidP="000338BF">
      <w:pPr>
        <w:spacing w:after="0" w:line="360" w:lineRule="auto"/>
        <w:jc w:val="both"/>
        <w:rPr>
          <w:b/>
          <w:sz w:val="24"/>
          <w:lang w:val="en-US"/>
        </w:rPr>
      </w:pPr>
    </w:p>
    <w:p w14:paraId="1411CD54" w14:textId="6A4D960C" w:rsidR="005809C8" w:rsidRDefault="005809C8">
      <w:pPr>
        <w:spacing w:after="160" w:line="259" w:lineRule="auto"/>
        <w:rPr>
          <w:b/>
          <w:sz w:val="24"/>
          <w:lang w:val="en-US"/>
        </w:rPr>
      </w:pPr>
      <w:r>
        <w:rPr>
          <w:b/>
          <w:sz w:val="24"/>
          <w:lang w:val="en-US"/>
        </w:rPr>
        <w:br w:type="page"/>
      </w:r>
    </w:p>
    <w:p w14:paraId="3D824ADD" w14:textId="1EE72EA8" w:rsidR="000338BF" w:rsidRDefault="005809C8" w:rsidP="000338BF">
      <w:pPr>
        <w:spacing w:after="0" w:line="360" w:lineRule="auto"/>
        <w:jc w:val="both"/>
        <w:rPr>
          <w:b/>
          <w:sz w:val="24"/>
          <w:lang w:val="en-US"/>
        </w:rPr>
      </w:pPr>
      <w:r>
        <w:rPr>
          <w:b/>
          <w:sz w:val="24"/>
          <w:lang w:val="en-US"/>
        </w:rPr>
        <w:lastRenderedPageBreak/>
        <w:t>Figure S8 Tripartite mixtures of trastuzumab and pertuzumab</w:t>
      </w:r>
    </w:p>
    <w:p w14:paraId="1411CD55" w14:textId="7DCA32F4" w:rsidR="000338BF" w:rsidRDefault="005809C8" w:rsidP="00C14473">
      <w:pPr>
        <w:rPr>
          <w:b/>
          <w:sz w:val="24"/>
          <w:lang w:val="en-US"/>
        </w:rPr>
      </w:pPr>
      <w:r w:rsidRPr="00C14473">
        <w:rPr>
          <w:noProof/>
          <w:sz w:val="24"/>
          <w:lang w:val="en-US"/>
        </w:rPr>
        <w:drawing>
          <wp:inline distT="0" distB="0" distL="0" distR="0" wp14:anchorId="5111AEB4" wp14:editId="2E68172B">
            <wp:extent cx="4862195" cy="6411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2195" cy="6411595"/>
                    </a:xfrm>
                    <a:prstGeom prst="rect">
                      <a:avLst/>
                    </a:prstGeom>
                    <a:noFill/>
                    <a:ln>
                      <a:noFill/>
                    </a:ln>
                  </pic:spPr>
                </pic:pic>
              </a:graphicData>
            </a:graphic>
          </wp:inline>
        </w:drawing>
      </w:r>
    </w:p>
    <w:p w14:paraId="1411CD56" w14:textId="5CE898E8" w:rsidR="000338BF" w:rsidRDefault="00C14473" w:rsidP="00C14473">
      <w:pPr>
        <w:rPr>
          <w:b/>
          <w:sz w:val="24"/>
          <w:lang w:val="en-US"/>
        </w:rPr>
      </w:pPr>
      <w:r w:rsidRPr="00791A0D">
        <w:rPr>
          <w:sz w:val="24"/>
          <w:lang w:val="en-US"/>
        </w:rPr>
        <w:t xml:space="preserve">Dose response curves for various mAb mixtures </w:t>
      </w:r>
      <w:r w:rsidR="00791A0D" w:rsidRPr="00791A0D">
        <w:rPr>
          <w:sz w:val="24"/>
          <w:lang w:val="en-US"/>
        </w:rPr>
        <w:t>as indicated in the figure.</w:t>
      </w:r>
      <w:r w:rsidR="000338BF">
        <w:rPr>
          <w:b/>
          <w:sz w:val="24"/>
          <w:lang w:val="en-US"/>
        </w:rPr>
        <w:br w:type="page"/>
      </w:r>
    </w:p>
    <w:p w14:paraId="1411CD57" w14:textId="77777777" w:rsidR="000338BF" w:rsidRDefault="000338BF" w:rsidP="000338BF">
      <w:pPr>
        <w:tabs>
          <w:tab w:val="left" w:pos="0"/>
        </w:tabs>
        <w:spacing w:after="0" w:line="480" w:lineRule="auto"/>
        <w:ind w:left="720" w:hanging="720"/>
        <w:rPr>
          <w:b/>
          <w:sz w:val="24"/>
          <w:lang w:val="en-US"/>
        </w:rPr>
      </w:pPr>
    </w:p>
    <w:p w14:paraId="1DAA23AF" w14:textId="491E9A6E" w:rsidR="00791A0D" w:rsidRPr="00791A0D" w:rsidRDefault="00DA78F1" w:rsidP="00791A0D">
      <w:pPr>
        <w:rPr>
          <w:b/>
          <w:sz w:val="24"/>
          <w:lang w:val="en-US"/>
        </w:rPr>
      </w:pPr>
      <w:r w:rsidRPr="00791A0D">
        <w:rPr>
          <w:b/>
          <w:sz w:val="24"/>
          <w:lang w:val="en-US"/>
        </w:rPr>
        <w:fldChar w:fldCharType="begin"/>
      </w:r>
      <w:r w:rsidR="000338BF" w:rsidRPr="00791A0D">
        <w:rPr>
          <w:b/>
          <w:sz w:val="24"/>
          <w:lang w:val="en-US"/>
        </w:rPr>
        <w:instrText xml:space="preserve"> ADDIN REFMGR.REFLIST </w:instrText>
      </w:r>
      <w:r w:rsidRPr="00791A0D">
        <w:rPr>
          <w:b/>
          <w:sz w:val="24"/>
          <w:lang w:val="en-US"/>
        </w:rPr>
        <w:fldChar w:fldCharType="end"/>
      </w:r>
      <w:r w:rsidR="00791A0D" w:rsidRPr="00791A0D">
        <w:rPr>
          <w:b/>
          <w:sz w:val="24"/>
          <w:lang w:val="en-US"/>
        </w:rPr>
        <w:t>Reference list</w:t>
      </w:r>
    </w:p>
    <w:p w14:paraId="1411CD5D" w14:textId="2F865422" w:rsidR="000338BF" w:rsidRPr="00791A0D" w:rsidRDefault="00791A0D" w:rsidP="00791A0D">
      <w:pPr>
        <w:pStyle w:val="ListParagraph"/>
        <w:numPr>
          <w:ilvl w:val="0"/>
          <w:numId w:val="3"/>
        </w:numPr>
        <w:rPr>
          <w:sz w:val="24"/>
          <w:lang w:val="en-US"/>
        </w:rPr>
      </w:pPr>
      <w:r w:rsidRPr="00791A0D">
        <w:rPr>
          <w:sz w:val="24"/>
          <w:lang w:val="en-US"/>
        </w:rPr>
        <w:t>Peterson JJ. and Novick SJ.Nonlinear blending: a useful general concept for the assessment of combination drug synergy.Drug Synergy Journal of Receptors and Signal Transduction, 27:125-146.</w:t>
      </w:r>
    </w:p>
    <w:p w14:paraId="1411CD5E" w14:textId="77777777" w:rsidR="0066000E" w:rsidRDefault="0066000E"/>
    <w:sectPr w:rsidR="0066000E" w:rsidSect="00EA56BC">
      <w:footerReference w:type="default" r:id="rId3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784D1" w14:textId="77777777" w:rsidR="001A2EF0" w:rsidRDefault="001A2EF0">
      <w:pPr>
        <w:spacing w:after="0" w:line="240" w:lineRule="auto"/>
      </w:pPr>
      <w:r>
        <w:separator/>
      </w:r>
    </w:p>
  </w:endnote>
  <w:endnote w:type="continuationSeparator" w:id="0">
    <w:p w14:paraId="743471B1" w14:textId="77777777" w:rsidR="001A2EF0" w:rsidRDefault="001A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027938"/>
      <w:docPartObj>
        <w:docPartGallery w:val="Page Numbers (Bottom of Page)"/>
        <w:docPartUnique/>
      </w:docPartObj>
    </w:sdtPr>
    <w:sdtEndPr>
      <w:rPr>
        <w:noProof/>
      </w:rPr>
    </w:sdtEndPr>
    <w:sdtContent>
      <w:p w14:paraId="1411CD81" w14:textId="77777777" w:rsidR="00EA56BC" w:rsidRDefault="00DB4873">
        <w:pPr>
          <w:pStyle w:val="Footer"/>
          <w:jc w:val="right"/>
        </w:pPr>
        <w:r>
          <w:fldChar w:fldCharType="begin"/>
        </w:r>
        <w:r>
          <w:instrText xml:space="preserve"> PAGE   \* MERGEFORMAT </w:instrText>
        </w:r>
        <w:r>
          <w:fldChar w:fldCharType="separate"/>
        </w:r>
        <w:r w:rsidR="00714423">
          <w:rPr>
            <w:noProof/>
          </w:rPr>
          <w:t>7</w:t>
        </w:r>
        <w:r>
          <w:rPr>
            <w:noProof/>
          </w:rPr>
          <w:fldChar w:fldCharType="end"/>
        </w:r>
      </w:p>
    </w:sdtContent>
  </w:sdt>
  <w:p w14:paraId="1411CD82" w14:textId="77777777" w:rsidR="00EA56BC" w:rsidRDefault="00EA5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273C7" w14:textId="77777777" w:rsidR="001A2EF0" w:rsidRDefault="001A2EF0">
      <w:pPr>
        <w:spacing w:after="0" w:line="240" w:lineRule="auto"/>
      </w:pPr>
      <w:r>
        <w:separator/>
      </w:r>
    </w:p>
  </w:footnote>
  <w:footnote w:type="continuationSeparator" w:id="0">
    <w:p w14:paraId="2F27E0BB" w14:textId="77777777" w:rsidR="001A2EF0" w:rsidRDefault="001A2E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F72C3"/>
    <w:multiLevelType w:val="hybridMultilevel"/>
    <w:tmpl w:val="2A58F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FF1FB6"/>
    <w:multiLevelType w:val="hybridMultilevel"/>
    <w:tmpl w:val="73064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55429E"/>
    <w:multiLevelType w:val="hybridMultilevel"/>
    <w:tmpl w:val="45181508"/>
    <w:lvl w:ilvl="0" w:tplc="8976EFE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8BF"/>
    <w:rsid w:val="000338BF"/>
    <w:rsid w:val="00043F58"/>
    <w:rsid w:val="00050A9E"/>
    <w:rsid w:val="00097E62"/>
    <w:rsid w:val="001503C5"/>
    <w:rsid w:val="00171437"/>
    <w:rsid w:val="001A2EF0"/>
    <w:rsid w:val="001E3B62"/>
    <w:rsid w:val="002120BA"/>
    <w:rsid w:val="002676E2"/>
    <w:rsid w:val="0027740B"/>
    <w:rsid w:val="003955D2"/>
    <w:rsid w:val="00566FD9"/>
    <w:rsid w:val="005809C8"/>
    <w:rsid w:val="005D51F1"/>
    <w:rsid w:val="00601098"/>
    <w:rsid w:val="006471F7"/>
    <w:rsid w:val="0066000E"/>
    <w:rsid w:val="00714423"/>
    <w:rsid w:val="007326A0"/>
    <w:rsid w:val="00791A0D"/>
    <w:rsid w:val="007C2EE2"/>
    <w:rsid w:val="0080113F"/>
    <w:rsid w:val="0084619F"/>
    <w:rsid w:val="00861B2D"/>
    <w:rsid w:val="009968F7"/>
    <w:rsid w:val="00AC27A5"/>
    <w:rsid w:val="00C14473"/>
    <w:rsid w:val="00C72294"/>
    <w:rsid w:val="00CE638F"/>
    <w:rsid w:val="00DA78F1"/>
    <w:rsid w:val="00DB4873"/>
    <w:rsid w:val="00E60F91"/>
    <w:rsid w:val="00EA56BC"/>
    <w:rsid w:val="00EB02C7"/>
    <w:rsid w:val="00EF7EC2"/>
    <w:rsid w:val="00F020C2"/>
    <w:rsid w:val="00F144E6"/>
    <w:rsid w:val="00F4559F"/>
    <w:rsid w:val="00F62A44"/>
    <w:rsid w:val="00FB64C0"/>
    <w:rsid w:val="00FC1A78"/>
    <w:rsid w:val="00FD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1CD16"/>
  <w15:docId w15:val="{0D459525-3AED-4C2E-94D9-E33CD332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8BF"/>
    <w:pPr>
      <w:spacing w:after="200" w:line="276" w:lineRule="auto"/>
    </w:pPr>
    <w:rPr>
      <w:rFonts w:ascii="Calibri" w:hAnsi="Calibri" w:cs="Times New Roman"/>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8BF"/>
    <w:pPr>
      <w:ind w:left="720"/>
      <w:contextualSpacing/>
    </w:pPr>
  </w:style>
  <w:style w:type="paragraph" w:styleId="Footer">
    <w:name w:val="footer"/>
    <w:basedOn w:val="Normal"/>
    <w:link w:val="FooterChar"/>
    <w:uiPriority w:val="99"/>
    <w:unhideWhenUsed/>
    <w:rsid w:val="000338BF"/>
    <w:pPr>
      <w:tabs>
        <w:tab w:val="center" w:pos="4986"/>
        <w:tab w:val="right" w:pos="9972"/>
      </w:tabs>
      <w:spacing w:after="0" w:line="240" w:lineRule="auto"/>
    </w:pPr>
  </w:style>
  <w:style w:type="character" w:customStyle="1" w:styleId="FooterChar">
    <w:name w:val="Footer Char"/>
    <w:basedOn w:val="DefaultParagraphFont"/>
    <w:link w:val="Footer"/>
    <w:uiPriority w:val="99"/>
    <w:rsid w:val="000338BF"/>
    <w:rPr>
      <w:rFonts w:ascii="Calibri" w:hAnsi="Calibri" w:cs="Times New Roman"/>
      <w:lang w:val="da-DK"/>
    </w:rPr>
  </w:style>
  <w:style w:type="paragraph" w:styleId="BalloonText">
    <w:name w:val="Balloon Text"/>
    <w:basedOn w:val="Normal"/>
    <w:link w:val="BalloonTextChar"/>
    <w:uiPriority w:val="99"/>
    <w:semiHidden/>
    <w:unhideWhenUsed/>
    <w:rsid w:val="00EA5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6BC"/>
    <w:rPr>
      <w:rFonts w:ascii="Tahoma" w:hAnsi="Tahoma" w:cs="Tahoma"/>
      <w:sz w:val="16"/>
      <w:szCs w:val="16"/>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70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1.bin"/><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48998A8AE8964E90A492F436A5A1B8" ma:contentTypeVersion="0" ma:contentTypeDescription="Create a new document." ma:contentTypeScope="" ma:versionID="8cbb99f5fa14226aabfe7900e6863142">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B56FC0-51AC-42F1-88E2-69A2A8F4A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573446B-C033-47B7-9626-9250BBFB0BE9}">
  <ds:schemaRefs>
    <ds:schemaRef ds:uri="http://schemas.microsoft.com/sharepoint/v3/contenttype/forms"/>
  </ds:schemaRefs>
</ds:datastoreItem>
</file>

<file path=customXml/itemProps3.xml><?xml version="1.0" encoding="utf-8"?>
<ds:datastoreItem xmlns:ds="http://schemas.openxmlformats.org/officeDocument/2006/customXml" ds:itemID="{B67A3CC7-35D8-4876-BFD2-46D1E6669B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 W. Pedersen</dc:creator>
  <cp:keywords/>
  <dc:description/>
  <cp:lastModifiedBy>Mikkel W. Pedersen</cp:lastModifiedBy>
  <cp:revision>2</cp:revision>
  <cp:lastPrinted>2014-12-22T23:23:00Z</cp:lastPrinted>
  <dcterms:created xsi:type="dcterms:W3CDTF">2015-01-03T19:41:00Z</dcterms:created>
  <dcterms:modified xsi:type="dcterms:W3CDTF">2015-01-03T19:41:00Z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0x0101001148998A8AE8964E90A492F436A5A1B8</vt:lpwstr>
  </property>
</Properties>
</file>