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CB" w:rsidRDefault="004D74EF" w:rsidP="005F6331">
      <w:pPr>
        <w:rPr>
          <w:b/>
          <w:i/>
          <w:sz w:val="28"/>
        </w:rPr>
      </w:pPr>
      <w:proofErr w:type="gramStart"/>
      <w:r w:rsidRPr="00051014">
        <w:rPr>
          <w:b/>
          <w:sz w:val="28"/>
        </w:rPr>
        <w:t>Supplementary tables</w:t>
      </w:r>
      <w:r w:rsidR="00A3553C">
        <w:rPr>
          <w:b/>
          <w:sz w:val="28"/>
        </w:rPr>
        <w:t xml:space="preserve">- Guichard </w:t>
      </w:r>
      <w:r w:rsidR="00A3553C" w:rsidRPr="00A3553C">
        <w:rPr>
          <w:b/>
          <w:i/>
          <w:sz w:val="28"/>
        </w:rPr>
        <w:t>et al</w:t>
      </w:r>
      <w:r w:rsidR="00A3553C">
        <w:rPr>
          <w:b/>
          <w:i/>
          <w:sz w:val="28"/>
        </w:rPr>
        <w:t>.</w:t>
      </w:r>
      <w:proofErr w:type="gramEnd"/>
    </w:p>
    <w:p w:rsidR="00A3553C" w:rsidRDefault="00A3553C" w:rsidP="005F6331">
      <w:pPr>
        <w:rPr>
          <w:b/>
          <w:sz w:val="28"/>
        </w:rPr>
      </w:pPr>
    </w:p>
    <w:p w:rsidR="00C90ECB" w:rsidRPr="009204F4" w:rsidRDefault="00C90ECB" w:rsidP="00C90ECB">
      <w:r w:rsidRPr="009204F4">
        <w:rPr>
          <w:b/>
          <w:bCs/>
        </w:rPr>
        <w:t>Suppl</w:t>
      </w:r>
      <w:r>
        <w:rPr>
          <w:b/>
          <w:bCs/>
        </w:rPr>
        <w:t xml:space="preserve">ementary </w:t>
      </w:r>
      <w:r w:rsidR="000824B3">
        <w:rPr>
          <w:b/>
          <w:bCs/>
        </w:rPr>
        <w:t>t</w:t>
      </w:r>
      <w:r>
        <w:rPr>
          <w:b/>
          <w:bCs/>
        </w:rPr>
        <w:t>able 1</w:t>
      </w:r>
      <w:r w:rsidRPr="009204F4">
        <w:rPr>
          <w:b/>
          <w:bCs/>
        </w:rPr>
        <w:t xml:space="preserve">: Biochemical </w:t>
      </w:r>
      <w:r>
        <w:rPr>
          <w:b/>
          <w:bCs/>
        </w:rPr>
        <w:t xml:space="preserve">and cellular </w:t>
      </w:r>
      <w:r w:rsidRPr="009204F4">
        <w:rPr>
          <w:b/>
          <w:bCs/>
        </w:rPr>
        <w:t>activity of AZD2014</w:t>
      </w:r>
      <w:r w:rsidRPr="009204F4">
        <w:t xml:space="preserve">. </w:t>
      </w:r>
    </w:p>
    <w:p w:rsidR="00C90ECB" w:rsidRDefault="00C90ECB" w:rsidP="00C90ECB">
      <w:pPr>
        <w:jc w:val="both"/>
      </w:pPr>
      <w:r w:rsidRPr="009204F4">
        <w:t>AZD2014</w:t>
      </w:r>
      <w:r w:rsidRPr="009204F4">
        <w:rPr>
          <w:lang w:val="en-US"/>
        </w:rPr>
        <w:t xml:space="preserve"> </w:t>
      </w:r>
      <w:r>
        <w:t xml:space="preserve">was tested against </w:t>
      </w:r>
      <w:r w:rsidRPr="009204F4">
        <w:t xml:space="preserve">isolated </w:t>
      </w:r>
      <w:r>
        <w:t xml:space="preserve">enzymes in biochemical assays or in MDAMB468 cells, using </w:t>
      </w:r>
      <w:r w:rsidRPr="00291196">
        <w:t xml:space="preserve">an Acumen laser scanning </w:t>
      </w:r>
      <w:proofErr w:type="spellStart"/>
      <w:r w:rsidRPr="00291196">
        <w:t>cytometer</w:t>
      </w:r>
      <w:proofErr w:type="spellEnd"/>
      <w:r w:rsidRPr="00291196">
        <w:t xml:space="preserve"> (</w:t>
      </w:r>
      <w:proofErr w:type="spellStart"/>
      <w:r w:rsidRPr="00291196">
        <w:t>TTP</w:t>
      </w:r>
      <w:proofErr w:type="spellEnd"/>
      <w:r w:rsidRPr="00291196">
        <w:t xml:space="preserve"> </w:t>
      </w:r>
      <w:proofErr w:type="spellStart"/>
      <w:r w:rsidRPr="00291196">
        <w:t>Labtech</w:t>
      </w:r>
      <w:proofErr w:type="spellEnd"/>
      <w:r w:rsidRPr="00291196">
        <w:t>, UK)</w:t>
      </w:r>
      <w:r>
        <w:t xml:space="preserve"> to analyse the levels of </w:t>
      </w:r>
      <w:proofErr w:type="spellStart"/>
      <w:r>
        <w:t>phosphorylation</w:t>
      </w:r>
      <w:proofErr w:type="spellEnd"/>
      <w:r>
        <w:t xml:space="preserve"> of </w:t>
      </w:r>
      <w:r w:rsidRPr="00291196">
        <w:t xml:space="preserve">S6 </w:t>
      </w:r>
      <w:r>
        <w:t>(</w:t>
      </w:r>
      <w:r w:rsidRPr="00291196">
        <w:t>Ser235/236</w:t>
      </w:r>
      <w:r>
        <w:t>)</w:t>
      </w:r>
      <w:r w:rsidRPr="00291196">
        <w:t xml:space="preserve"> and </w:t>
      </w:r>
      <w:proofErr w:type="spellStart"/>
      <w:r w:rsidRPr="00291196">
        <w:t>AKT</w:t>
      </w:r>
      <w:proofErr w:type="spellEnd"/>
      <w:r w:rsidRPr="00291196">
        <w:t xml:space="preserve"> </w:t>
      </w:r>
      <w:r>
        <w:t>(</w:t>
      </w:r>
      <w:r w:rsidRPr="00291196">
        <w:t>Ser473</w:t>
      </w:r>
      <w:r>
        <w:t>).</w:t>
      </w:r>
    </w:p>
    <w:p w:rsidR="00C90ECB" w:rsidRPr="00C90ECB" w:rsidRDefault="00C90ECB" w:rsidP="005F6331"/>
    <w:tbl>
      <w:tblPr>
        <w:tblStyle w:val="TableGrid"/>
        <w:tblW w:w="0" w:type="auto"/>
        <w:tblLook w:val="04A0"/>
      </w:tblPr>
      <w:tblGrid>
        <w:gridCol w:w="2235"/>
        <w:gridCol w:w="1701"/>
      </w:tblGrid>
      <w:tr w:rsidR="00C90ECB" w:rsidRP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  <w:sz w:val="24"/>
              </w:rPr>
            </w:pPr>
            <w:r w:rsidRPr="00C90ECB">
              <w:rPr>
                <w:b/>
                <w:sz w:val="24"/>
              </w:rPr>
              <w:t>Isolated enzyme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  <w:sz w:val="24"/>
              </w:rPr>
            </w:pPr>
            <w:r w:rsidRPr="00C90ECB">
              <w:rPr>
                <w:b/>
                <w:sz w:val="24"/>
              </w:rPr>
              <w:t>IC50 (</w:t>
            </w:r>
            <w:proofErr w:type="spellStart"/>
            <w:r w:rsidRPr="00C90ECB">
              <w:rPr>
                <w:b/>
                <w:sz w:val="24"/>
              </w:rPr>
              <w:t>nM</w:t>
            </w:r>
            <w:proofErr w:type="spellEnd"/>
            <w:r w:rsidRPr="00C90ECB">
              <w:rPr>
                <w:b/>
                <w:sz w:val="24"/>
              </w:rPr>
              <w:t>)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proofErr w:type="spellStart"/>
            <w:r w:rsidRPr="00C90ECB">
              <w:rPr>
                <w:b/>
              </w:rPr>
              <w:t>mTOR</w:t>
            </w:r>
            <w:proofErr w:type="spellEnd"/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2.81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PI3K</w:t>
            </w:r>
            <w:r w:rsidRPr="00C90ECB">
              <w:rPr>
                <w:rFonts w:ascii="Symbol" w:hAnsi="Symbol"/>
                <w:b/>
              </w:rPr>
              <w:t>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3766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PI3K</w:t>
            </w:r>
            <w:r w:rsidRPr="00C90ECB">
              <w:rPr>
                <w:rFonts w:ascii="Symbol" w:hAnsi="Symbol"/>
                <w:b/>
              </w:rPr>
              <w:t>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&gt;30000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PI3K</w:t>
            </w:r>
            <w:r w:rsidRPr="00C90ECB">
              <w:rPr>
                <w:rFonts w:ascii="Symbol" w:hAnsi="Symbol"/>
                <w:b/>
              </w:rPr>
              <w:t>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&gt;29000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PI3K</w:t>
            </w:r>
            <w:r w:rsidRPr="00C90ECB">
              <w:rPr>
                <w:rFonts w:ascii="Symbol" w:hAnsi="Symbol"/>
                <w:b/>
              </w:rPr>
              <w:t>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&gt;30000</w:t>
            </w:r>
          </w:p>
        </w:tc>
      </w:tr>
      <w:tr w:rsidR="00C90ECB" w:rsidTr="00C90ECB">
        <w:tc>
          <w:tcPr>
            <w:tcW w:w="3936" w:type="dxa"/>
            <w:gridSpan w:val="2"/>
          </w:tcPr>
          <w:p w:rsidR="00C90ECB" w:rsidRDefault="00C90ECB" w:rsidP="005F6331">
            <w:pPr>
              <w:rPr>
                <w:b/>
                <w:sz w:val="28"/>
              </w:rPr>
            </w:pPr>
          </w:p>
        </w:tc>
      </w:tr>
      <w:tr w:rsidR="00C90ECB" w:rsidRP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  <w:sz w:val="24"/>
              </w:rPr>
            </w:pPr>
            <w:r w:rsidRPr="00C90ECB">
              <w:rPr>
                <w:b/>
                <w:sz w:val="24"/>
              </w:rPr>
              <w:t>MDAMB468 cells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  <w:sz w:val="24"/>
              </w:rPr>
            </w:pPr>
            <w:r w:rsidRPr="00C90ECB">
              <w:rPr>
                <w:b/>
                <w:sz w:val="24"/>
              </w:rPr>
              <w:t>IC50 (</w:t>
            </w:r>
            <w:proofErr w:type="spellStart"/>
            <w:r w:rsidRPr="00C90ECB">
              <w:rPr>
                <w:b/>
                <w:sz w:val="24"/>
              </w:rPr>
              <w:t>nM</w:t>
            </w:r>
            <w:proofErr w:type="spellEnd"/>
            <w:r w:rsidRPr="00C90ECB">
              <w:rPr>
                <w:b/>
                <w:sz w:val="24"/>
              </w:rPr>
              <w:t>)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proofErr w:type="spellStart"/>
            <w:r w:rsidRPr="00C90ECB">
              <w:rPr>
                <w:b/>
              </w:rPr>
              <w:t>pAKT</w:t>
            </w:r>
            <w:proofErr w:type="spellEnd"/>
            <w:r w:rsidRPr="00C90ECB">
              <w:rPr>
                <w:b/>
              </w:rPr>
              <w:t xml:space="preserve"> (Ser473)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78</w:t>
            </w:r>
          </w:p>
        </w:tc>
      </w:tr>
      <w:tr w:rsidR="00C90ECB" w:rsidTr="00C90ECB">
        <w:tc>
          <w:tcPr>
            <w:tcW w:w="2235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pS6 (Ser235/6)</w:t>
            </w:r>
          </w:p>
        </w:tc>
        <w:tc>
          <w:tcPr>
            <w:tcW w:w="1701" w:type="dxa"/>
          </w:tcPr>
          <w:p w:rsidR="00C90ECB" w:rsidRPr="00C90ECB" w:rsidRDefault="00C90ECB" w:rsidP="005F6331">
            <w:pPr>
              <w:rPr>
                <w:b/>
              </w:rPr>
            </w:pPr>
            <w:r w:rsidRPr="00C90ECB">
              <w:rPr>
                <w:b/>
              </w:rPr>
              <w:t>210</w:t>
            </w:r>
          </w:p>
        </w:tc>
      </w:tr>
    </w:tbl>
    <w:p w:rsidR="00051014" w:rsidRDefault="00051014" w:rsidP="005F6331">
      <w:pPr>
        <w:rPr>
          <w:sz w:val="24"/>
        </w:rPr>
      </w:pPr>
    </w:p>
    <w:p w:rsidR="00A3553C" w:rsidRDefault="00A3553C" w:rsidP="005F6331">
      <w:pPr>
        <w:rPr>
          <w:sz w:val="24"/>
        </w:rPr>
      </w:pPr>
    </w:p>
    <w:p w:rsidR="00A3553C" w:rsidRDefault="00A3553C" w:rsidP="005F6331">
      <w:pPr>
        <w:rPr>
          <w:sz w:val="24"/>
        </w:rPr>
      </w:pPr>
    </w:p>
    <w:p w:rsidR="00C90ECB" w:rsidRPr="009204F4" w:rsidRDefault="00C90ECB" w:rsidP="00C90ECB">
      <w:r w:rsidRPr="009204F4">
        <w:rPr>
          <w:b/>
          <w:bCs/>
        </w:rPr>
        <w:t>Suppl</w:t>
      </w:r>
      <w:r>
        <w:rPr>
          <w:b/>
          <w:bCs/>
        </w:rPr>
        <w:t>ementary</w:t>
      </w:r>
      <w:r w:rsidR="000824B3">
        <w:rPr>
          <w:b/>
          <w:bCs/>
        </w:rPr>
        <w:t xml:space="preserve"> t</w:t>
      </w:r>
      <w:r>
        <w:rPr>
          <w:b/>
          <w:bCs/>
        </w:rPr>
        <w:t>able 2</w:t>
      </w:r>
      <w:r w:rsidRPr="009204F4">
        <w:rPr>
          <w:b/>
          <w:bCs/>
        </w:rPr>
        <w:t>: Biochemical activity of AZD2014</w:t>
      </w:r>
      <w:r w:rsidRPr="009204F4">
        <w:t xml:space="preserve">. </w:t>
      </w:r>
    </w:p>
    <w:p w:rsidR="00C90ECB" w:rsidRDefault="00C90ECB" w:rsidP="00C90ECB">
      <w:r w:rsidRPr="009204F4">
        <w:t>AZD2014</w:t>
      </w:r>
      <w:r w:rsidRPr="009204F4">
        <w:rPr>
          <w:lang w:val="en-US"/>
        </w:rPr>
        <w:t xml:space="preserve"> (1 µM</w:t>
      </w:r>
      <w:r w:rsidRPr="009204F4">
        <w:t xml:space="preserve">) was tested against 393 isolated </w:t>
      </w:r>
      <w:proofErr w:type="spellStart"/>
      <w:r w:rsidRPr="009204F4">
        <w:t>kinases</w:t>
      </w:r>
      <w:proofErr w:type="spellEnd"/>
      <w:r w:rsidRPr="009204F4">
        <w:t xml:space="preserve"> or catalytic domains in competition binding assays (Ambit). The % inhibition values are shown when &gt;0%.</w:t>
      </w:r>
    </w:p>
    <w:p w:rsidR="00C90ECB" w:rsidRPr="00C90ECB" w:rsidRDefault="00C90ECB" w:rsidP="00C90ECB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1"/>
      </w:tblGrid>
      <w:tr w:rsidR="00C90ECB" w:rsidRPr="00C90ECB" w:rsidTr="00C90ECB">
        <w:tc>
          <w:tcPr>
            <w:tcW w:w="2235" w:type="dxa"/>
          </w:tcPr>
          <w:p w:rsidR="00C90ECB" w:rsidRPr="00C90ECB" w:rsidRDefault="00C90ECB" w:rsidP="009B0DD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Kinase</w:t>
            </w:r>
            <w:proofErr w:type="spellEnd"/>
          </w:p>
        </w:tc>
        <w:tc>
          <w:tcPr>
            <w:tcW w:w="2551" w:type="dxa"/>
          </w:tcPr>
          <w:p w:rsidR="00C90ECB" w:rsidRPr="00C90ECB" w:rsidRDefault="00C90ECB" w:rsidP="009B0D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 inhibition at 1</w:t>
            </w:r>
            <w:r w:rsidRPr="00C90ECB">
              <w:rPr>
                <w:rFonts w:ascii="Symbol" w:hAnsi="Symbol"/>
                <w:b/>
                <w:sz w:val="24"/>
              </w:rPr>
              <w:t></w:t>
            </w:r>
            <w:r>
              <w:rPr>
                <w:b/>
                <w:sz w:val="24"/>
              </w:rPr>
              <w:t>M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Dyrk2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47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proofErr w:type="spellStart"/>
            <w:r w:rsidRPr="000824B3">
              <w:t>IKK</w:t>
            </w:r>
            <w:proofErr w:type="spellEnd"/>
            <w:r w:rsidRPr="000824B3">
              <w:rPr>
                <w:rFonts w:ascii="Symbol" w:hAnsi="Symbol"/>
              </w:rPr>
              <w:t>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34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PIK3CA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24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PIK3CA (E545A)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19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PIK3CA (E545K)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36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PIK3CA (Q546K)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21</w:t>
            </w:r>
          </w:p>
        </w:tc>
      </w:tr>
      <w:tr w:rsidR="00C90ECB" w:rsidTr="00C90ECB">
        <w:tc>
          <w:tcPr>
            <w:tcW w:w="2235" w:type="dxa"/>
          </w:tcPr>
          <w:p w:rsidR="00C90ECB" w:rsidRPr="000824B3" w:rsidRDefault="00C90ECB" w:rsidP="009B0DD8">
            <w:r w:rsidRPr="000824B3">
              <w:t>PIK3CA (E542K)</w:t>
            </w:r>
          </w:p>
        </w:tc>
        <w:tc>
          <w:tcPr>
            <w:tcW w:w="2551" w:type="dxa"/>
          </w:tcPr>
          <w:p w:rsidR="00C90ECB" w:rsidRPr="000824B3" w:rsidRDefault="00C90ECB" w:rsidP="009B0DD8">
            <w:r w:rsidRPr="000824B3">
              <w:t>21</w:t>
            </w:r>
          </w:p>
        </w:tc>
      </w:tr>
    </w:tbl>
    <w:p w:rsidR="000824B3" w:rsidRDefault="000824B3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C90ECB" w:rsidRDefault="00C90ECB" w:rsidP="00051014">
      <w:r w:rsidRPr="0012023B">
        <w:rPr>
          <w:b/>
          <w:bCs/>
        </w:rPr>
        <w:lastRenderedPageBreak/>
        <w:t>Suppl</w:t>
      </w:r>
      <w:r>
        <w:rPr>
          <w:b/>
          <w:bCs/>
        </w:rPr>
        <w:t>ementary t</w:t>
      </w:r>
      <w:r w:rsidRPr="0012023B">
        <w:rPr>
          <w:b/>
          <w:bCs/>
        </w:rPr>
        <w:t xml:space="preserve">able </w:t>
      </w:r>
      <w:r>
        <w:rPr>
          <w:b/>
          <w:bCs/>
        </w:rPr>
        <w:t>3</w:t>
      </w:r>
      <w:r w:rsidRPr="0012023B">
        <w:rPr>
          <w:b/>
          <w:bCs/>
        </w:rPr>
        <w:t xml:space="preserve">: Anti proliferative activity of AZD2014 in a panel of ER+, endocrine resistant and </w:t>
      </w:r>
      <w:proofErr w:type="spellStart"/>
      <w:r w:rsidRPr="0012023B">
        <w:rPr>
          <w:b/>
          <w:bCs/>
        </w:rPr>
        <w:t>LTED</w:t>
      </w:r>
      <w:proofErr w:type="spellEnd"/>
      <w:r w:rsidRPr="0012023B">
        <w:rPr>
          <w:b/>
          <w:bCs/>
        </w:rPr>
        <w:t xml:space="preserve"> cell lines. </w:t>
      </w:r>
      <w:r w:rsidRPr="0012023B">
        <w:rPr>
          <w:b/>
          <w:bCs/>
          <w:lang w:val="en-US"/>
        </w:rPr>
        <w:t xml:space="preserve"> </w:t>
      </w:r>
      <w:r w:rsidRPr="0012023B">
        <w:rPr>
          <w:lang w:val="en-US"/>
        </w:rPr>
        <w:t>GI</w:t>
      </w:r>
      <w:r w:rsidRPr="0012023B">
        <w:rPr>
          <w:vertAlign w:val="subscript"/>
          <w:lang w:val="en-US"/>
        </w:rPr>
        <w:t>50</w:t>
      </w:r>
      <w:r>
        <w:rPr>
          <w:vertAlign w:val="subscript"/>
          <w:lang w:val="en-US"/>
        </w:rPr>
        <w:t xml:space="preserve"> </w:t>
      </w:r>
      <w:r w:rsidRPr="0012023B">
        <w:rPr>
          <w:lang w:val="en-US"/>
        </w:rPr>
        <w:t>(the concentration decreasing cell number by 50% compared to untreated cells) and total growth inhibition (</w:t>
      </w:r>
      <w:proofErr w:type="spellStart"/>
      <w:r w:rsidRPr="0012023B">
        <w:rPr>
          <w:lang w:val="en-US"/>
        </w:rPr>
        <w:t>TGI</w:t>
      </w:r>
      <w:proofErr w:type="spellEnd"/>
      <w:r w:rsidRPr="0012023B">
        <w:rPr>
          <w:lang w:val="en-US"/>
        </w:rPr>
        <w:t>, the concentration at</w:t>
      </w:r>
      <w:r>
        <w:rPr>
          <w:lang w:val="en-US"/>
        </w:rPr>
        <w:t xml:space="preserve"> which there is no net growth) </w:t>
      </w:r>
      <w:r w:rsidRPr="0012023B">
        <w:rPr>
          <w:lang w:val="en-US"/>
        </w:rPr>
        <w:t>are displayed.</w:t>
      </w:r>
      <w:r w:rsidRPr="0012023B">
        <w:t xml:space="preserve"> </w:t>
      </w:r>
    </w:p>
    <w:p w:rsidR="00A3553C" w:rsidRPr="00A3553C" w:rsidRDefault="00A3553C" w:rsidP="00051014"/>
    <w:tbl>
      <w:tblPr>
        <w:tblStyle w:val="TableGrid"/>
        <w:tblW w:w="0" w:type="auto"/>
        <w:tblLook w:val="04A0"/>
      </w:tblPr>
      <w:tblGrid>
        <w:gridCol w:w="1809"/>
        <w:gridCol w:w="1418"/>
        <w:gridCol w:w="1559"/>
        <w:gridCol w:w="1374"/>
        <w:gridCol w:w="1541"/>
        <w:gridCol w:w="1541"/>
      </w:tblGrid>
      <w:tr w:rsidR="00C90ECB" w:rsidTr="00C90ECB">
        <w:tc>
          <w:tcPr>
            <w:tcW w:w="1809" w:type="dxa"/>
            <w:vMerge w:val="restart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Cell line</w:t>
            </w:r>
          </w:p>
        </w:tc>
        <w:tc>
          <w:tcPr>
            <w:tcW w:w="1418" w:type="dxa"/>
            <w:vMerge w:val="restart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2933" w:type="dxa"/>
            <w:gridSpan w:val="2"/>
          </w:tcPr>
          <w:p w:rsidR="00C90ECB" w:rsidRDefault="00C90ECB" w:rsidP="00C90ECB">
            <w:pPr>
              <w:jc w:val="center"/>
              <w:rPr>
                <w:b/>
              </w:rPr>
            </w:pPr>
            <w:r>
              <w:rPr>
                <w:b/>
              </w:rPr>
              <w:t>AZD2014</w:t>
            </w:r>
          </w:p>
        </w:tc>
        <w:tc>
          <w:tcPr>
            <w:tcW w:w="3082" w:type="dxa"/>
            <w:gridSpan w:val="2"/>
          </w:tcPr>
          <w:p w:rsidR="00C90ECB" w:rsidRDefault="00C90ECB" w:rsidP="00C90E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Everolimus</w:t>
            </w:r>
            <w:proofErr w:type="spellEnd"/>
          </w:p>
        </w:tc>
      </w:tr>
      <w:tr w:rsidR="00C90ECB" w:rsidTr="00C90ECB">
        <w:tc>
          <w:tcPr>
            <w:tcW w:w="1809" w:type="dxa"/>
            <w:vMerge/>
          </w:tcPr>
          <w:p w:rsidR="00C90ECB" w:rsidRDefault="00C90ECB" w:rsidP="00051014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90ECB" w:rsidRDefault="00C90ECB" w:rsidP="00051014">
            <w:pPr>
              <w:rPr>
                <w:b/>
              </w:rPr>
            </w:pPr>
          </w:p>
        </w:tc>
        <w:tc>
          <w:tcPr>
            <w:tcW w:w="1559" w:type="dxa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GI50 (</w:t>
            </w:r>
            <w:r w:rsidRPr="00C90ECB">
              <w:rPr>
                <w:rFonts w:ascii="Symbol" w:hAnsi="Symbol"/>
                <w:b/>
              </w:rPr>
              <w:t></w:t>
            </w:r>
            <w:r>
              <w:rPr>
                <w:b/>
              </w:rPr>
              <w:t>M)</w:t>
            </w:r>
          </w:p>
        </w:tc>
        <w:tc>
          <w:tcPr>
            <w:tcW w:w="1374" w:type="dxa"/>
          </w:tcPr>
          <w:p w:rsidR="00C90ECB" w:rsidRDefault="00C90ECB" w:rsidP="00051014">
            <w:pPr>
              <w:rPr>
                <w:b/>
              </w:rPr>
            </w:pPr>
            <w:proofErr w:type="spellStart"/>
            <w:r>
              <w:rPr>
                <w:b/>
              </w:rPr>
              <w:t>TGI</w:t>
            </w:r>
            <w:proofErr w:type="spellEnd"/>
            <w:r>
              <w:rPr>
                <w:b/>
              </w:rPr>
              <w:t xml:space="preserve"> (</w:t>
            </w:r>
            <w:r w:rsidRPr="00C90ECB">
              <w:rPr>
                <w:rFonts w:ascii="Symbol" w:hAnsi="Symbol"/>
                <w:b/>
              </w:rPr>
              <w:t></w:t>
            </w:r>
            <w:r>
              <w:rPr>
                <w:b/>
              </w:rPr>
              <w:t>M)</w:t>
            </w:r>
          </w:p>
        </w:tc>
        <w:tc>
          <w:tcPr>
            <w:tcW w:w="1541" w:type="dxa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GI50 (</w:t>
            </w:r>
            <w:r w:rsidRPr="00C90ECB">
              <w:rPr>
                <w:rFonts w:ascii="Symbol" w:hAnsi="Symbol"/>
                <w:b/>
              </w:rPr>
              <w:t></w:t>
            </w:r>
            <w:r>
              <w:rPr>
                <w:b/>
              </w:rPr>
              <w:t>M)</w:t>
            </w:r>
          </w:p>
        </w:tc>
        <w:tc>
          <w:tcPr>
            <w:tcW w:w="1541" w:type="dxa"/>
          </w:tcPr>
          <w:p w:rsidR="00C90ECB" w:rsidRDefault="00C90ECB" w:rsidP="00051014">
            <w:pPr>
              <w:rPr>
                <w:b/>
              </w:rPr>
            </w:pPr>
            <w:proofErr w:type="spellStart"/>
            <w:r>
              <w:rPr>
                <w:b/>
              </w:rPr>
              <w:t>TGI</w:t>
            </w:r>
            <w:proofErr w:type="spellEnd"/>
            <w:r>
              <w:rPr>
                <w:b/>
              </w:rPr>
              <w:t xml:space="preserve"> (</w:t>
            </w:r>
            <w:r w:rsidRPr="00C90ECB">
              <w:rPr>
                <w:rFonts w:ascii="Symbol" w:hAnsi="Symbol"/>
                <w:b/>
              </w:rPr>
              <w:t></w:t>
            </w:r>
            <w:r>
              <w:rPr>
                <w:b/>
              </w:rPr>
              <w:t>M)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 w:rsidRPr="00C90ECB">
              <w:rPr>
                <w:rFonts w:asciiTheme="minorHAnsi" w:hAnsiTheme="minorHAnsi"/>
                <w:sz w:val="20"/>
              </w:rPr>
              <w:t>MCF7 parental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 w:rsidRPr="00C90ECB">
              <w:rPr>
                <w:rFonts w:asciiTheme="minorHAnsi" w:hAnsiTheme="minorHAnsi"/>
                <w:sz w:val="20"/>
              </w:rPr>
              <w:t>0.138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 w:rsidRPr="00C90ECB">
              <w:rPr>
                <w:rFonts w:asciiTheme="minorHAnsi" w:hAnsiTheme="minorHAnsi"/>
                <w:sz w:val="20"/>
              </w:rPr>
              <w:t>0.521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0.056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MCF7 T52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Tamoxifen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0.112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0.369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0.128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MCF7 F100-16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Fulvestrant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0.035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0.118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0.184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MCF7 F40-6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Fulvestrant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0.096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0.231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0.477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HCC1428 parental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0.110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0.324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0.128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HCC1428 </w:t>
            </w:r>
            <w:proofErr w:type="spellStart"/>
            <w:r>
              <w:rPr>
                <w:rFonts w:asciiTheme="minorHAnsi" w:hAnsiTheme="minorHAnsi"/>
                <w:sz w:val="20"/>
              </w:rPr>
              <w:t>LTED</w:t>
            </w:r>
            <w:proofErr w:type="spellEnd"/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Estrogen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deprivation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0.042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0.198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0.055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&gt;10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ZR75-1 parental</w:t>
            </w:r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0.031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0.110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0.009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0.101</w:t>
            </w:r>
          </w:p>
        </w:tc>
      </w:tr>
      <w:tr w:rsidR="00C90ECB" w:rsidTr="00C90ECB">
        <w:tc>
          <w:tcPr>
            <w:tcW w:w="180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ZR75 </w:t>
            </w:r>
            <w:proofErr w:type="spellStart"/>
            <w:r>
              <w:rPr>
                <w:rFonts w:asciiTheme="minorHAnsi" w:hAnsiTheme="minorHAnsi"/>
                <w:sz w:val="20"/>
              </w:rPr>
              <w:t>LTED</w:t>
            </w:r>
            <w:proofErr w:type="spellEnd"/>
          </w:p>
        </w:tc>
        <w:tc>
          <w:tcPr>
            <w:tcW w:w="1418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Estrogen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deprivation</w:t>
            </w:r>
          </w:p>
        </w:tc>
        <w:tc>
          <w:tcPr>
            <w:tcW w:w="1559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0.046</w:t>
            </w:r>
          </w:p>
        </w:tc>
        <w:tc>
          <w:tcPr>
            <w:tcW w:w="1374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0.133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0.059</w:t>
            </w:r>
          </w:p>
        </w:tc>
        <w:tc>
          <w:tcPr>
            <w:tcW w:w="1541" w:type="dxa"/>
          </w:tcPr>
          <w:p w:rsidR="00C90ECB" w:rsidRPr="00C90ECB" w:rsidRDefault="00C90ECB" w:rsidP="000510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0.513</w:t>
            </w:r>
          </w:p>
        </w:tc>
      </w:tr>
    </w:tbl>
    <w:p w:rsidR="000824B3" w:rsidRDefault="000824B3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C90ECB" w:rsidRPr="0012023B" w:rsidRDefault="00C90ECB" w:rsidP="00C90ECB">
      <w:pPr>
        <w:rPr>
          <w:b/>
        </w:rPr>
      </w:pPr>
      <w:r>
        <w:rPr>
          <w:b/>
          <w:bCs/>
        </w:rPr>
        <w:t>Supplementary table 4</w:t>
      </w:r>
      <w:r w:rsidRPr="0012023B">
        <w:rPr>
          <w:b/>
          <w:bCs/>
        </w:rPr>
        <w:t xml:space="preserve">: Activity of AZD2014 in a number of ER+ breast cancer </w:t>
      </w:r>
      <w:r w:rsidRPr="0012023B">
        <w:rPr>
          <w:b/>
          <w:bCs/>
          <w:i/>
          <w:iCs/>
        </w:rPr>
        <w:t xml:space="preserve">in vivo </w:t>
      </w:r>
      <w:r w:rsidR="000824B3">
        <w:rPr>
          <w:b/>
          <w:bCs/>
        </w:rPr>
        <w:t>models.</w:t>
      </w:r>
    </w:p>
    <w:p w:rsidR="00051014" w:rsidRDefault="00C90ECB" w:rsidP="00051014">
      <w:pPr>
        <w:rPr>
          <w:bCs/>
        </w:rPr>
      </w:pPr>
      <w:proofErr w:type="gramStart"/>
      <w:r w:rsidRPr="0012023B">
        <w:t>Summary of anti-tumour activity in a number of ER+ breast cancer models.</w:t>
      </w:r>
      <w:proofErr w:type="gramEnd"/>
      <w:r w:rsidRPr="0012023B">
        <w:t xml:space="preserve"> Tumour growth inhibition (</w:t>
      </w:r>
      <w:proofErr w:type="spellStart"/>
      <w:r w:rsidRPr="0012023B">
        <w:t>TGI</w:t>
      </w:r>
      <w:proofErr w:type="spellEnd"/>
      <w:r w:rsidRPr="0012023B">
        <w:t>) was calculated as the reduction in treated tumour growth compared to control tumour growth at end of study and expressed as a percentage.</w:t>
      </w:r>
      <w:r w:rsidRPr="0012023B">
        <w:rPr>
          <w:bCs/>
        </w:rPr>
        <w:t xml:space="preserve"> </w:t>
      </w:r>
    </w:p>
    <w:p w:rsidR="000824B3" w:rsidRPr="000824B3" w:rsidRDefault="000824B3" w:rsidP="00051014"/>
    <w:tbl>
      <w:tblPr>
        <w:tblStyle w:val="TableGrid"/>
        <w:tblW w:w="0" w:type="auto"/>
        <w:tblLook w:val="04A0"/>
      </w:tblPr>
      <w:tblGrid>
        <w:gridCol w:w="1951"/>
        <w:gridCol w:w="5954"/>
        <w:gridCol w:w="1337"/>
      </w:tblGrid>
      <w:tr w:rsidR="00C90ECB" w:rsidTr="00C90ECB">
        <w:tc>
          <w:tcPr>
            <w:tcW w:w="1951" w:type="dxa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5954" w:type="dxa"/>
          </w:tcPr>
          <w:p w:rsidR="00C90ECB" w:rsidRDefault="00C90ECB" w:rsidP="00051014">
            <w:pPr>
              <w:rPr>
                <w:b/>
              </w:rPr>
            </w:pPr>
            <w:r>
              <w:rPr>
                <w:b/>
              </w:rPr>
              <w:t>Dose/Treatment</w:t>
            </w:r>
          </w:p>
        </w:tc>
        <w:tc>
          <w:tcPr>
            <w:tcW w:w="1337" w:type="dxa"/>
          </w:tcPr>
          <w:p w:rsidR="00C90ECB" w:rsidRDefault="00C90ECB" w:rsidP="00051014">
            <w:pPr>
              <w:rPr>
                <w:b/>
              </w:rPr>
            </w:pPr>
            <w:proofErr w:type="spellStart"/>
            <w:r>
              <w:rPr>
                <w:b/>
              </w:rPr>
              <w:t>TGI</w:t>
            </w:r>
            <w:proofErr w:type="spellEnd"/>
            <w:r>
              <w:rPr>
                <w:b/>
              </w:rPr>
              <w:t xml:space="preserve"> (%)</w:t>
            </w:r>
          </w:p>
        </w:tc>
      </w:tr>
      <w:tr w:rsidR="00C90ECB" w:rsidTr="00C90ECB">
        <w:tc>
          <w:tcPr>
            <w:tcW w:w="1951" w:type="dxa"/>
            <w:vMerge w:val="restart"/>
          </w:tcPr>
          <w:p w:rsidR="00C90ECB" w:rsidRPr="00C90ECB" w:rsidRDefault="00C90ECB" w:rsidP="00051014">
            <w:r w:rsidRPr="00C90ECB">
              <w:t>MCF7</w:t>
            </w:r>
          </w:p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</w:p>
        </w:tc>
        <w:tc>
          <w:tcPr>
            <w:tcW w:w="1337" w:type="dxa"/>
          </w:tcPr>
          <w:p w:rsidR="00C90ECB" w:rsidRPr="00C90ECB" w:rsidRDefault="00C90ECB" w:rsidP="00051014">
            <w:r>
              <w:t>95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>AZD2014 20mg/kg BID 2 days on/ 5 off (measured following re-growth phase)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70, 81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>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56, 40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  <w:r>
              <w:t xml:space="preserve"> + 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109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>AZD2014 20mg/kg BID 2 days on/ 5 off + 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104</w:t>
            </w:r>
          </w:p>
        </w:tc>
      </w:tr>
      <w:tr w:rsidR="00C90ECB" w:rsidTr="00C90ECB">
        <w:tc>
          <w:tcPr>
            <w:tcW w:w="1951" w:type="dxa"/>
            <w:vMerge w:val="restart"/>
          </w:tcPr>
          <w:p w:rsidR="00C90ECB" w:rsidRPr="00C90ECB" w:rsidRDefault="00C90ECB" w:rsidP="00051014">
            <w:r>
              <w:t>HCC1500</w:t>
            </w:r>
          </w:p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</w:p>
        </w:tc>
        <w:tc>
          <w:tcPr>
            <w:tcW w:w="1337" w:type="dxa"/>
          </w:tcPr>
          <w:p w:rsidR="00C90ECB" w:rsidRPr="00C90ECB" w:rsidRDefault="00C90ECB" w:rsidP="00051014">
            <w:r>
              <w:t>61.1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>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58.3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  <w:r>
              <w:t xml:space="preserve"> + 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99.4</w:t>
            </w:r>
          </w:p>
        </w:tc>
      </w:tr>
      <w:tr w:rsidR="00C90ECB" w:rsidTr="00C90ECB">
        <w:tc>
          <w:tcPr>
            <w:tcW w:w="1951" w:type="dxa"/>
          </w:tcPr>
          <w:p w:rsidR="00C90ECB" w:rsidRPr="00C90ECB" w:rsidRDefault="00C90ECB" w:rsidP="00051014">
            <w:r>
              <w:t>BR0555</w:t>
            </w:r>
          </w:p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</w:p>
        </w:tc>
        <w:tc>
          <w:tcPr>
            <w:tcW w:w="1337" w:type="dxa"/>
          </w:tcPr>
          <w:p w:rsidR="00C90ECB" w:rsidRPr="00C90ECB" w:rsidRDefault="00C90ECB" w:rsidP="00051014">
            <w:r>
              <w:t>65.4-99.8</w:t>
            </w:r>
          </w:p>
        </w:tc>
      </w:tr>
      <w:tr w:rsidR="00C90ECB" w:rsidTr="00C90ECB">
        <w:tc>
          <w:tcPr>
            <w:tcW w:w="1951" w:type="dxa"/>
            <w:vMerge w:val="restart"/>
          </w:tcPr>
          <w:p w:rsidR="00C90ECB" w:rsidRPr="00C90ECB" w:rsidRDefault="00C90ECB" w:rsidP="00051014">
            <w:r>
              <w:t>CTC174</w:t>
            </w:r>
          </w:p>
        </w:tc>
        <w:tc>
          <w:tcPr>
            <w:tcW w:w="5954" w:type="dxa"/>
          </w:tcPr>
          <w:p w:rsidR="00C90ECB" w:rsidRPr="00C90ECB" w:rsidRDefault="00C90ECB" w:rsidP="009B0DD8">
            <w:r>
              <w:t xml:space="preserve">AZD2014 15 mg/kg </w:t>
            </w:r>
            <w:proofErr w:type="spellStart"/>
            <w:r>
              <w:t>QD</w:t>
            </w:r>
            <w:proofErr w:type="spellEnd"/>
          </w:p>
        </w:tc>
        <w:tc>
          <w:tcPr>
            <w:tcW w:w="1337" w:type="dxa"/>
          </w:tcPr>
          <w:p w:rsidR="00C90ECB" w:rsidRPr="00C90ECB" w:rsidRDefault="00C90ECB" w:rsidP="00051014">
            <w:r>
              <w:t>84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9B0DD8">
            <w:r>
              <w:t>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70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  <w:r>
              <w:t xml:space="preserve"> + fulvestrant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108</w:t>
            </w:r>
          </w:p>
        </w:tc>
      </w:tr>
      <w:tr w:rsidR="00C90ECB" w:rsidTr="00C90ECB">
        <w:tc>
          <w:tcPr>
            <w:tcW w:w="1951" w:type="dxa"/>
            <w:vMerge w:val="restart"/>
          </w:tcPr>
          <w:p w:rsidR="00C90ECB" w:rsidRPr="00C90ECB" w:rsidRDefault="00C90ECB" w:rsidP="00051014">
            <w:r>
              <w:t>HBCx3</w:t>
            </w:r>
          </w:p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</w:p>
        </w:tc>
        <w:tc>
          <w:tcPr>
            <w:tcW w:w="1337" w:type="dxa"/>
          </w:tcPr>
          <w:p w:rsidR="00C90ECB" w:rsidRPr="00C90ECB" w:rsidRDefault="00C90ECB" w:rsidP="00051014">
            <w:r>
              <w:t>65.4</w:t>
            </w:r>
          </w:p>
        </w:tc>
      </w:tr>
      <w:tr w:rsidR="00C90ECB" w:rsidTr="00C90ECB">
        <w:tc>
          <w:tcPr>
            <w:tcW w:w="1951" w:type="dxa"/>
            <w:vMerge/>
          </w:tcPr>
          <w:p w:rsidR="00C90ECB" w:rsidRPr="00C90ECB" w:rsidRDefault="00C90ECB" w:rsidP="00051014"/>
        </w:tc>
        <w:tc>
          <w:tcPr>
            <w:tcW w:w="5954" w:type="dxa"/>
          </w:tcPr>
          <w:p w:rsidR="00C90ECB" w:rsidRPr="00C90ECB" w:rsidRDefault="00C90ECB" w:rsidP="00051014">
            <w:r>
              <w:t xml:space="preserve">AZD2014 15 mg/kg </w:t>
            </w:r>
            <w:proofErr w:type="spellStart"/>
            <w:r>
              <w:t>QD</w:t>
            </w:r>
            <w:proofErr w:type="spellEnd"/>
            <w:r>
              <w:t xml:space="preserve"> + tamoxifen</w:t>
            </w:r>
          </w:p>
        </w:tc>
        <w:tc>
          <w:tcPr>
            <w:tcW w:w="1337" w:type="dxa"/>
          </w:tcPr>
          <w:p w:rsidR="00C90ECB" w:rsidRPr="00C90ECB" w:rsidRDefault="00C90ECB" w:rsidP="00051014">
            <w:r>
              <w:t>60.3</w:t>
            </w:r>
          </w:p>
        </w:tc>
      </w:tr>
    </w:tbl>
    <w:p w:rsidR="000824B3" w:rsidRDefault="000824B3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A3553C" w:rsidRDefault="00A3553C" w:rsidP="00051014">
      <w:pPr>
        <w:rPr>
          <w:b/>
        </w:rPr>
      </w:pPr>
    </w:p>
    <w:p w:rsidR="00051014" w:rsidRPr="004D74EF" w:rsidRDefault="00051014" w:rsidP="005F6331">
      <w:pPr>
        <w:rPr>
          <w:sz w:val="24"/>
        </w:rPr>
      </w:pPr>
    </w:p>
    <w:sectPr w:rsidR="00051014" w:rsidRPr="004D74E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4D74EF"/>
    <w:rsid w:val="00041C01"/>
    <w:rsid w:val="00051014"/>
    <w:rsid w:val="000824B3"/>
    <w:rsid w:val="000B16E2"/>
    <w:rsid w:val="00150328"/>
    <w:rsid w:val="001639A9"/>
    <w:rsid w:val="002625B8"/>
    <w:rsid w:val="002C1F1C"/>
    <w:rsid w:val="003400DE"/>
    <w:rsid w:val="00360B8F"/>
    <w:rsid w:val="003A2DD7"/>
    <w:rsid w:val="003F16F1"/>
    <w:rsid w:val="00424461"/>
    <w:rsid w:val="00454FC9"/>
    <w:rsid w:val="004A4459"/>
    <w:rsid w:val="004D74EF"/>
    <w:rsid w:val="0052126B"/>
    <w:rsid w:val="00537D81"/>
    <w:rsid w:val="005806F7"/>
    <w:rsid w:val="00584396"/>
    <w:rsid w:val="005A12D9"/>
    <w:rsid w:val="005B6AA5"/>
    <w:rsid w:val="005F6331"/>
    <w:rsid w:val="00696B29"/>
    <w:rsid w:val="006C7023"/>
    <w:rsid w:val="00711B5E"/>
    <w:rsid w:val="00732885"/>
    <w:rsid w:val="007D0D12"/>
    <w:rsid w:val="00813605"/>
    <w:rsid w:val="008565A6"/>
    <w:rsid w:val="008A30FD"/>
    <w:rsid w:val="009B24ED"/>
    <w:rsid w:val="009B763E"/>
    <w:rsid w:val="009E676A"/>
    <w:rsid w:val="00A3553C"/>
    <w:rsid w:val="00AA5FEB"/>
    <w:rsid w:val="00AB2AC5"/>
    <w:rsid w:val="00B420BA"/>
    <w:rsid w:val="00C90ECB"/>
    <w:rsid w:val="00C96BF1"/>
    <w:rsid w:val="00CD7781"/>
    <w:rsid w:val="00CE7880"/>
    <w:rsid w:val="00D765F7"/>
    <w:rsid w:val="00DD0A71"/>
    <w:rsid w:val="00E00E9B"/>
    <w:rsid w:val="00E763D8"/>
    <w:rsid w:val="00ED33F2"/>
    <w:rsid w:val="00F95EEE"/>
    <w:rsid w:val="00FB0219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0E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1E4C-D84A-48B9-841C-1DDB96B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Company>AstraZeneca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ksmc298</dc:creator>
  <cp:lastModifiedBy>ksmc298</cp:lastModifiedBy>
  <cp:revision>3</cp:revision>
  <dcterms:created xsi:type="dcterms:W3CDTF">2015-08-02T13:32:00Z</dcterms:created>
  <dcterms:modified xsi:type="dcterms:W3CDTF">2015-08-02T13:34:00Z</dcterms:modified>
</cp:coreProperties>
</file>