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B5" w:rsidRDefault="00B37C34">
      <w:pPr>
        <w:rPr>
          <w:rFonts w:ascii="Times New Roman" w:hAnsi="Times New Roman" w:cs="Times New Roman" w:hint="eastAsia"/>
          <w:b/>
          <w:sz w:val="24"/>
          <w:szCs w:val="24"/>
        </w:rPr>
      </w:pPr>
      <w:r w:rsidRPr="00930FCC">
        <w:rPr>
          <w:rFonts w:ascii="Times New Roman" w:hAnsi="Times New Roman" w:cs="Times New Roman"/>
          <w:b/>
          <w:sz w:val="24"/>
          <w:szCs w:val="24"/>
        </w:rPr>
        <w:t xml:space="preserve">Supplementary </w:t>
      </w:r>
      <w:r w:rsidR="005510B5">
        <w:rPr>
          <w:rFonts w:ascii="Times New Roman" w:hAnsi="Times New Roman" w:cs="Times New Roman" w:hint="eastAsia"/>
          <w:b/>
          <w:sz w:val="24"/>
          <w:szCs w:val="24"/>
        </w:rPr>
        <w:t>Information</w:t>
      </w:r>
      <w:r w:rsidRPr="00930FCC">
        <w:rPr>
          <w:rFonts w:ascii="Times New Roman" w:hAnsi="Times New Roman" w:cs="Times New Roman"/>
          <w:b/>
          <w:sz w:val="24"/>
          <w:szCs w:val="24"/>
        </w:rPr>
        <w:t>:</w:t>
      </w:r>
    </w:p>
    <w:p w:rsidR="005510B5" w:rsidRDefault="005510B5" w:rsidP="005510B5">
      <w:pPr>
        <w:spacing w:after="0" w:line="480" w:lineRule="auto"/>
        <w:rPr>
          <w:rFonts w:ascii="Arial" w:hAnsi="Arial" w:cs="Arial" w:hint="eastAsia"/>
          <w:bCs/>
          <w:sz w:val="24"/>
          <w:szCs w:val="24"/>
        </w:rPr>
      </w:pPr>
    </w:p>
    <w:p w:rsidR="00F85A2B" w:rsidRPr="00F85A2B" w:rsidRDefault="00F85A2B" w:rsidP="005510B5">
      <w:pPr>
        <w:spacing w:after="0" w:line="480" w:lineRule="auto"/>
        <w:rPr>
          <w:rFonts w:ascii="Arial" w:hAnsi="Arial" w:cs="Arial" w:hint="eastAsia"/>
          <w:b/>
          <w:bCs/>
          <w:sz w:val="24"/>
          <w:szCs w:val="24"/>
        </w:rPr>
      </w:pPr>
      <w:r w:rsidRPr="00F85A2B">
        <w:rPr>
          <w:rFonts w:ascii="Arial" w:hAnsi="Arial" w:cs="Arial" w:hint="eastAsia"/>
          <w:b/>
          <w:bCs/>
          <w:sz w:val="24"/>
          <w:szCs w:val="24"/>
        </w:rPr>
        <w:t xml:space="preserve">An </w:t>
      </w:r>
      <w:r w:rsidRPr="00F85A2B">
        <w:rPr>
          <w:rFonts w:ascii="Arial" w:hAnsi="Arial" w:cs="Arial"/>
          <w:b/>
          <w:bCs/>
          <w:sz w:val="24"/>
          <w:szCs w:val="24"/>
        </w:rPr>
        <w:t>Eg5 inhibitor LY252335</w:t>
      </w:r>
      <w:r w:rsidRPr="00F85A2B">
        <w:rPr>
          <w:rFonts w:ascii="Arial" w:hAnsi="Arial" w:cs="Arial" w:hint="eastAsia"/>
          <w:b/>
          <w:bCs/>
          <w:sz w:val="24"/>
          <w:szCs w:val="24"/>
        </w:rPr>
        <w:t xml:space="preserve">5 </w:t>
      </w:r>
      <w:r w:rsidRPr="00F85A2B">
        <w:rPr>
          <w:rFonts w:ascii="Arial" w:hAnsi="Arial" w:cs="Arial"/>
          <w:b/>
          <w:bCs/>
          <w:sz w:val="24"/>
          <w:szCs w:val="24"/>
        </w:rPr>
        <w:t xml:space="preserve">shows </w:t>
      </w:r>
      <w:r w:rsidRPr="00F85A2B">
        <w:rPr>
          <w:rFonts w:ascii="Arial" w:hAnsi="Arial" w:cs="Arial" w:hint="eastAsia"/>
          <w:b/>
          <w:bCs/>
          <w:sz w:val="24"/>
          <w:szCs w:val="24"/>
        </w:rPr>
        <w:t xml:space="preserve">potent schedule-dependent </w:t>
      </w:r>
      <w:r w:rsidRPr="00F85A2B">
        <w:rPr>
          <w:rFonts w:ascii="Arial" w:hAnsi="Arial" w:cs="Arial"/>
          <w:b/>
          <w:bCs/>
          <w:sz w:val="24"/>
          <w:szCs w:val="24"/>
        </w:rPr>
        <w:t xml:space="preserve">antitumor activity in </w:t>
      </w:r>
      <w:proofErr w:type="spellStart"/>
      <w:r w:rsidRPr="00F85A2B">
        <w:rPr>
          <w:rFonts w:ascii="Arial" w:hAnsi="Arial" w:cs="Arial"/>
          <w:b/>
          <w:bCs/>
          <w:sz w:val="24"/>
          <w:szCs w:val="24"/>
        </w:rPr>
        <w:t>xenograft</w:t>
      </w:r>
      <w:proofErr w:type="spellEnd"/>
      <w:r w:rsidRPr="00F85A2B">
        <w:rPr>
          <w:rFonts w:ascii="Arial" w:hAnsi="Arial" w:cs="Arial"/>
          <w:b/>
          <w:bCs/>
          <w:sz w:val="24"/>
          <w:szCs w:val="24"/>
        </w:rPr>
        <w:t xml:space="preserve"> tumor models</w:t>
      </w:r>
      <w:r w:rsidRPr="00F85A2B">
        <w:rPr>
          <w:rFonts w:ascii="Arial" w:hAnsi="Arial" w:cs="Arial" w:hint="eastAsia"/>
          <w:b/>
          <w:bCs/>
          <w:sz w:val="24"/>
          <w:szCs w:val="24"/>
        </w:rPr>
        <w:t xml:space="preserve"> by mitotic arrest and induction of apoptosis in cancer cells</w:t>
      </w:r>
      <w:r w:rsidRPr="00F85A2B">
        <w:rPr>
          <w:rFonts w:ascii="Arial" w:hAnsi="Arial" w:cs="Arial"/>
          <w:b/>
          <w:bCs/>
          <w:sz w:val="24"/>
          <w:szCs w:val="24"/>
        </w:rPr>
        <w:t xml:space="preserve"> </w:t>
      </w:r>
    </w:p>
    <w:p w:rsidR="005510B5" w:rsidRPr="00622F86" w:rsidRDefault="005510B5" w:rsidP="005510B5">
      <w:pPr>
        <w:spacing w:after="0" w:line="480" w:lineRule="auto"/>
        <w:rPr>
          <w:rFonts w:ascii="Arial" w:hAnsi="Arial" w:cs="Arial"/>
          <w:sz w:val="24"/>
          <w:szCs w:val="24"/>
        </w:rPr>
      </w:pPr>
      <w:r w:rsidRPr="00622F86">
        <w:rPr>
          <w:rFonts w:ascii="Arial" w:hAnsi="Arial" w:cs="Arial"/>
          <w:bCs/>
          <w:sz w:val="24"/>
          <w:szCs w:val="24"/>
        </w:rPr>
        <w:t>Xiang S Ye</w:t>
      </w:r>
      <w:r w:rsidRPr="00622F86">
        <w:rPr>
          <w:rFonts w:ascii="Arial" w:hAnsi="Arial" w:cs="Arial"/>
          <w:bCs/>
          <w:sz w:val="24"/>
          <w:szCs w:val="24"/>
          <w:vertAlign w:val="superscript"/>
        </w:rPr>
        <w:t>1</w:t>
      </w:r>
      <w:r w:rsidRPr="00622F86">
        <w:rPr>
          <w:rFonts w:ascii="Arial" w:hAnsi="Arial" w:cs="Arial"/>
          <w:bCs/>
          <w:sz w:val="24"/>
          <w:szCs w:val="24"/>
        </w:rPr>
        <w:t>*</w:t>
      </w:r>
      <w:r w:rsidRPr="00622F86">
        <w:rPr>
          <w:rFonts w:ascii="Arial" w:hAnsi="Arial" w:cs="Arial"/>
          <w:sz w:val="24"/>
          <w:szCs w:val="24"/>
        </w:rPr>
        <w:t>, Li Fan</w:t>
      </w:r>
      <w:r w:rsidRPr="00622F86">
        <w:rPr>
          <w:rFonts w:ascii="Arial" w:hAnsi="Arial" w:cs="Arial"/>
          <w:sz w:val="24"/>
          <w:szCs w:val="24"/>
          <w:vertAlign w:val="superscript"/>
        </w:rPr>
        <w:t>1</w:t>
      </w:r>
      <w:r w:rsidRPr="00622F86">
        <w:rPr>
          <w:rFonts w:ascii="Arial" w:hAnsi="Arial" w:cs="Arial"/>
          <w:sz w:val="24"/>
          <w:szCs w:val="24"/>
        </w:rPr>
        <w:t>, Robert D Van Horn</w:t>
      </w:r>
      <w:r w:rsidRPr="00622F86">
        <w:rPr>
          <w:rFonts w:ascii="Arial" w:hAnsi="Arial" w:cs="Arial"/>
          <w:sz w:val="24"/>
          <w:szCs w:val="24"/>
          <w:vertAlign w:val="superscript"/>
        </w:rPr>
        <w:t>1</w:t>
      </w:r>
      <w:r w:rsidRPr="00622F86">
        <w:rPr>
          <w:rFonts w:ascii="Arial" w:hAnsi="Arial" w:cs="Arial"/>
          <w:sz w:val="24"/>
          <w:szCs w:val="24"/>
        </w:rPr>
        <w:t>, Ryuichiro Nakai</w:t>
      </w:r>
      <w:r w:rsidRPr="00622F86">
        <w:rPr>
          <w:rFonts w:ascii="Arial" w:hAnsi="Arial" w:cs="Arial"/>
          <w:sz w:val="24"/>
          <w:szCs w:val="24"/>
          <w:vertAlign w:val="superscript"/>
        </w:rPr>
        <w:t>2</w:t>
      </w:r>
      <w:r w:rsidRPr="00622F86">
        <w:rPr>
          <w:rFonts w:ascii="Arial" w:hAnsi="Arial" w:cs="Arial"/>
          <w:sz w:val="24"/>
          <w:szCs w:val="24"/>
        </w:rPr>
        <w:t>, Yoshihisa Ohta</w:t>
      </w:r>
      <w:r w:rsidRPr="00622F86">
        <w:rPr>
          <w:rFonts w:ascii="Arial" w:hAnsi="Arial" w:cs="Arial"/>
          <w:sz w:val="24"/>
          <w:szCs w:val="24"/>
          <w:vertAlign w:val="superscript"/>
        </w:rPr>
        <w:t>3</w:t>
      </w:r>
      <w:r w:rsidRPr="00622F86">
        <w:rPr>
          <w:rFonts w:ascii="Arial" w:hAnsi="Arial" w:cs="Arial"/>
          <w:sz w:val="24"/>
          <w:szCs w:val="24"/>
        </w:rPr>
        <w:t xml:space="preserve">, </w:t>
      </w:r>
      <w:proofErr w:type="spellStart"/>
      <w:r w:rsidRPr="00622F86">
        <w:rPr>
          <w:rFonts w:ascii="Arial" w:hAnsi="Arial" w:cs="Arial"/>
          <w:sz w:val="24"/>
          <w:szCs w:val="24"/>
        </w:rPr>
        <w:t>Shiro</w:t>
      </w:r>
      <w:proofErr w:type="spellEnd"/>
      <w:r w:rsidRPr="00622F86">
        <w:rPr>
          <w:rFonts w:ascii="Arial" w:hAnsi="Arial" w:cs="Arial"/>
          <w:sz w:val="24"/>
          <w:szCs w:val="24"/>
        </w:rPr>
        <w:t xml:space="preserve"> Akinaga</w:t>
      </w:r>
      <w:r w:rsidRPr="00622F86">
        <w:rPr>
          <w:rFonts w:ascii="Arial" w:hAnsi="Arial" w:cs="Arial"/>
          <w:sz w:val="24"/>
          <w:szCs w:val="24"/>
          <w:vertAlign w:val="superscript"/>
        </w:rPr>
        <w:t>4</w:t>
      </w:r>
      <w:r w:rsidRPr="00622F86">
        <w:rPr>
          <w:rFonts w:ascii="Arial" w:hAnsi="Arial" w:cs="Arial"/>
          <w:sz w:val="24"/>
          <w:szCs w:val="24"/>
        </w:rPr>
        <w:t xml:space="preserve">, </w:t>
      </w:r>
      <w:proofErr w:type="spellStart"/>
      <w:r w:rsidRPr="00622F86">
        <w:rPr>
          <w:rFonts w:ascii="Arial" w:hAnsi="Arial" w:cs="Arial"/>
          <w:sz w:val="24"/>
          <w:szCs w:val="24"/>
        </w:rPr>
        <w:t>Chikara</w:t>
      </w:r>
      <w:proofErr w:type="spellEnd"/>
      <w:r w:rsidRPr="00622F86">
        <w:rPr>
          <w:rFonts w:ascii="Arial" w:hAnsi="Arial" w:cs="Arial"/>
          <w:sz w:val="24"/>
          <w:szCs w:val="24"/>
        </w:rPr>
        <w:t xml:space="preserve"> Murakata</w:t>
      </w:r>
      <w:r w:rsidRPr="00622F86">
        <w:rPr>
          <w:rFonts w:ascii="Arial" w:hAnsi="Arial" w:cs="Arial"/>
          <w:sz w:val="24"/>
          <w:szCs w:val="24"/>
          <w:vertAlign w:val="superscript"/>
        </w:rPr>
        <w:t>3</w:t>
      </w:r>
      <w:r w:rsidRPr="00622F86">
        <w:rPr>
          <w:rFonts w:ascii="Arial" w:hAnsi="Arial" w:cs="Arial"/>
          <w:sz w:val="24"/>
          <w:szCs w:val="24"/>
        </w:rPr>
        <w:t>, Yoshinori Yamashita</w:t>
      </w:r>
      <w:r w:rsidRPr="00622F86">
        <w:rPr>
          <w:rFonts w:ascii="Arial" w:hAnsi="Arial" w:cs="Arial"/>
          <w:sz w:val="24"/>
          <w:szCs w:val="24"/>
          <w:vertAlign w:val="superscript"/>
        </w:rPr>
        <w:t>2</w:t>
      </w:r>
      <w:r w:rsidRPr="00622F86">
        <w:rPr>
          <w:rFonts w:ascii="Arial" w:hAnsi="Arial" w:cs="Arial"/>
          <w:sz w:val="24"/>
          <w:szCs w:val="24"/>
        </w:rPr>
        <w:t>,Tinggui Yin</w:t>
      </w:r>
      <w:r w:rsidRPr="00622F86">
        <w:rPr>
          <w:rFonts w:ascii="Arial" w:hAnsi="Arial" w:cs="Arial"/>
          <w:sz w:val="24"/>
          <w:szCs w:val="24"/>
          <w:vertAlign w:val="superscript"/>
        </w:rPr>
        <w:t>1</w:t>
      </w:r>
      <w:r w:rsidRPr="00622F86">
        <w:rPr>
          <w:rFonts w:ascii="Arial" w:hAnsi="Arial" w:cs="Arial"/>
          <w:sz w:val="24"/>
          <w:szCs w:val="24"/>
        </w:rPr>
        <w:t>, Kelly M Credille</w:t>
      </w:r>
      <w:r w:rsidRPr="00622F86">
        <w:rPr>
          <w:rFonts w:ascii="Arial" w:hAnsi="Arial" w:cs="Arial"/>
          <w:sz w:val="24"/>
          <w:szCs w:val="24"/>
          <w:vertAlign w:val="superscript"/>
        </w:rPr>
        <w:t>1</w:t>
      </w:r>
      <w:r w:rsidRPr="00622F86">
        <w:rPr>
          <w:rFonts w:ascii="Arial" w:hAnsi="Arial" w:cs="Arial"/>
          <w:sz w:val="24"/>
          <w:szCs w:val="24"/>
        </w:rPr>
        <w:t>, Gregory P Donoho</w:t>
      </w:r>
      <w:r w:rsidRPr="00622F86">
        <w:rPr>
          <w:rFonts w:ascii="Arial" w:hAnsi="Arial" w:cs="Arial"/>
          <w:sz w:val="24"/>
          <w:szCs w:val="24"/>
          <w:vertAlign w:val="superscript"/>
        </w:rPr>
        <w:t>1</w:t>
      </w:r>
      <w:r w:rsidRPr="00622F86">
        <w:rPr>
          <w:rFonts w:ascii="Arial" w:hAnsi="Arial" w:cs="Arial"/>
          <w:sz w:val="24"/>
          <w:szCs w:val="24"/>
        </w:rPr>
        <w:t>, Farhana F Merzoug</w:t>
      </w:r>
      <w:r w:rsidRPr="00622F86">
        <w:rPr>
          <w:rFonts w:ascii="Arial" w:hAnsi="Arial" w:cs="Arial"/>
          <w:sz w:val="24"/>
          <w:szCs w:val="24"/>
          <w:vertAlign w:val="superscript"/>
        </w:rPr>
        <w:t>1</w:t>
      </w:r>
      <w:r w:rsidRPr="00622F86">
        <w:rPr>
          <w:rFonts w:ascii="Arial" w:hAnsi="Arial" w:cs="Arial"/>
          <w:sz w:val="24"/>
          <w:szCs w:val="24"/>
        </w:rPr>
        <w:t xml:space="preserve">, </w:t>
      </w:r>
      <w:proofErr w:type="spellStart"/>
      <w:r w:rsidRPr="00622F86">
        <w:rPr>
          <w:rFonts w:ascii="Arial" w:hAnsi="Arial" w:cs="Arial"/>
          <w:sz w:val="24"/>
          <w:szCs w:val="24"/>
        </w:rPr>
        <w:t>Heng</w:t>
      </w:r>
      <w:proofErr w:type="spellEnd"/>
      <w:r w:rsidRPr="00622F86">
        <w:rPr>
          <w:rFonts w:ascii="Arial" w:hAnsi="Arial" w:cs="Arial"/>
          <w:sz w:val="24"/>
          <w:szCs w:val="24"/>
        </w:rPr>
        <w:t xml:space="preserve"> Li</w:t>
      </w:r>
      <w:r w:rsidRPr="00622F86">
        <w:rPr>
          <w:rFonts w:ascii="Arial" w:hAnsi="Arial" w:cs="Arial"/>
          <w:sz w:val="24"/>
          <w:szCs w:val="24"/>
          <w:vertAlign w:val="superscript"/>
        </w:rPr>
        <w:t>1,5</w:t>
      </w:r>
      <w:r w:rsidRPr="00622F86">
        <w:rPr>
          <w:rFonts w:ascii="Arial" w:hAnsi="Arial" w:cs="Arial"/>
          <w:sz w:val="24"/>
          <w:szCs w:val="24"/>
        </w:rPr>
        <w:t>, Amit Aggarwal</w:t>
      </w:r>
      <w:r w:rsidRPr="00622F86">
        <w:rPr>
          <w:rFonts w:ascii="Arial" w:hAnsi="Arial" w:cs="Arial"/>
          <w:sz w:val="24"/>
          <w:szCs w:val="24"/>
          <w:vertAlign w:val="superscript"/>
        </w:rPr>
        <w:t>1</w:t>
      </w:r>
      <w:r w:rsidRPr="00622F86">
        <w:rPr>
          <w:rFonts w:ascii="Arial" w:hAnsi="Arial" w:cs="Arial"/>
          <w:sz w:val="24"/>
          <w:szCs w:val="24"/>
        </w:rPr>
        <w:t>, Kerry Blanchard</w:t>
      </w:r>
      <w:r w:rsidRPr="00622F86">
        <w:rPr>
          <w:rFonts w:ascii="Arial" w:hAnsi="Arial" w:cs="Arial"/>
          <w:sz w:val="24"/>
          <w:szCs w:val="24"/>
          <w:vertAlign w:val="superscript"/>
        </w:rPr>
        <w:t>1</w:t>
      </w:r>
      <w:r w:rsidRPr="00622F86">
        <w:rPr>
          <w:rFonts w:ascii="Arial" w:hAnsi="Arial" w:cs="Arial"/>
          <w:sz w:val="24"/>
          <w:szCs w:val="24"/>
        </w:rPr>
        <w:t>, Eric M Westin</w:t>
      </w:r>
      <w:r w:rsidRPr="00622F86">
        <w:rPr>
          <w:rFonts w:ascii="Arial" w:hAnsi="Arial" w:cs="Arial"/>
          <w:sz w:val="24"/>
          <w:szCs w:val="24"/>
          <w:vertAlign w:val="superscript"/>
        </w:rPr>
        <w:t>1</w:t>
      </w:r>
    </w:p>
    <w:p w:rsidR="005510B5" w:rsidRDefault="005510B5" w:rsidP="005510B5">
      <w:pPr>
        <w:spacing w:after="0" w:line="480" w:lineRule="auto"/>
        <w:rPr>
          <w:rFonts w:ascii="Times New Roman" w:hAnsi="Times New Roman" w:cs="Times New Roman" w:hint="eastAsia"/>
          <w:sz w:val="24"/>
          <w:szCs w:val="24"/>
        </w:rPr>
      </w:pPr>
      <w:bookmarkStart w:id="0" w:name="_GoBack"/>
      <w:bookmarkEnd w:id="0"/>
    </w:p>
    <w:p w:rsidR="005510B5" w:rsidRPr="00622F86" w:rsidRDefault="005510B5" w:rsidP="005510B5">
      <w:pPr>
        <w:spacing w:after="0" w:line="480" w:lineRule="auto"/>
        <w:rPr>
          <w:rFonts w:ascii="Arial" w:hAnsi="Arial" w:cs="Arial"/>
          <w:b/>
          <w:sz w:val="24"/>
          <w:szCs w:val="24"/>
        </w:rPr>
      </w:pPr>
      <w:r>
        <w:rPr>
          <w:rFonts w:ascii="Arial" w:hAnsi="Arial" w:cs="Arial" w:hint="eastAsia"/>
          <w:b/>
          <w:sz w:val="24"/>
          <w:szCs w:val="24"/>
        </w:rPr>
        <w:t>Address c</w:t>
      </w:r>
      <w:r w:rsidRPr="00622F86">
        <w:rPr>
          <w:rFonts w:ascii="Arial" w:hAnsi="Arial" w:cs="Arial"/>
          <w:b/>
          <w:sz w:val="24"/>
          <w:szCs w:val="24"/>
        </w:rPr>
        <w:t>orrespond</w:t>
      </w:r>
      <w:r>
        <w:rPr>
          <w:rFonts w:ascii="Arial" w:hAnsi="Arial" w:cs="Arial"/>
          <w:b/>
          <w:sz w:val="24"/>
          <w:szCs w:val="24"/>
        </w:rPr>
        <w:t>ence</w:t>
      </w:r>
      <w:r>
        <w:rPr>
          <w:rFonts w:ascii="Arial" w:hAnsi="Arial" w:cs="Arial" w:hint="eastAsia"/>
          <w:b/>
          <w:sz w:val="24"/>
          <w:szCs w:val="24"/>
        </w:rPr>
        <w:t xml:space="preserve"> to:</w:t>
      </w:r>
    </w:p>
    <w:p w:rsidR="005510B5" w:rsidRPr="00622F86" w:rsidRDefault="005510B5" w:rsidP="005510B5">
      <w:pPr>
        <w:spacing w:after="0" w:line="480" w:lineRule="auto"/>
        <w:rPr>
          <w:rFonts w:ascii="Arial" w:hAnsi="Arial" w:cs="Arial"/>
          <w:sz w:val="24"/>
          <w:szCs w:val="24"/>
        </w:rPr>
      </w:pPr>
      <w:r w:rsidRPr="00622F86">
        <w:rPr>
          <w:rFonts w:ascii="Arial" w:hAnsi="Arial" w:cs="Arial"/>
          <w:sz w:val="24"/>
          <w:szCs w:val="24"/>
        </w:rPr>
        <w:t>Xiang S. Ye, PhD</w:t>
      </w:r>
    </w:p>
    <w:p w:rsidR="005510B5" w:rsidRPr="00622F86" w:rsidRDefault="005510B5" w:rsidP="005510B5">
      <w:pPr>
        <w:spacing w:after="0" w:line="480" w:lineRule="auto"/>
        <w:rPr>
          <w:rFonts w:ascii="Arial" w:hAnsi="Arial" w:cs="Arial"/>
          <w:sz w:val="24"/>
          <w:szCs w:val="24"/>
        </w:rPr>
      </w:pPr>
      <w:r w:rsidRPr="00622F86">
        <w:rPr>
          <w:rFonts w:ascii="Arial" w:hAnsi="Arial" w:cs="Arial"/>
          <w:sz w:val="24"/>
          <w:szCs w:val="24"/>
        </w:rPr>
        <w:t xml:space="preserve">Cancer Research, Lilly Research Laboratory, </w:t>
      </w:r>
    </w:p>
    <w:p w:rsidR="005510B5" w:rsidRPr="00622F86" w:rsidRDefault="005510B5" w:rsidP="005510B5">
      <w:pPr>
        <w:autoSpaceDE w:val="0"/>
        <w:autoSpaceDN w:val="0"/>
        <w:adjustRightInd w:val="0"/>
        <w:spacing w:after="0" w:line="480" w:lineRule="auto"/>
        <w:rPr>
          <w:rFonts w:ascii="Arial" w:hAnsi="Arial" w:cs="Arial"/>
          <w:sz w:val="24"/>
          <w:szCs w:val="24"/>
        </w:rPr>
      </w:pPr>
      <w:r w:rsidRPr="00622F86">
        <w:rPr>
          <w:rFonts w:ascii="Arial" w:hAnsi="Arial" w:cs="Arial"/>
          <w:sz w:val="24"/>
          <w:szCs w:val="24"/>
        </w:rPr>
        <w:t>Lilly Corporate Center, Eli Lilly and Company, Indianapolis, IN 46285, USA</w:t>
      </w:r>
    </w:p>
    <w:p w:rsidR="005510B5" w:rsidRPr="00622F86" w:rsidRDefault="005510B5" w:rsidP="005510B5">
      <w:pPr>
        <w:autoSpaceDE w:val="0"/>
        <w:autoSpaceDN w:val="0"/>
        <w:adjustRightInd w:val="0"/>
        <w:spacing w:after="0" w:line="480" w:lineRule="auto"/>
        <w:rPr>
          <w:rFonts w:ascii="Arial" w:hAnsi="Arial" w:cs="Arial"/>
          <w:sz w:val="24"/>
          <w:szCs w:val="24"/>
        </w:rPr>
      </w:pPr>
      <w:r w:rsidRPr="00622F86">
        <w:rPr>
          <w:rFonts w:ascii="Arial" w:hAnsi="Arial" w:cs="Arial"/>
          <w:sz w:val="24"/>
          <w:szCs w:val="24"/>
        </w:rPr>
        <w:t>Phone: 1-317-277-1467; Fax:</w:t>
      </w:r>
      <w:r>
        <w:rPr>
          <w:rFonts w:ascii="Arial" w:hAnsi="Arial" w:cs="Arial"/>
          <w:sz w:val="24"/>
          <w:szCs w:val="24"/>
        </w:rPr>
        <w:t xml:space="preserve"> </w:t>
      </w:r>
      <w:r w:rsidRPr="00622F86">
        <w:rPr>
          <w:rFonts w:ascii="Arial" w:hAnsi="Arial" w:cs="Arial"/>
          <w:sz w:val="24"/>
          <w:szCs w:val="24"/>
        </w:rPr>
        <w:t>1-317-277-3652</w:t>
      </w:r>
    </w:p>
    <w:p w:rsidR="005510B5" w:rsidRPr="00A15620" w:rsidRDefault="005510B5" w:rsidP="005510B5">
      <w:pPr>
        <w:spacing w:after="0" w:line="480" w:lineRule="auto"/>
        <w:rPr>
          <w:rFonts w:ascii="Arial" w:hAnsi="Arial" w:cs="Arial"/>
        </w:rPr>
      </w:pPr>
      <w:r w:rsidRPr="00622F86">
        <w:rPr>
          <w:rFonts w:ascii="Arial" w:hAnsi="Arial" w:cs="Arial"/>
          <w:sz w:val="24"/>
          <w:szCs w:val="24"/>
        </w:rPr>
        <w:t xml:space="preserve">Email: </w:t>
      </w:r>
      <w:hyperlink r:id="rId6" w:history="1">
        <w:r w:rsidRPr="00A15620">
          <w:rPr>
            <w:rStyle w:val="Hyperlink"/>
            <w:rFonts w:ascii="Arial" w:hAnsi="Arial" w:cs="Arial"/>
            <w:sz w:val="24"/>
            <w:szCs w:val="24"/>
          </w:rPr>
          <w:t>Ye_Xiang_S@lilly.com</w:t>
        </w:r>
      </w:hyperlink>
    </w:p>
    <w:p w:rsidR="005510B5" w:rsidRDefault="005510B5" w:rsidP="005510B5">
      <w:pPr>
        <w:spacing w:after="0" w:line="480" w:lineRule="auto"/>
        <w:rPr>
          <w:rFonts w:ascii="Times New Roman" w:hAnsi="Times New Roman" w:cs="Times New Roman" w:hint="eastAsia"/>
          <w:sz w:val="24"/>
          <w:szCs w:val="24"/>
        </w:rPr>
      </w:pPr>
    </w:p>
    <w:p w:rsidR="005510B5" w:rsidRDefault="005510B5" w:rsidP="005510B5">
      <w:pPr>
        <w:spacing w:after="0" w:line="480" w:lineRule="auto"/>
        <w:rPr>
          <w:rFonts w:ascii="Times New Roman" w:hAnsi="Times New Roman" w:cs="Times New Roman" w:hint="eastAsia"/>
          <w:sz w:val="24"/>
          <w:szCs w:val="24"/>
        </w:rPr>
      </w:pPr>
    </w:p>
    <w:p w:rsidR="005510B5" w:rsidRDefault="005510B5" w:rsidP="005510B5">
      <w:pPr>
        <w:spacing w:after="0" w:line="480" w:lineRule="auto"/>
        <w:rPr>
          <w:rFonts w:ascii="Times New Roman" w:hAnsi="Times New Roman" w:cs="Times New Roman" w:hint="eastAsia"/>
          <w:sz w:val="24"/>
          <w:szCs w:val="24"/>
        </w:rPr>
      </w:pPr>
    </w:p>
    <w:p w:rsidR="005510B5" w:rsidRDefault="005510B5" w:rsidP="005510B5">
      <w:pPr>
        <w:spacing w:after="0" w:line="480" w:lineRule="auto"/>
        <w:rPr>
          <w:rFonts w:ascii="Times New Roman" w:hAnsi="Times New Roman" w:cs="Times New Roman" w:hint="eastAsia"/>
          <w:sz w:val="24"/>
          <w:szCs w:val="24"/>
        </w:rPr>
      </w:pPr>
      <w:r>
        <w:rPr>
          <w:rFonts w:ascii="Times New Roman" w:hAnsi="Times New Roman" w:cs="Times New Roman" w:hint="eastAsia"/>
          <w:sz w:val="24"/>
          <w:szCs w:val="24"/>
        </w:rPr>
        <w:t>Supplementary Figures and Legends 1-5</w:t>
      </w:r>
    </w:p>
    <w:p w:rsidR="005510B5" w:rsidRPr="005510B5" w:rsidRDefault="005510B5" w:rsidP="005510B5">
      <w:pPr>
        <w:spacing w:after="0" w:line="480" w:lineRule="auto"/>
        <w:rPr>
          <w:rFonts w:ascii="Arial" w:hAnsi="Arial" w:cs="Arial"/>
          <w:b/>
          <w:bCs/>
          <w:sz w:val="24"/>
          <w:szCs w:val="24"/>
        </w:rPr>
      </w:pPr>
      <w:r>
        <w:rPr>
          <w:rFonts w:ascii="Times New Roman" w:hAnsi="Times New Roman" w:cs="Times New Roman" w:hint="eastAsia"/>
          <w:sz w:val="24"/>
          <w:szCs w:val="24"/>
        </w:rPr>
        <w:t>Supplementary Tables 1-2</w:t>
      </w:r>
      <w:r>
        <w:rPr>
          <w:rFonts w:ascii="Times New Roman" w:hAnsi="Times New Roman" w:cs="Times New Roman"/>
          <w:sz w:val="24"/>
          <w:szCs w:val="24"/>
        </w:rPr>
        <w:br w:type="page"/>
      </w:r>
    </w:p>
    <w:p w:rsidR="00B37C34" w:rsidRPr="00930FCC" w:rsidRDefault="00B37C34">
      <w:pPr>
        <w:rPr>
          <w:rFonts w:ascii="Times New Roman" w:hAnsi="Times New Roman" w:cs="Times New Roman"/>
          <w:sz w:val="24"/>
          <w:szCs w:val="24"/>
        </w:rPr>
      </w:pPr>
    </w:p>
    <w:p w:rsidR="002C4802" w:rsidRPr="002C4802" w:rsidRDefault="002C4802" w:rsidP="00B37C34">
      <w:pPr>
        <w:rPr>
          <w:rFonts w:ascii="Times New Roman" w:hAnsi="Times New Roman" w:cs="Times New Roman"/>
          <w:sz w:val="24"/>
          <w:szCs w:val="24"/>
        </w:rPr>
      </w:pPr>
      <w:r>
        <w:rPr>
          <w:rFonts w:ascii="Times New Roman" w:hAnsi="Times New Roman" w:cs="Times New Roman" w:hint="eastAsia"/>
          <w:b/>
          <w:i/>
          <w:sz w:val="24"/>
          <w:szCs w:val="24"/>
        </w:rPr>
        <w:t>Supplementary Figure 1:</w:t>
      </w:r>
      <w:r>
        <w:rPr>
          <w:rFonts w:ascii="Times New Roman" w:hAnsi="Times New Roman" w:cs="Times New Roman" w:hint="eastAsia"/>
          <w:sz w:val="24"/>
          <w:szCs w:val="24"/>
        </w:rPr>
        <w:t xml:space="preserve"> A) Inhibition of microtubule-stimu</w:t>
      </w:r>
      <w:r w:rsidR="00C936E9">
        <w:rPr>
          <w:rFonts w:ascii="Times New Roman" w:hAnsi="Times New Roman" w:cs="Times New Roman" w:hint="eastAsia"/>
          <w:sz w:val="24"/>
          <w:szCs w:val="24"/>
        </w:rPr>
        <w:t>l</w:t>
      </w:r>
      <w:r>
        <w:rPr>
          <w:rFonts w:ascii="Times New Roman" w:hAnsi="Times New Roman" w:cs="Times New Roman" w:hint="eastAsia"/>
          <w:sz w:val="24"/>
          <w:szCs w:val="24"/>
        </w:rPr>
        <w:t>ated Eg5 ATPase activity by LY2523355; B) The microtubule-stimu</w:t>
      </w:r>
      <w:r w:rsidR="00C936E9">
        <w:rPr>
          <w:rFonts w:ascii="Times New Roman" w:hAnsi="Times New Roman" w:cs="Times New Roman" w:hint="eastAsia"/>
          <w:sz w:val="24"/>
          <w:szCs w:val="24"/>
        </w:rPr>
        <w:t>l</w:t>
      </w:r>
      <w:r>
        <w:rPr>
          <w:rFonts w:ascii="Times New Roman" w:hAnsi="Times New Roman" w:cs="Times New Roman" w:hint="eastAsia"/>
          <w:sz w:val="24"/>
          <w:szCs w:val="24"/>
        </w:rPr>
        <w:t xml:space="preserve">ated ATPase activity of recombinant Eg5, KHC, CENPE and MKLP1 motor domains in the presence of 200 </w:t>
      </w:r>
      <w:r w:rsidRPr="002C4802">
        <w:rPr>
          <w:rFonts w:ascii="Symbol" w:hAnsi="Symbol" w:cs="Times New Roman"/>
          <w:sz w:val="24"/>
          <w:szCs w:val="24"/>
        </w:rPr>
        <w:t></w:t>
      </w:r>
      <w:r>
        <w:rPr>
          <w:rFonts w:ascii="Times New Roman" w:hAnsi="Times New Roman" w:cs="Times New Roman" w:hint="eastAsia"/>
          <w:sz w:val="24"/>
          <w:szCs w:val="24"/>
        </w:rPr>
        <w:t xml:space="preserve">M LY2523355; C) </w:t>
      </w:r>
      <w:r>
        <w:rPr>
          <w:rFonts w:ascii="Times New Roman" w:hAnsi="Times New Roman" w:cs="Times New Roman"/>
          <w:sz w:val="24"/>
          <w:szCs w:val="24"/>
        </w:rPr>
        <w:t>comparison</w:t>
      </w:r>
      <w:r>
        <w:rPr>
          <w:rFonts w:ascii="Times New Roman" w:hAnsi="Times New Roman" w:cs="Times New Roman" w:hint="eastAsia"/>
          <w:sz w:val="24"/>
          <w:szCs w:val="24"/>
        </w:rPr>
        <w:t xml:space="preserve"> of effects of LY2523355 with microtubule poisons vincristine and paclitaxel on microtubule polymerization in the presence (left panel) or absence (right panel) of GTP. </w:t>
      </w:r>
      <w:r w:rsidR="004433E7">
        <w:rPr>
          <w:rFonts w:ascii="Times New Roman" w:hAnsi="Times New Roman" w:cs="Times New Roman" w:hint="eastAsia"/>
          <w:sz w:val="24"/>
          <w:szCs w:val="24"/>
        </w:rPr>
        <w:t>The measures were repeated 3 times and were done as described previously (33).</w:t>
      </w:r>
    </w:p>
    <w:p w:rsidR="00B37C34" w:rsidRPr="00930FCC" w:rsidRDefault="002C4802" w:rsidP="00B37C34">
      <w:pPr>
        <w:rPr>
          <w:rFonts w:ascii="Times New Roman" w:hAnsi="Times New Roman" w:cs="Times New Roman"/>
          <w:sz w:val="24"/>
          <w:szCs w:val="24"/>
        </w:rPr>
      </w:pPr>
      <w:r>
        <w:rPr>
          <w:rFonts w:ascii="Times New Roman" w:hAnsi="Times New Roman" w:cs="Times New Roman"/>
          <w:b/>
          <w:i/>
          <w:sz w:val="24"/>
          <w:szCs w:val="24"/>
        </w:rPr>
        <w:t xml:space="preserve">Supplementary Figure </w:t>
      </w:r>
      <w:r>
        <w:rPr>
          <w:rFonts w:ascii="Times New Roman" w:hAnsi="Times New Roman" w:cs="Times New Roman" w:hint="eastAsia"/>
          <w:b/>
          <w:i/>
          <w:sz w:val="24"/>
          <w:szCs w:val="24"/>
        </w:rPr>
        <w:t>2</w:t>
      </w:r>
      <w:r w:rsidR="00B37C34" w:rsidRPr="00930FCC">
        <w:rPr>
          <w:rFonts w:ascii="Times New Roman" w:hAnsi="Times New Roman" w:cs="Times New Roman"/>
          <w:b/>
          <w:i/>
          <w:sz w:val="24"/>
          <w:szCs w:val="24"/>
        </w:rPr>
        <w:t>:</w:t>
      </w:r>
      <w:r w:rsidR="00B37C34" w:rsidRPr="00930FCC">
        <w:rPr>
          <w:rFonts w:ascii="Times New Roman" w:hAnsi="Times New Roman" w:cs="Times New Roman"/>
          <w:sz w:val="24"/>
          <w:szCs w:val="24"/>
        </w:rPr>
        <w:t xml:space="preserve"> A) HCT116 cells were treated with LY2523355 and analyzed by flow cytometry after </w:t>
      </w:r>
      <w:proofErr w:type="spellStart"/>
      <w:r w:rsidR="00B37C34" w:rsidRPr="00930FCC">
        <w:rPr>
          <w:rFonts w:ascii="Times New Roman" w:hAnsi="Times New Roman" w:cs="Times New Roman"/>
          <w:sz w:val="24"/>
          <w:szCs w:val="24"/>
        </w:rPr>
        <w:t>propidium</w:t>
      </w:r>
      <w:proofErr w:type="spellEnd"/>
      <w:r w:rsidR="00B37C34" w:rsidRPr="00930FCC">
        <w:rPr>
          <w:rFonts w:ascii="Times New Roman" w:hAnsi="Times New Roman" w:cs="Times New Roman"/>
          <w:sz w:val="24"/>
          <w:szCs w:val="24"/>
        </w:rPr>
        <w:t xml:space="preserve"> iodide staining at 18 h and 48 h; </w:t>
      </w:r>
      <w:r w:rsidR="004433E7">
        <w:rPr>
          <w:rFonts w:ascii="Times New Roman" w:hAnsi="Times New Roman" w:cs="Times New Roman" w:hint="eastAsia"/>
          <w:sz w:val="24"/>
          <w:szCs w:val="24"/>
        </w:rPr>
        <w:t xml:space="preserve">B) </w:t>
      </w:r>
      <w:r w:rsidR="00942B9B">
        <w:rPr>
          <w:rFonts w:ascii="Times New Roman" w:hAnsi="Times New Roman" w:cs="Times New Roman" w:hint="eastAsia"/>
          <w:sz w:val="24"/>
          <w:szCs w:val="24"/>
        </w:rPr>
        <w:t xml:space="preserve">similar </w:t>
      </w:r>
      <w:r w:rsidR="004433E7">
        <w:rPr>
          <w:rFonts w:ascii="Times New Roman" w:hAnsi="Times New Roman" w:cs="Times New Roman" w:hint="eastAsia"/>
          <w:sz w:val="24"/>
          <w:szCs w:val="24"/>
        </w:rPr>
        <w:t xml:space="preserve">mitotic </w:t>
      </w:r>
      <w:r w:rsidR="00942B9B">
        <w:rPr>
          <w:rFonts w:ascii="Times New Roman" w:hAnsi="Times New Roman" w:cs="Times New Roman" w:hint="eastAsia"/>
          <w:sz w:val="24"/>
          <w:szCs w:val="24"/>
        </w:rPr>
        <w:t>phenotype</w:t>
      </w:r>
      <w:r w:rsidR="004433E7">
        <w:rPr>
          <w:rFonts w:ascii="Times New Roman" w:hAnsi="Times New Roman" w:cs="Times New Roman" w:hint="eastAsia"/>
          <w:sz w:val="24"/>
          <w:szCs w:val="24"/>
        </w:rPr>
        <w:t xml:space="preserve"> of normal,</w:t>
      </w:r>
      <w:r w:rsidR="00942B9B">
        <w:rPr>
          <w:rFonts w:ascii="Times New Roman" w:hAnsi="Times New Roman" w:cs="Times New Roman" w:hint="eastAsia"/>
          <w:sz w:val="24"/>
          <w:szCs w:val="24"/>
        </w:rPr>
        <w:t xml:space="preserve"> non-transformed human cells (</w:t>
      </w:r>
      <w:r w:rsidR="004433E7">
        <w:rPr>
          <w:rFonts w:ascii="Times New Roman" w:hAnsi="Times New Roman" w:cs="Times New Roman" w:hint="eastAsia"/>
          <w:sz w:val="24"/>
          <w:szCs w:val="24"/>
        </w:rPr>
        <w:t>HUVEC</w:t>
      </w:r>
      <w:r w:rsidR="00942B9B">
        <w:rPr>
          <w:rFonts w:ascii="Times New Roman" w:hAnsi="Times New Roman" w:cs="Times New Roman" w:hint="eastAsia"/>
          <w:sz w:val="24"/>
          <w:szCs w:val="24"/>
        </w:rPr>
        <w:t>)</w:t>
      </w:r>
      <w:r w:rsidR="004433E7">
        <w:rPr>
          <w:rFonts w:ascii="Times New Roman" w:hAnsi="Times New Roman" w:cs="Times New Roman" w:hint="eastAsia"/>
          <w:sz w:val="24"/>
          <w:szCs w:val="24"/>
        </w:rPr>
        <w:t xml:space="preserve"> and </w:t>
      </w:r>
      <w:r w:rsidR="00942B9B">
        <w:rPr>
          <w:rFonts w:ascii="Times New Roman" w:hAnsi="Times New Roman" w:cs="Times New Roman" w:hint="eastAsia"/>
          <w:sz w:val="24"/>
          <w:szCs w:val="24"/>
        </w:rPr>
        <w:t>human cancer cells</w:t>
      </w:r>
      <w:r w:rsidR="004433E7">
        <w:rPr>
          <w:rFonts w:ascii="Times New Roman" w:hAnsi="Times New Roman" w:cs="Times New Roman" w:hint="eastAsia"/>
          <w:sz w:val="24"/>
          <w:szCs w:val="24"/>
        </w:rPr>
        <w:t xml:space="preserve"> </w:t>
      </w:r>
      <w:r w:rsidR="00942B9B">
        <w:rPr>
          <w:rFonts w:ascii="Times New Roman" w:hAnsi="Times New Roman" w:cs="Times New Roman" w:hint="eastAsia"/>
          <w:sz w:val="24"/>
          <w:szCs w:val="24"/>
        </w:rPr>
        <w:t>(</w:t>
      </w:r>
      <w:r w:rsidR="004433E7">
        <w:rPr>
          <w:rFonts w:ascii="Times New Roman" w:hAnsi="Times New Roman" w:cs="Times New Roman" w:hint="eastAsia"/>
          <w:sz w:val="24"/>
          <w:szCs w:val="24"/>
        </w:rPr>
        <w:t>HeLa</w:t>
      </w:r>
      <w:r w:rsidR="00942B9B">
        <w:rPr>
          <w:rFonts w:ascii="Times New Roman" w:hAnsi="Times New Roman" w:cs="Times New Roman" w:hint="eastAsia"/>
          <w:sz w:val="24"/>
          <w:szCs w:val="24"/>
        </w:rPr>
        <w:t>)</w:t>
      </w:r>
      <w:r w:rsidR="004433E7">
        <w:rPr>
          <w:rFonts w:ascii="Times New Roman" w:hAnsi="Times New Roman" w:cs="Times New Roman" w:hint="eastAsia"/>
          <w:sz w:val="24"/>
          <w:szCs w:val="24"/>
        </w:rPr>
        <w:t xml:space="preserve"> in the presences of 25 </w:t>
      </w:r>
      <w:proofErr w:type="spellStart"/>
      <w:r w:rsidR="004433E7">
        <w:rPr>
          <w:rFonts w:ascii="Times New Roman" w:hAnsi="Times New Roman" w:cs="Times New Roman" w:hint="eastAsia"/>
          <w:sz w:val="24"/>
          <w:szCs w:val="24"/>
        </w:rPr>
        <w:t>nM</w:t>
      </w:r>
      <w:proofErr w:type="spellEnd"/>
      <w:r w:rsidR="004433E7">
        <w:rPr>
          <w:rFonts w:ascii="Times New Roman" w:hAnsi="Times New Roman" w:cs="Times New Roman" w:hint="eastAsia"/>
          <w:sz w:val="24"/>
          <w:szCs w:val="24"/>
        </w:rPr>
        <w:t xml:space="preserve"> LY2523355 for 20 hours. Cells were stained for tubulin (green), </w:t>
      </w:r>
      <w:proofErr w:type="spellStart"/>
      <w:r w:rsidR="004433E7">
        <w:rPr>
          <w:rFonts w:ascii="Times New Roman" w:hAnsi="Times New Roman" w:cs="Times New Roman" w:hint="eastAsia"/>
          <w:sz w:val="24"/>
          <w:szCs w:val="24"/>
        </w:rPr>
        <w:t>peri</w:t>
      </w:r>
      <w:r w:rsidR="00942B9B">
        <w:rPr>
          <w:rFonts w:ascii="Times New Roman" w:hAnsi="Times New Roman" w:cs="Times New Roman" w:hint="eastAsia"/>
          <w:sz w:val="24"/>
          <w:szCs w:val="24"/>
        </w:rPr>
        <w:t>centrin</w:t>
      </w:r>
      <w:proofErr w:type="spellEnd"/>
      <w:r w:rsidR="00942B9B">
        <w:rPr>
          <w:rFonts w:ascii="Times New Roman" w:hAnsi="Times New Roman" w:cs="Times New Roman" w:hint="eastAsia"/>
          <w:sz w:val="24"/>
          <w:szCs w:val="24"/>
        </w:rPr>
        <w:t xml:space="preserve"> (red) and DNA (blue)</w:t>
      </w:r>
      <w:r w:rsidR="004433E7">
        <w:rPr>
          <w:rFonts w:ascii="Times New Roman" w:hAnsi="Times New Roman" w:cs="Times New Roman" w:hint="eastAsia"/>
          <w:sz w:val="24"/>
          <w:szCs w:val="24"/>
        </w:rPr>
        <w:t xml:space="preserve">; </w:t>
      </w:r>
      <w:r w:rsidR="004433E7" w:rsidRPr="00930FCC">
        <w:rPr>
          <w:rFonts w:ascii="Times New Roman" w:hAnsi="Times New Roman" w:cs="Times New Roman"/>
          <w:sz w:val="24"/>
          <w:szCs w:val="24"/>
        </w:rPr>
        <w:t xml:space="preserve">C) mitotic phenotype of </w:t>
      </w:r>
      <w:proofErr w:type="spellStart"/>
      <w:r w:rsidR="004433E7" w:rsidRPr="00930FCC">
        <w:rPr>
          <w:rFonts w:ascii="Times New Roman" w:hAnsi="Times New Roman" w:cs="Times New Roman"/>
          <w:sz w:val="24"/>
          <w:szCs w:val="24"/>
        </w:rPr>
        <w:t>monopolar</w:t>
      </w:r>
      <w:proofErr w:type="spellEnd"/>
      <w:r w:rsidR="004433E7" w:rsidRPr="00930FCC">
        <w:rPr>
          <w:rFonts w:ascii="Times New Roman" w:hAnsi="Times New Roman" w:cs="Times New Roman"/>
          <w:sz w:val="24"/>
          <w:szCs w:val="24"/>
        </w:rPr>
        <w:t xml:space="preserve"> spindle of HeLa cells treated with 25nM LY2523355 for 20 hours. Cells were stained for Eg5 (green), </w:t>
      </w:r>
      <w:proofErr w:type="spellStart"/>
      <w:r w:rsidR="004433E7" w:rsidRPr="00930FCC">
        <w:rPr>
          <w:rFonts w:ascii="Times New Roman" w:hAnsi="Times New Roman" w:cs="Times New Roman"/>
          <w:sz w:val="24"/>
          <w:szCs w:val="24"/>
        </w:rPr>
        <w:t>pericentrin</w:t>
      </w:r>
      <w:proofErr w:type="spellEnd"/>
      <w:r w:rsidR="004433E7" w:rsidRPr="00930FCC">
        <w:rPr>
          <w:rFonts w:ascii="Times New Roman" w:hAnsi="Times New Roman" w:cs="Times New Roman"/>
          <w:sz w:val="24"/>
          <w:szCs w:val="24"/>
        </w:rPr>
        <w:t xml:space="preserve"> (red) and DNA (blue). Please note that Eg5 is normally localized to the mitotic spindle in mitotic cells and that LY2523355 inhibited Eg5 localization to the mitotic spindle, indicating that Eg5 function is required for its localization to the mitotic spindle; </w:t>
      </w:r>
      <w:r w:rsidR="004433E7">
        <w:rPr>
          <w:rFonts w:ascii="Times New Roman" w:hAnsi="Times New Roman" w:cs="Times New Roman" w:hint="eastAsia"/>
          <w:sz w:val="24"/>
          <w:szCs w:val="24"/>
        </w:rPr>
        <w:t>D</w:t>
      </w:r>
      <w:r w:rsidR="00B37C34" w:rsidRPr="00930FCC">
        <w:rPr>
          <w:rFonts w:ascii="Times New Roman" w:hAnsi="Times New Roman" w:cs="Times New Roman"/>
          <w:sz w:val="24"/>
          <w:szCs w:val="24"/>
        </w:rPr>
        <w:t xml:space="preserve">) Real-time quantitative growth measurement of HeLa cells in the presence of various concentrations of LY2523355. Cell growth was measured continuously in an </w:t>
      </w:r>
      <w:proofErr w:type="spellStart"/>
      <w:r w:rsidR="00B37C34" w:rsidRPr="00930FCC">
        <w:rPr>
          <w:rFonts w:ascii="Times New Roman" w:hAnsi="Times New Roman" w:cs="Times New Roman"/>
          <w:sz w:val="24"/>
          <w:szCs w:val="24"/>
        </w:rPr>
        <w:t>Incucyte</w:t>
      </w:r>
      <w:proofErr w:type="spellEnd"/>
      <w:r w:rsidR="00B37C34" w:rsidRPr="00930FCC">
        <w:rPr>
          <w:rFonts w:ascii="Times New Roman" w:hAnsi="Times New Roman" w:cs="Times New Roman"/>
          <w:sz w:val="24"/>
          <w:szCs w:val="24"/>
        </w:rPr>
        <w:t xml:space="preserve"> instrument</w:t>
      </w:r>
      <w:r w:rsidR="00A55390">
        <w:rPr>
          <w:rFonts w:ascii="Times New Roman" w:hAnsi="Times New Roman" w:cs="Times New Roman" w:hint="eastAsia"/>
          <w:sz w:val="24"/>
          <w:szCs w:val="24"/>
        </w:rPr>
        <w:t xml:space="preserve">. The lower panel of micrographs show the inhibition of HeLa cell </w:t>
      </w:r>
      <w:r w:rsidR="00A55390">
        <w:rPr>
          <w:rFonts w:ascii="Times New Roman" w:hAnsi="Times New Roman" w:cs="Times New Roman"/>
          <w:sz w:val="24"/>
          <w:szCs w:val="24"/>
        </w:rPr>
        <w:t>growth</w:t>
      </w:r>
      <w:r w:rsidR="00A55390">
        <w:rPr>
          <w:rFonts w:ascii="Times New Roman" w:hAnsi="Times New Roman" w:cs="Times New Roman" w:hint="eastAsia"/>
          <w:sz w:val="24"/>
          <w:szCs w:val="24"/>
        </w:rPr>
        <w:t xml:space="preserve"> in various concentrations of LY2523355</w:t>
      </w:r>
      <w:r w:rsidR="00B37C34" w:rsidRPr="00930FCC">
        <w:rPr>
          <w:rFonts w:ascii="Times New Roman" w:hAnsi="Times New Roman" w:cs="Times New Roman"/>
          <w:sz w:val="24"/>
          <w:szCs w:val="24"/>
        </w:rPr>
        <w:t xml:space="preserve">; </w:t>
      </w:r>
      <w:r w:rsidR="004433E7">
        <w:rPr>
          <w:rFonts w:ascii="Times New Roman" w:hAnsi="Times New Roman" w:cs="Times New Roman" w:hint="eastAsia"/>
          <w:sz w:val="24"/>
          <w:szCs w:val="24"/>
        </w:rPr>
        <w:t>E</w:t>
      </w:r>
      <w:r w:rsidR="00B37C34" w:rsidRPr="00930FCC">
        <w:rPr>
          <w:rFonts w:ascii="Times New Roman" w:hAnsi="Times New Roman" w:cs="Times New Roman"/>
          <w:sz w:val="24"/>
          <w:szCs w:val="24"/>
        </w:rPr>
        <w:t>) Apoptotic index of HCT116 cells treated with LY2523355 at various time points. Apoptotic markers were measured and quantified at various times after LY2523355 addition by Acumen</w:t>
      </w:r>
      <w:r w:rsidR="005B7DF7" w:rsidRPr="00930FCC">
        <w:rPr>
          <w:rFonts w:ascii="Times New Roman" w:hAnsi="Times New Roman" w:cs="Times New Roman"/>
          <w:sz w:val="24"/>
          <w:szCs w:val="24"/>
        </w:rPr>
        <w:t>.</w:t>
      </w:r>
    </w:p>
    <w:p w:rsidR="00B37C34" w:rsidRPr="00930FCC" w:rsidRDefault="00B37C34" w:rsidP="00B37C34">
      <w:pPr>
        <w:rPr>
          <w:rFonts w:ascii="Times New Roman" w:hAnsi="Times New Roman" w:cs="Times New Roman"/>
          <w:sz w:val="24"/>
          <w:szCs w:val="24"/>
        </w:rPr>
      </w:pPr>
      <w:r w:rsidRPr="00930FCC">
        <w:rPr>
          <w:rFonts w:ascii="Times New Roman" w:hAnsi="Times New Roman" w:cs="Times New Roman"/>
          <w:b/>
          <w:i/>
          <w:sz w:val="24"/>
          <w:szCs w:val="24"/>
        </w:rPr>
        <w:t xml:space="preserve">Supplementary Figure </w:t>
      </w:r>
      <w:r w:rsidR="00E27AA2">
        <w:rPr>
          <w:rFonts w:ascii="Times New Roman" w:hAnsi="Times New Roman" w:cs="Times New Roman" w:hint="eastAsia"/>
          <w:b/>
          <w:i/>
          <w:sz w:val="24"/>
          <w:szCs w:val="24"/>
        </w:rPr>
        <w:t>3</w:t>
      </w:r>
      <w:r w:rsidRPr="00930FCC">
        <w:rPr>
          <w:rFonts w:ascii="Times New Roman" w:hAnsi="Times New Roman" w:cs="Times New Roman"/>
          <w:sz w:val="24"/>
          <w:szCs w:val="24"/>
        </w:rPr>
        <w:t xml:space="preserve">: A) </w:t>
      </w:r>
      <w:proofErr w:type="spellStart"/>
      <w:r w:rsidRPr="00930FCC">
        <w:rPr>
          <w:rFonts w:ascii="Times New Roman" w:hAnsi="Times New Roman" w:cs="Times New Roman"/>
          <w:sz w:val="24"/>
          <w:szCs w:val="24"/>
        </w:rPr>
        <w:t>Immunofluorescent</w:t>
      </w:r>
      <w:proofErr w:type="spellEnd"/>
      <w:r w:rsidRPr="00930FCC">
        <w:rPr>
          <w:rFonts w:ascii="Times New Roman" w:hAnsi="Times New Roman" w:cs="Times New Roman"/>
          <w:sz w:val="24"/>
          <w:szCs w:val="24"/>
        </w:rPr>
        <w:t xml:space="preserve"> microscopy of mitotic cells. </w:t>
      </w:r>
      <w:proofErr w:type="spellStart"/>
      <w:r w:rsidRPr="00930FCC">
        <w:rPr>
          <w:rFonts w:ascii="Times New Roman" w:hAnsi="Times New Roman" w:cs="Times New Roman"/>
          <w:sz w:val="24"/>
          <w:szCs w:val="24"/>
        </w:rPr>
        <w:t>Phospho</w:t>
      </w:r>
      <w:proofErr w:type="spellEnd"/>
      <w:r w:rsidRPr="00930FCC">
        <w:rPr>
          <w:rFonts w:ascii="Times New Roman" w:hAnsi="Times New Roman" w:cs="Times New Roman"/>
          <w:sz w:val="24"/>
          <w:szCs w:val="24"/>
        </w:rPr>
        <w:t xml:space="preserve">-histone H2AX </w:t>
      </w:r>
      <w:proofErr w:type="spellStart"/>
      <w:r w:rsidRPr="00930FCC">
        <w:rPr>
          <w:rFonts w:ascii="Times New Roman" w:hAnsi="Times New Roman" w:cs="Times New Roman"/>
          <w:sz w:val="24"/>
          <w:szCs w:val="24"/>
        </w:rPr>
        <w:t>colocalized</w:t>
      </w:r>
      <w:proofErr w:type="spellEnd"/>
      <w:r w:rsidRPr="00930FCC">
        <w:rPr>
          <w:rFonts w:ascii="Times New Roman" w:hAnsi="Times New Roman" w:cs="Times New Roman"/>
          <w:sz w:val="24"/>
          <w:szCs w:val="24"/>
        </w:rPr>
        <w:t xml:space="preserve"> with condensed DNA in cells arrested at mitosis by LY253355; B) Knock-down of SAC protein Mad2 with a specific siRNA w</w:t>
      </w:r>
      <w:r w:rsidR="00E27AA2">
        <w:rPr>
          <w:rFonts w:ascii="Times New Roman" w:hAnsi="Times New Roman" w:cs="Times New Roman"/>
          <w:sz w:val="24"/>
          <w:szCs w:val="24"/>
        </w:rPr>
        <w:t>as confirmed by immunoblotting</w:t>
      </w:r>
      <w:r w:rsidR="00E27AA2">
        <w:rPr>
          <w:rFonts w:ascii="Times New Roman" w:hAnsi="Times New Roman" w:cs="Times New Roman" w:hint="eastAsia"/>
          <w:sz w:val="24"/>
          <w:szCs w:val="24"/>
        </w:rPr>
        <w:t>.</w:t>
      </w:r>
      <w:r w:rsidR="005915A1">
        <w:rPr>
          <w:rFonts w:ascii="Times New Roman" w:hAnsi="Times New Roman" w:cs="Times New Roman" w:hint="eastAsia"/>
          <w:sz w:val="24"/>
          <w:szCs w:val="24"/>
        </w:rPr>
        <w:t xml:space="preserve"> </w:t>
      </w:r>
      <w:r w:rsidRPr="00930FCC">
        <w:rPr>
          <w:rFonts w:ascii="Times New Roman" w:hAnsi="Times New Roman" w:cs="Times New Roman"/>
          <w:sz w:val="24"/>
          <w:szCs w:val="24"/>
        </w:rPr>
        <w:t>C) Mitotic index of HeLa cells determined by Acumen based on histone H3 phosphorylation 24 h after treatment with LY2523355 in the presence or absence of Mad2 siRNA; D) Caspase 3/7 activity measured 48 h after treatment with LY2523355 in the presence or absence of Mad2 siRNA.</w:t>
      </w:r>
    </w:p>
    <w:p w:rsidR="00F61594" w:rsidRDefault="00B37C34" w:rsidP="00CA254B">
      <w:pPr>
        <w:spacing w:after="0" w:line="240" w:lineRule="auto"/>
        <w:rPr>
          <w:rFonts w:ascii="Times New Roman" w:hAnsi="Times New Roman" w:cs="Times New Roman"/>
          <w:sz w:val="24"/>
          <w:szCs w:val="24"/>
        </w:rPr>
      </w:pPr>
      <w:r w:rsidRPr="00930FCC">
        <w:rPr>
          <w:rFonts w:ascii="Times New Roman" w:hAnsi="Times New Roman" w:cs="Times New Roman"/>
          <w:b/>
          <w:i/>
          <w:sz w:val="24"/>
          <w:szCs w:val="24"/>
        </w:rPr>
        <w:t xml:space="preserve">Supplementary Figure </w:t>
      </w:r>
      <w:r w:rsidR="00333368">
        <w:rPr>
          <w:rFonts w:ascii="Times New Roman" w:hAnsi="Times New Roman" w:cs="Times New Roman" w:hint="eastAsia"/>
          <w:b/>
          <w:i/>
          <w:sz w:val="24"/>
          <w:szCs w:val="24"/>
        </w:rPr>
        <w:t>4</w:t>
      </w:r>
      <w:r w:rsidRPr="00930FCC">
        <w:rPr>
          <w:rFonts w:ascii="Times New Roman" w:hAnsi="Times New Roman" w:cs="Times New Roman"/>
          <w:sz w:val="24"/>
          <w:szCs w:val="24"/>
        </w:rPr>
        <w:t xml:space="preserve">: </w:t>
      </w:r>
      <w:r w:rsidR="00410D6B">
        <w:rPr>
          <w:rFonts w:ascii="Times New Roman" w:hAnsi="Times New Roman" w:cs="Times New Roman" w:hint="eastAsia"/>
          <w:sz w:val="24"/>
          <w:szCs w:val="24"/>
        </w:rPr>
        <w:t xml:space="preserve">A) the antitumor activity of LY2523355 in </w:t>
      </w:r>
      <w:r w:rsidR="00410D6B">
        <w:rPr>
          <w:rFonts w:ascii="Times New Roman" w:hAnsi="Times New Roman" w:cs="Times New Roman"/>
          <w:sz w:val="24"/>
          <w:szCs w:val="24"/>
        </w:rPr>
        <w:t>representative</w:t>
      </w:r>
      <w:r w:rsidR="00410D6B">
        <w:rPr>
          <w:rFonts w:ascii="Times New Roman" w:hAnsi="Times New Roman" w:cs="Times New Roman" w:hint="eastAsia"/>
          <w:sz w:val="24"/>
          <w:szCs w:val="24"/>
        </w:rPr>
        <w:t xml:space="preserve"> sensitive (LXFE-397) and a resistant (LXFL-529) </w:t>
      </w:r>
      <w:r w:rsidR="00097D59">
        <w:rPr>
          <w:rFonts w:ascii="Times New Roman" w:hAnsi="Times New Roman" w:cs="Times New Roman" w:hint="eastAsia"/>
          <w:sz w:val="24"/>
          <w:szCs w:val="24"/>
        </w:rPr>
        <w:t xml:space="preserve">PDX </w:t>
      </w:r>
      <w:r w:rsidR="00410D6B">
        <w:rPr>
          <w:rFonts w:ascii="Times New Roman" w:hAnsi="Times New Roman" w:cs="Times New Roman" w:hint="eastAsia"/>
          <w:sz w:val="24"/>
          <w:szCs w:val="24"/>
        </w:rPr>
        <w:t xml:space="preserve">lung cancer models. The studies with </w:t>
      </w:r>
      <w:r w:rsidR="00097D59">
        <w:rPr>
          <w:rFonts w:ascii="Times New Roman" w:hAnsi="Times New Roman" w:cs="Times New Roman" w:hint="eastAsia"/>
          <w:sz w:val="24"/>
          <w:szCs w:val="24"/>
        </w:rPr>
        <w:t>PDX</w:t>
      </w:r>
      <w:r w:rsidR="00410D6B">
        <w:rPr>
          <w:rFonts w:ascii="Times New Roman" w:hAnsi="Times New Roman" w:cs="Times New Roman" w:hint="eastAsia"/>
          <w:sz w:val="24"/>
          <w:szCs w:val="24"/>
        </w:rPr>
        <w:t xml:space="preserve"> tumor models were carried </w:t>
      </w:r>
      <w:r w:rsidR="0002476C">
        <w:rPr>
          <w:rFonts w:ascii="Times New Roman" w:hAnsi="Times New Roman" w:cs="Times New Roman"/>
          <w:sz w:val="24"/>
          <w:szCs w:val="24"/>
        </w:rPr>
        <w:t xml:space="preserve">out </w:t>
      </w:r>
      <w:r w:rsidR="00410D6B">
        <w:rPr>
          <w:rFonts w:ascii="Times New Roman" w:hAnsi="Times New Roman" w:cs="Times New Roman" w:hint="eastAsia"/>
          <w:sz w:val="24"/>
          <w:szCs w:val="24"/>
        </w:rPr>
        <w:t>as previously described (35) with 10 mice per treatment group at the doses and schedules indicated; B</w:t>
      </w:r>
      <w:r w:rsidR="00CA254B" w:rsidRPr="00930FCC">
        <w:rPr>
          <w:rFonts w:ascii="Times New Roman" w:hAnsi="Times New Roman" w:cs="Times New Roman"/>
          <w:sz w:val="24"/>
          <w:szCs w:val="24"/>
        </w:rPr>
        <w:t xml:space="preserve">) </w:t>
      </w:r>
      <w:r w:rsidR="00410D6B">
        <w:rPr>
          <w:rFonts w:ascii="Times New Roman" w:hAnsi="Times New Roman" w:cs="Times New Roman" w:hint="eastAsia"/>
          <w:sz w:val="24"/>
          <w:szCs w:val="24"/>
        </w:rPr>
        <w:t>a</w:t>
      </w:r>
      <w:r w:rsidR="00CA254B" w:rsidRPr="00930FCC">
        <w:rPr>
          <w:rFonts w:ascii="Times New Roman" w:hAnsi="Times New Roman" w:cs="Times New Roman"/>
          <w:sz w:val="24"/>
          <w:szCs w:val="24"/>
        </w:rPr>
        <w:t xml:space="preserve">nticancer activity of LY2523355 in sensitive </w:t>
      </w:r>
      <w:r w:rsidR="002B109C">
        <w:rPr>
          <w:rFonts w:ascii="Times New Roman" w:hAnsi="Times New Roman" w:cs="Times New Roman" w:hint="eastAsia"/>
          <w:sz w:val="24"/>
          <w:szCs w:val="24"/>
        </w:rPr>
        <w:t>PDX</w:t>
      </w:r>
      <w:r w:rsidR="00CA254B" w:rsidRPr="00930FCC">
        <w:rPr>
          <w:rFonts w:ascii="Times New Roman" w:hAnsi="Times New Roman" w:cs="Times New Roman"/>
          <w:sz w:val="24"/>
          <w:szCs w:val="24"/>
        </w:rPr>
        <w:t xml:space="preserve"> tumors is associated with mitotic arrest and cell death. LY2523355 was administered by IV bolus on Days 0, 4, and 8 at 30 mg/kg dose. Tumor tissues were harvested 24 h after each dose and examined by immunohistochemistry for the mitotic marker, </w:t>
      </w:r>
      <w:r w:rsidR="0002476C">
        <w:rPr>
          <w:rFonts w:ascii="Times New Roman" w:hAnsi="Times New Roman" w:cs="Times New Roman"/>
          <w:sz w:val="24"/>
          <w:szCs w:val="24"/>
        </w:rPr>
        <w:t xml:space="preserve">phosphorylated </w:t>
      </w:r>
      <w:r w:rsidR="00CA254B" w:rsidRPr="00930FCC">
        <w:rPr>
          <w:rFonts w:ascii="Times New Roman" w:hAnsi="Times New Roman" w:cs="Times New Roman"/>
          <w:sz w:val="24"/>
          <w:szCs w:val="24"/>
        </w:rPr>
        <w:t xml:space="preserve">histone H3; a) In vehicle control tumors, only a few scattered </w:t>
      </w:r>
      <w:proofErr w:type="spellStart"/>
      <w:r w:rsidR="00CA254B" w:rsidRPr="00930FCC">
        <w:rPr>
          <w:rFonts w:ascii="Times New Roman" w:hAnsi="Times New Roman" w:cs="Times New Roman"/>
          <w:sz w:val="24"/>
          <w:szCs w:val="24"/>
        </w:rPr>
        <w:t>phospho</w:t>
      </w:r>
      <w:proofErr w:type="spellEnd"/>
      <w:r w:rsidR="00CA254B" w:rsidRPr="00930FCC">
        <w:rPr>
          <w:rFonts w:ascii="Times New Roman" w:hAnsi="Times New Roman" w:cs="Times New Roman"/>
          <w:sz w:val="24"/>
          <w:szCs w:val="24"/>
        </w:rPr>
        <w:t xml:space="preserve">-histone H3-immuno-positive mitotic cells are present. The two </w:t>
      </w:r>
      <w:proofErr w:type="spellStart"/>
      <w:r w:rsidR="00CA254B" w:rsidRPr="00930FCC">
        <w:rPr>
          <w:rFonts w:ascii="Times New Roman" w:hAnsi="Times New Roman" w:cs="Times New Roman"/>
          <w:sz w:val="24"/>
          <w:szCs w:val="24"/>
        </w:rPr>
        <w:lastRenderedPageBreak/>
        <w:t>xenograft</w:t>
      </w:r>
      <w:proofErr w:type="spellEnd"/>
      <w:r w:rsidR="00CA254B" w:rsidRPr="00930FCC">
        <w:rPr>
          <w:rFonts w:ascii="Times New Roman" w:hAnsi="Times New Roman" w:cs="Times New Roman"/>
          <w:sz w:val="24"/>
          <w:szCs w:val="24"/>
        </w:rPr>
        <w:t xml:space="preserve"> tumors pictured on the top are resistant to treatment with LY2523355 (left, large cell lung carcinoma; right, ovarian carcinoma). The two </w:t>
      </w:r>
      <w:proofErr w:type="spellStart"/>
      <w:r w:rsidR="00CA254B" w:rsidRPr="00930FCC">
        <w:rPr>
          <w:rFonts w:ascii="Times New Roman" w:hAnsi="Times New Roman" w:cs="Times New Roman"/>
          <w:sz w:val="24"/>
          <w:szCs w:val="24"/>
        </w:rPr>
        <w:t>xenograft</w:t>
      </w:r>
      <w:proofErr w:type="spellEnd"/>
      <w:r w:rsidR="00CA254B" w:rsidRPr="00930FCC">
        <w:rPr>
          <w:rFonts w:ascii="Times New Roman" w:hAnsi="Times New Roman" w:cs="Times New Roman"/>
          <w:sz w:val="24"/>
          <w:szCs w:val="24"/>
        </w:rPr>
        <w:t xml:space="preserve"> tumors on the bottom are sensitive to treatment with LY2523355 (left, lung squamous cell carcinoma; right, breast carcinoma) (bar equals 100 µm); b) In LY2523355-treated tumors, </w:t>
      </w:r>
      <w:proofErr w:type="spellStart"/>
      <w:r w:rsidR="00CA254B" w:rsidRPr="00930FCC">
        <w:rPr>
          <w:rFonts w:ascii="Times New Roman" w:hAnsi="Times New Roman" w:cs="Times New Roman"/>
          <w:sz w:val="24"/>
          <w:szCs w:val="24"/>
        </w:rPr>
        <w:t>phospho</w:t>
      </w:r>
      <w:proofErr w:type="spellEnd"/>
      <w:r w:rsidR="00CA254B" w:rsidRPr="00930FCC">
        <w:rPr>
          <w:rFonts w:ascii="Times New Roman" w:hAnsi="Times New Roman" w:cs="Times New Roman"/>
          <w:sz w:val="24"/>
          <w:szCs w:val="24"/>
        </w:rPr>
        <w:t xml:space="preserve">-histone H3-positive cells are greatly increased in the two sensitive </w:t>
      </w:r>
      <w:proofErr w:type="spellStart"/>
      <w:r w:rsidR="00CA254B" w:rsidRPr="00930FCC">
        <w:rPr>
          <w:rFonts w:ascii="Times New Roman" w:hAnsi="Times New Roman" w:cs="Times New Roman"/>
          <w:sz w:val="24"/>
          <w:szCs w:val="24"/>
        </w:rPr>
        <w:t>xenograft</w:t>
      </w:r>
      <w:proofErr w:type="spellEnd"/>
      <w:r w:rsidR="00CA254B" w:rsidRPr="00930FCC">
        <w:rPr>
          <w:rFonts w:ascii="Times New Roman" w:hAnsi="Times New Roman" w:cs="Times New Roman"/>
          <w:sz w:val="24"/>
          <w:szCs w:val="24"/>
        </w:rPr>
        <w:t xml:space="preserve"> tumors in the bottom row (inset shows example of </w:t>
      </w:r>
      <w:proofErr w:type="spellStart"/>
      <w:r w:rsidR="00CA254B" w:rsidRPr="00930FCC">
        <w:rPr>
          <w:rFonts w:ascii="Times New Roman" w:hAnsi="Times New Roman" w:cs="Times New Roman"/>
          <w:sz w:val="24"/>
          <w:szCs w:val="24"/>
        </w:rPr>
        <w:t>monopolar</w:t>
      </w:r>
      <w:proofErr w:type="spellEnd"/>
      <w:r w:rsidR="00CA254B" w:rsidRPr="00930FCC">
        <w:rPr>
          <w:rFonts w:ascii="Times New Roman" w:hAnsi="Times New Roman" w:cs="Times New Roman"/>
          <w:sz w:val="24"/>
          <w:szCs w:val="24"/>
        </w:rPr>
        <w:t xml:space="preserve"> morphology of a cell blocked in mitosis), while changes in the number of </w:t>
      </w:r>
      <w:proofErr w:type="spellStart"/>
      <w:r w:rsidR="00CA254B" w:rsidRPr="00930FCC">
        <w:rPr>
          <w:rFonts w:ascii="Times New Roman" w:hAnsi="Times New Roman" w:cs="Times New Roman"/>
          <w:sz w:val="24"/>
          <w:szCs w:val="24"/>
        </w:rPr>
        <w:t>phospho</w:t>
      </w:r>
      <w:proofErr w:type="spellEnd"/>
      <w:r w:rsidR="00CA254B" w:rsidRPr="00930FCC">
        <w:rPr>
          <w:rFonts w:ascii="Times New Roman" w:hAnsi="Times New Roman" w:cs="Times New Roman"/>
          <w:sz w:val="24"/>
          <w:szCs w:val="24"/>
        </w:rPr>
        <w:t xml:space="preserve">-histone H3-positive mitotic cells do not occur or are small in the resistant </w:t>
      </w:r>
      <w:proofErr w:type="spellStart"/>
      <w:r w:rsidR="00CA254B" w:rsidRPr="00930FCC">
        <w:rPr>
          <w:rFonts w:ascii="Times New Roman" w:hAnsi="Times New Roman" w:cs="Times New Roman"/>
          <w:sz w:val="24"/>
          <w:szCs w:val="24"/>
        </w:rPr>
        <w:t>xenograft</w:t>
      </w:r>
      <w:proofErr w:type="spellEnd"/>
      <w:r w:rsidR="00CA254B" w:rsidRPr="00930FCC">
        <w:rPr>
          <w:rFonts w:ascii="Times New Roman" w:hAnsi="Times New Roman" w:cs="Times New Roman"/>
          <w:sz w:val="24"/>
          <w:szCs w:val="24"/>
        </w:rPr>
        <w:t xml:space="preserve"> tumors in the top row (bar equals 100 µm); c) Higher magnification of a </w:t>
      </w:r>
      <w:proofErr w:type="spellStart"/>
      <w:r w:rsidR="00CA254B" w:rsidRPr="00930FCC">
        <w:rPr>
          <w:rFonts w:ascii="Times New Roman" w:hAnsi="Times New Roman" w:cs="Times New Roman"/>
          <w:sz w:val="24"/>
          <w:szCs w:val="24"/>
        </w:rPr>
        <w:t>xenograft</w:t>
      </w:r>
      <w:proofErr w:type="spellEnd"/>
      <w:r w:rsidR="00CA254B" w:rsidRPr="00930FCC">
        <w:rPr>
          <w:rFonts w:ascii="Times New Roman" w:hAnsi="Times New Roman" w:cs="Times New Roman"/>
          <w:sz w:val="24"/>
          <w:szCs w:val="24"/>
        </w:rPr>
        <w:t xml:space="preserve"> tumor that is sensitive to treatment (lung squamous cell carcinoma) showing abundant necrotic cell debris (arrows) scattered among the numerous </w:t>
      </w:r>
      <w:proofErr w:type="spellStart"/>
      <w:r w:rsidR="00CA254B" w:rsidRPr="00930FCC">
        <w:rPr>
          <w:rFonts w:ascii="Times New Roman" w:hAnsi="Times New Roman" w:cs="Times New Roman"/>
          <w:sz w:val="24"/>
          <w:szCs w:val="24"/>
        </w:rPr>
        <w:t>phospho</w:t>
      </w:r>
      <w:proofErr w:type="spellEnd"/>
      <w:r w:rsidR="00CA254B" w:rsidRPr="00930FCC">
        <w:rPr>
          <w:rFonts w:ascii="Times New Roman" w:hAnsi="Times New Roman" w:cs="Times New Roman"/>
          <w:sz w:val="24"/>
          <w:szCs w:val="24"/>
        </w:rPr>
        <w:t>-histone H3-po</w:t>
      </w:r>
      <w:r w:rsidR="00391BAA">
        <w:rPr>
          <w:rFonts w:ascii="Times New Roman" w:hAnsi="Times New Roman" w:cs="Times New Roman"/>
          <w:sz w:val="24"/>
          <w:szCs w:val="24"/>
        </w:rPr>
        <w:t>sitive cells</w:t>
      </w:r>
      <w:r w:rsidR="00391BAA">
        <w:rPr>
          <w:rFonts w:ascii="Times New Roman" w:hAnsi="Times New Roman" w:cs="Times New Roman" w:hint="eastAsia"/>
          <w:sz w:val="24"/>
          <w:szCs w:val="24"/>
        </w:rPr>
        <w:t>; C)</w:t>
      </w:r>
      <w:r w:rsidR="00ED7189">
        <w:rPr>
          <w:rFonts w:ascii="Times New Roman" w:hAnsi="Times New Roman" w:cs="Times New Roman" w:hint="eastAsia"/>
          <w:sz w:val="24"/>
          <w:szCs w:val="24"/>
        </w:rPr>
        <w:t xml:space="preserve"> quantification of </w:t>
      </w:r>
      <w:proofErr w:type="spellStart"/>
      <w:r w:rsidR="00ED7189">
        <w:rPr>
          <w:rFonts w:ascii="Times New Roman" w:hAnsi="Times New Roman" w:cs="Times New Roman"/>
          <w:sz w:val="24"/>
          <w:szCs w:val="24"/>
        </w:rPr>
        <w:t>phospho</w:t>
      </w:r>
      <w:proofErr w:type="spellEnd"/>
      <w:r w:rsidR="00ED7189">
        <w:rPr>
          <w:rFonts w:ascii="Times New Roman" w:hAnsi="Times New Roman" w:cs="Times New Roman" w:hint="eastAsia"/>
          <w:sz w:val="24"/>
          <w:szCs w:val="24"/>
        </w:rPr>
        <w:t>-histone H3</w:t>
      </w:r>
      <w:r w:rsidR="0002476C">
        <w:rPr>
          <w:rFonts w:ascii="Times New Roman" w:hAnsi="Times New Roman" w:cs="Times New Roman"/>
          <w:sz w:val="24"/>
          <w:szCs w:val="24"/>
        </w:rPr>
        <w:t>-</w:t>
      </w:r>
      <w:r w:rsidR="00ED7189">
        <w:rPr>
          <w:rFonts w:ascii="Times New Roman" w:hAnsi="Times New Roman" w:cs="Times New Roman" w:hint="eastAsia"/>
          <w:sz w:val="24"/>
          <w:szCs w:val="24"/>
        </w:rPr>
        <w:t xml:space="preserve">positive </w:t>
      </w:r>
      <w:r w:rsidR="005A6143">
        <w:rPr>
          <w:rFonts w:ascii="Times New Roman" w:hAnsi="Times New Roman" w:cs="Times New Roman" w:hint="eastAsia"/>
          <w:sz w:val="24"/>
          <w:szCs w:val="24"/>
        </w:rPr>
        <w:t xml:space="preserve">cancer </w:t>
      </w:r>
      <w:r w:rsidR="00ED7189">
        <w:rPr>
          <w:rFonts w:ascii="Times New Roman" w:hAnsi="Times New Roman" w:cs="Times New Roman" w:hint="eastAsia"/>
          <w:sz w:val="24"/>
          <w:szCs w:val="24"/>
        </w:rPr>
        <w:t xml:space="preserve">cells in </w:t>
      </w:r>
      <w:r w:rsidR="00FA1D8E">
        <w:rPr>
          <w:rFonts w:ascii="Times New Roman" w:hAnsi="Times New Roman" w:cs="Times New Roman"/>
          <w:sz w:val="24"/>
          <w:szCs w:val="24"/>
        </w:rPr>
        <w:t xml:space="preserve">the </w:t>
      </w:r>
      <w:r w:rsidR="00097D59">
        <w:rPr>
          <w:rFonts w:ascii="Times New Roman" w:hAnsi="Times New Roman" w:cs="Times New Roman" w:hint="eastAsia"/>
          <w:sz w:val="24"/>
          <w:szCs w:val="24"/>
        </w:rPr>
        <w:t>PDX</w:t>
      </w:r>
      <w:r w:rsidR="00ED7189">
        <w:rPr>
          <w:rFonts w:ascii="Times New Roman" w:hAnsi="Times New Roman" w:cs="Times New Roman" w:hint="eastAsia"/>
          <w:sz w:val="24"/>
          <w:szCs w:val="24"/>
        </w:rPr>
        <w:t xml:space="preserve"> tumors shown </w:t>
      </w:r>
      <w:r w:rsidR="00FA1D8E">
        <w:rPr>
          <w:rFonts w:ascii="Times New Roman" w:hAnsi="Times New Roman" w:cs="Times New Roman"/>
          <w:sz w:val="24"/>
          <w:szCs w:val="24"/>
        </w:rPr>
        <w:t xml:space="preserve">above </w:t>
      </w:r>
      <w:r w:rsidR="00ED7189">
        <w:rPr>
          <w:rFonts w:ascii="Times New Roman" w:hAnsi="Times New Roman" w:cs="Times New Roman" w:hint="eastAsia"/>
          <w:sz w:val="24"/>
          <w:szCs w:val="24"/>
        </w:rPr>
        <w:t>in panel B</w:t>
      </w:r>
      <w:r w:rsidR="00FA1D8E">
        <w:rPr>
          <w:rFonts w:ascii="Times New Roman" w:hAnsi="Times New Roman" w:cs="Times New Roman"/>
          <w:sz w:val="24"/>
          <w:szCs w:val="24"/>
        </w:rPr>
        <w:t xml:space="preserve">. Note the increase in </w:t>
      </w:r>
      <w:proofErr w:type="spellStart"/>
      <w:r w:rsidR="00FA1D8E">
        <w:rPr>
          <w:rFonts w:ascii="Times New Roman" w:hAnsi="Times New Roman" w:cs="Times New Roman"/>
          <w:sz w:val="24"/>
          <w:szCs w:val="24"/>
        </w:rPr>
        <w:t>phospho</w:t>
      </w:r>
      <w:proofErr w:type="spellEnd"/>
      <w:r w:rsidR="00FA1D8E">
        <w:rPr>
          <w:rFonts w:ascii="Times New Roman" w:hAnsi="Times New Roman" w:cs="Times New Roman"/>
          <w:sz w:val="24"/>
          <w:szCs w:val="24"/>
        </w:rPr>
        <w:t>-histone H3 cells with LY2523355 treatment in the two sensitive tumor models, lung squamous cell carcinoma denoted LXFE397 and breast carcinoma denoted MAXF1384</w:t>
      </w:r>
      <w:r w:rsidR="008E673A">
        <w:rPr>
          <w:rFonts w:ascii="Times New Roman" w:hAnsi="Times New Roman" w:cs="Times New Roman"/>
          <w:sz w:val="24"/>
          <w:szCs w:val="24"/>
        </w:rPr>
        <w:t xml:space="preserve"> but not in the other tumor types</w:t>
      </w:r>
      <w:r w:rsidR="00ED7189">
        <w:rPr>
          <w:rFonts w:ascii="Times New Roman" w:hAnsi="Times New Roman" w:cs="Times New Roman" w:hint="eastAsia"/>
          <w:sz w:val="24"/>
          <w:szCs w:val="24"/>
        </w:rPr>
        <w:t xml:space="preserve">; D) </w:t>
      </w:r>
      <w:r w:rsidR="0002476C">
        <w:rPr>
          <w:rFonts w:ascii="Times New Roman" w:hAnsi="Times New Roman" w:cs="Times New Roman"/>
          <w:sz w:val="24"/>
          <w:szCs w:val="24"/>
        </w:rPr>
        <w:t xml:space="preserve">quantification of </w:t>
      </w:r>
      <w:proofErr w:type="spellStart"/>
      <w:r w:rsidR="00ED7189">
        <w:rPr>
          <w:rFonts w:ascii="Times New Roman" w:hAnsi="Times New Roman" w:cs="Times New Roman"/>
          <w:sz w:val="24"/>
          <w:szCs w:val="24"/>
        </w:rPr>
        <w:t>phospho</w:t>
      </w:r>
      <w:proofErr w:type="spellEnd"/>
      <w:r w:rsidR="00ED7189">
        <w:rPr>
          <w:rFonts w:ascii="Times New Roman" w:hAnsi="Times New Roman" w:cs="Times New Roman" w:hint="eastAsia"/>
          <w:sz w:val="24"/>
          <w:szCs w:val="24"/>
        </w:rPr>
        <w:t>-histone H3</w:t>
      </w:r>
      <w:r w:rsidR="0002476C">
        <w:rPr>
          <w:rFonts w:ascii="Times New Roman" w:hAnsi="Times New Roman" w:cs="Times New Roman"/>
          <w:sz w:val="24"/>
          <w:szCs w:val="24"/>
        </w:rPr>
        <w:t>-</w:t>
      </w:r>
      <w:r w:rsidR="00ED7189">
        <w:rPr>
          <w:rFonts w:ascii="Times New Roman" w:hAnsi="Times New Roman" w:cs="Times New Roman" w:hint="eastAsia"/>
          <w:sz w:val="24"/>
          <w:szCs w:val="24"/>
        </w:rPr>
        <w:t>positive proliferati</w:t>
      </w:r>
      <w:r w:rsidR="0002476C">
        <w:rPr>
          <w:rFonts w:ascii="Times New Roman" w:hAnsi="Times New Roman" w:cs="Times New Roman"/>
          <w:sz w:val="24"/>
          <w:szCs w:val="24"/>
        </w:rPr>
        <w:t>ng</w:t>
      </w:r>
      <w:r w:rsidR="00ED7189">
        <w:rPr>
          <w:rFonts w:ascii="Times New Roman" w:hAnsi="Times New Roman" w:cs="Times New Roman" w:hint="eastAsia"/>
          <w:sz w:val="24"/>
          <w:szCs w:val="24"/>
        </w:rPr>
        <w:t xml:space="preserve"> </w:t>
      </w:r>
      <w:r w:rsidR="004C4A17">
        <w:rPr>
          <w:rFonts w:ascii="Times New Roman" w:hAnsi="Times New Roman" w:cs="Times New Roman"/>
          <w:sz w:val="24"/>
          <w:szCs w:val="24"/>
        </w:rPr>
        <w:t>epidermal</w:t>
      </w:r>
      <w:r w:rsidR="004C4A17">
        <w:rPr>
          <w:rFonts w:ascii="Times New Roman" w:hAnsi="Times New Roman" w:cs="Times New Roman" w:hint="eastAsia"/>
          <w:sz w:val="24"/>
          <w:szCs w:val="24"/>
        </w:rPr>
        <w:t xml:space="preserve"> </w:t>
      </w:r>
      <w:r w:rsidR="00ED7189">
        <w:rPr>
          <w:rFonts w:ascii="Times New Roman" w:hAnsi="Times New Roman" w:cs="Times New Roman" w:hint="eastAsia"/>
          <w:sz w:val="24"/>
          <w:szCs w:val="24"/>
        </w:rPr>
        <w:t xml:space="preserve">cells </w:t>
      </w:r>
      <w:r w:rsidR="00FA1D8E">
        <w:rPr>
          <w:rFonts w:ascii="Times New Roman" w:hAnsi="Times New Roman" w:cs="Times New Roman"/>
          <w:sz w:val="24"/>
          <w:szCs w:val="24"/>
        </w:rPr>
        <w:t>(</w:t>
      </w:r>
      <w:r w:rsidR="00ED7189">
        <w:rPr>
          <w:rFonts w:ascii="Times New Roman" w:hAnsi="Times New Roman" w:cs="Times New Roman" w:hint="eastAsia"/>
          <w:sz w:val="24"/>
          <w:szCs w:val="24"/>
        </w:rPr>
        <w:t>per</w:t>
      </w:r>
      <w:r w:rsidR="00ED7189" w:rsidRPr="00ED7189">
        <w:rPr>
          <w:rFonts w:ascii="Times New Roman" w:hAnsi="Times New Roman" w:cs="Times New Roman"/>
          <w:sz w:val="24"/>
          <w:szCs w:val="24"/>
        </w:rPr>
        <w:t xml:space="preserve"> one millimeter length of epidermis</w:t>
      </w:r>
      <w:r w:rsidR="00FA1D8E">
        <w:rPr>
          <w:rFonts w:ascii="Times New Roman" w:hAnsi="Times New Roman" w:cs="Times New Roman"/>
          <w:sz w:val="24"/>
          <w:szCs w:val="24"/>
        </w:rPr>
        <w:t>)</w:t>
      </w:r>
      <w:r w:rsidR="00ED7189" w:rsidRPr="00ED7189">
        <w:rPr>
          <w:rFonts w:ascii="Times New Roman" w:hAnsi="Times New Roman" w:cs="Times New Roman"/>
          <w:sz w:val="24"/>
          <w:szCs w:val="24"/>
        </w:rPr>
        <w:t xml:space="preserve"> from </w:t>
      </w:r>
      <w:r w:rsidR="00ED7189">
        <w:rPr>
          <w:rFonts w:ascii="Times New Roman" w:hAnsi="Times New Roman" w:cs="Times New Roman" w:hint="eastAsia"/>
          <w:sz w:val="24"/>
          <w:szCs w:val="24"/>
        </w:rPr>
        <w:t>mouse</w:t>
      </w:r>
      <w:r w:rsidR="00ED7189" w:rsidRPr="00ED7189">
        <w:rPr>
          <w:rFonts w:ascii="Times New Roman" w:hAnsi="Times New Roman" w:cs="Times New Roman"/>
          <w:sz w:val="24"/>
          <w:szCs w:val="24"/>
        </w:rPr>
        <w:t xml:space="preserve"> ear</w:t>
      </w:r>
      <w:r w:rsidR="00ED7189">
        <w:rPr>
          <w:rFonts w:ascii="Times New Roman" w:hAnsi="Times New Roman" w:cs="Times New Roman" w:hint="eastAsia"/>
          <w:sz w:val="24"/>
          <w:szCs w:val="24"/>
        </w:rPr>
        <w:t>s</w:t>
      </w:r>
      <w:r w:rsidR="00FA1D8E">
        <w:rPr>
          <w:rFonts w:ascii="Times New Roman" w:hAnsi="Times New Roman" w:cs="Times New Roman"/>
          <w:sz w:val="24"/>
          <w:szCs w:val="24"/>
        </w:rPr>
        <w:t xml:space="preserve"> collected from the tumor-bearing mice</w:t>
      </w:r>
      <w:r w:rsidR="00ED7189">
        <w:rPr>
          <w:rFonts w:ascii="Times New Roman" w:hAnsi="Times New Roman" w:cs="Times New Roman" w:hint="eastAsia"/>
          <w:sz w:val="24"/>
          <w:szCs w:val="24"/>
        </w:rPr>
        <w:t>.</w:t>
      </w:r>
      <w:r w:rsidR="00FA1D8E">
        <w:rPr>
          <w:rFonts w:ascii="Times New Roman" w:hAnsi="Times New Roman" w:cs="Times New Roman"/>
          <w:sz w:val="24"/>
          <w:szCs w:val="24"/>
        </w:rPr>
        <w:t xml:space="preserve"> Note that while </w:t>
      </w:r>
      <w:proofErr w:type="spellStart"/>
      <w:r w:rsidR="00FA1D8E">
        <w:rPr>
          <w:rFonts w:ascii="Times New Roman" w:hAnsi="Times New Roman" w:cs="Times New Roman"/>
          <w:sz w:val="24"/>
          <w:szCs w:val="24"/>
        </w:rPr>
        <w:t>phospho</w:t>
      </w:r>
      <w:proofErr w:type="spellEnd"/>
      <w:r w:rsidR="00FA1D8E">
        <w:rPr>
          <w:rFonts w:ascii="Times New Roman" w:hAnsi="Times New Roman" w:cs="Times New Roman"/>
          <w:sz w:val="24"/>
          <w:szCs w:val="24"/>
        </w:rPr>
        <w:t>-histone 3 positive cells only increase in the tumor tissues of the LY2523355</w:t>
      </w:r>
      <w:r w:rsidR="001B2260">
        <w:rPr>
          <w:rFonts w:ascii="Times New Roman" w:hAnsi="Times New Roman" w:cs="Times New Roman"/>
          <w:sz w:val="24"/>
          <w:szCs w:val="24"/>
        </w:rPr>
        <w:t>-</w:t>
      </w:r>
      <w:r w:rsidR="00FA1D8E">
        <w:rPr>
          <w:rFonts w:ascii="Times New Roman" w:hAnsi="Times New Roman" w:cs="Times New Roman"/>
          <w:sz w:val="24"/>
          <w:szCs w:val="24"/>
        </w:rPr>
        <w:t xml:space="preserve">sensitive tumor types, </w:t>
      </w:r>
      <w:proofErr w:type="spellStart"/>
      <w:r w:rsidR="00FA1D8E">
        <w:rPr>
          <w:rFonts w:ascii="Times New Roman" w:hAnsi="Times New Roman" w:cs="Times New Roman"/>
          <w:sz w:val="24"/>
          <w:szCs w:val="24"/>
        </w:rPr>
        <w:t>immunopositive</w:t>
      </w:r>
      <w:proofErr w:type="spellEnd"/>
      <w:r w:rsidR="00FA1D8E">
        <w:rPr>
          <w:rFonts w:ascii="Times New Roman" w:hAnsi="Times New Roman" w:cs="Times New Roman"/>
          <w:sz w:val="24"/>
          <w:szCs w:val="24"/>
        </w:rPr>
        <w:t xml:space="preserve"> cells increase in the skin of all treated animals, indicating the response in the skin is related to LY2523355 exposure.</w:t>
      </w:r>
      <w:r w:rsidR="00EB4475">
        <w:rPr>
          <w:rFonts w:ascii="Times New Roman" w:hAnsi="Times New Roman" w:cs="Times New Roman"/>
          <w:sz w:val="24"/>
          <w:szCs w:val="24"/>
        </w:rPr>
        <w:t xml:space="preserve"> An example of the </w:t>
      </w:r>
      <w:proofErr w:type="spellStart"/>
      <w:r w:rsidR="00EB4475">
        <w:rPr>
          <w:rFonts w:ascii="Times New Roman" w:hAnsi="Times New Roman" w:cs="Times New Roman"/>
          <w:sz w:val="24"/>
          <w:szCs w:val="24"/>
        </w:rPr>
        <w:t>immunohistochemical</w:t>
      </w:r>
      <w:proofErr w:type="spellEnd"/>
      <w:r w:rsidR="00EB4475">
        <w:rPr>
          <w:rFonts w:ascii="Times New Roman" w:hAnsi="Times New Roman" w:cs="Times New Roman"/>
          <w:sz w:val="24"/>
          <w:szCs w:val="24"/>
        </w:rPr>
        <w:t xml:space="preserve"> label in the ear skin </w:t>
      </w:r>
      <w:r w:rsidR="004C4A17">
        <w:rPr>
          <w:rFonts w:ascii="Times New Roman" w:hAnsi="Times New Roman" w:cs="Times New Roman"/>
          <w:sz w:val="24"/>
          <w:szCs w:val="24"/>
        </w:rPr>
        <w:t xml:space="preserve">of vehicle and LY2523355 treated mice </w:t>
      </w:r>
      <w:r w:rsidR="00EB4475">
        <w:rPr>
          <w:rFonts w:ascii="Times New Roman" w:hAnsi="Times New Roman" w:cs="Times New Roman"/>
          <w:sz w:val="24"/>
          <w:szCs w:val="24"/>
        </w:rPr>
        <w:t xml:space="preserve">is shown in the main paper </w:t>
      </w:r>
      <w:r w:rsidR="004C4A17">
        <w:rPr>
          <w:rFonts w:ascii="Times New Roman" w:hAnsi="Times New Roman" w:cs="Times New Roman"/>
          <w:sz w:val="24"/>
          <w:szCs w:val="24"/>
        </w:rPr>
        <w:t>in</w:t>
      </w:r>
      <w:r w:rsidR="00EB4475">
        <w:rPr>
          <w:rFonts w:ascii="Times New Roman" w:hAnsi="Times New Roman" w:cs="Times New Roman"/>
          <w:sz w:val="24"/>
          <w:szCs w:val="24"/>
        </w:rPr>
        <w:t xml:space="preserve"> Figure </w:t>
      </w:r>
      <w:r w:rsidR="004C4A17">
        <w:rPr>
          <w:rFonts w:ascii="Times New Roman" w:hAnsi="Times New Roman" w:cs="Times New Roman"/>
          <w:sz w:val="24"/>
          <w:szCs w:val="24"/>
        </w:rPr>
        <w:t>5C.</w:t>
      </w:r>
    </w:p>
    <w:p w:rsidR="00ED7189" w:rsidRDefault="00ED7189" w:rsidP="00CA254B">
      <w:pPr>
        <w:spacing w:after="0" w:line="240" w:lineRule="auto"/>
        <w:rPr>
          <w:rFonts w:ascii="Times New Roman" w:hAnsi="Times New Roman" w:cs="Times New Roman"/>
          <w:sz w:val="24"/>
          <w:szCs w:val="24"/>
        </w:rPr>
      </w:pPr>
    </w:p>
    <w:p w:rsidR="00B37C34" w:rsidRPr="00930FCC" w:rsidRDefault="00F61594" w:rsidP="00CA254B">
      <w:pPr>
        <w:spacing w:after="0" w:line="240" w:lineRule="auto"/>
        <w:rPr>
          <w:rFonts w:ascii="Times New Roman" w:hAnsi="Times New Roman" w:cs="Times New Roman"/>
          <w:sz w:val="24"/>
          <w:szCs w:val="24"/>
        </w:rPr>
      </w:pPr>
      <w:r w:rsidRPr="00F61594">
        <w:rPr>
          <w:rFonts w:ascii="Times New Roman" w:hAnsi="Times New Roman" w:cs="Times New Roman" w:hint="eastAsia"/>
          <w:b/>
          <w:i/>
          <w:sz w:val="24"/>
          <w:szCs w:val="24"/>
        </w:rPr>
        <w:t>Supplementary Figure 5</w:t>
      </w:r>
      <w:r>
        <w:rPr>
          <w:rFonts w:ascii="Times New Roman" w:hAnsi="Times New Roman" w:cs="Times New Roman" w:hint="eastAsia"/>
          <w:sz w:val="24"/>
          <w:szCs w:val="24"/>
        </w:rPr>
        <w:t>: A</w:t>
      </w:r>
      <w:r w:rsidR="00B37C34" w:rsidRPr="00930FCC">
        <w:rPr>
          <w:rFonts w:ascii="Times New Roman" w:hAnsi="Times New Roman" w:cs="Times New Roman"/>
          <w:sz w:val="24"/>
          <w:szCs w:val="24"/>
        </w:rPr>
        <w:t>) Pictures show mitotic arrest (</w:t>
      </w:r>
      <w:proofErr w:type="spellStart"/>
      <w:r w:rsidR="00B37C34" w:rsidRPr="00930FCC">
        <w:rPr>
          <w:rFonts w:ascii="Times New Roman" w:hAnsi="Times New Roman" w:cs="Times New Roman"/>
          <w:sz w:val="24"/>
          <w:szCs w:val="24"/>
        </w:rPr>
        <w:t>phospho</w:t>
      </w:r>
      <w:proofErr w:type="spellEnd"/>
      <w:r w:rsidR="00B37C34" w:rsidRPr="00930FCC">
        <w:rPr>
          <w:rFonts w:ascii="Times New Roman" w:hAnsi="Times New Roman" w:cs="Times New Roman"/>
          <w:sz w:val="24"/>
          <w:szCs w:val="24"/>
        </w:rPr>
        <w:t xml:space="preserve">-histone H3, pHH3) and apoptosis (TUNEL) of p388 cells by LY2523355 48 h after continuous infusion at 0.416 mg/kg/h; </w:t>
      </w:r>
      <w:r>
        <w:rPr>
          <w:rFonts w:ascii="Times New Roman" w:hAnsi="Times New Roman" w:cs="Times New Roman" w:hint="eastAsia"/>
          <w:sz w:val="24"/>
          <w:szCs w:val="24"/>
        </w:rPr>
        <w:t>B</w:t>
      </w:r>
      <w:r w:rsidR="00B37C34" w:rsidRPr="00930FCC">
        <w:rPr>
          <w:rFonts w:ascii="Times New Roman" w:hAnsi="Times New Roman" w:cs="Times New Roman"/>
          <w:sz w:val="24"/>
          <w:szCs w:val="24"/>
        </w:rPr>
        <w:t>) Percentage of p388 cancer cells positive for histone H3 phosphorylation (pHH3) 72 h after continuous infusion: group 1, vehicle control; group 2 at 0.052 mg/kg/h; group 3 at 0.104 mg/kg/h; group 4 at 0.208 mg/kg/h; and group 5 at 0.416 mg/kg/h.</w:t>
      </w:r>
    </w:p>
    <w:p w:rsidR="00930FCC" w:rsidRPr="00930FCC" w:rsidRDefault="00930FCC" w:rsidP="00CA254B">
      <w:pPr>
        <w:spacing w:after="0" w:line="240" w:lineRule="auto"/>
        <w:rPr>
          <w:rFonts w:ascii="Times New Roman" w:hAnsi="Times New Roman" w:cs="Times New Roman"/>
          <w:sz w:val="24"/>
          <w:szCs w:val="24"/>
        </w:rPr>
      </w:pPr>
    </w:p>
    <w:p w:rsidR="00930FCC" w:rsidRPr="00930FCC" w:rsidRDefault="00930FCC" w:rsidP="00CA254B">
      <w:pPr>
        <w:spacing w:after="0" w:line="240" w:lineRule="auto"/>
        <w:rPr>
          <w:rFonts w:ascii="Times New Roman" w:hAnsi="Times New Roman" w:cs="Times New Roman"/>
          <w:sz w:val="24"/>
          <w:szCs w:val="24"/>
        </w:rPr>
      </w:pPr>
    </w:p>
    <w:p w:rsidR="00B37C34" w:rsidRPr="00930FCC" w:rsidRDefault="00B37C34" w:rsidP="00B37C34">
      <w:pPr>
        <w:ind w:left="360"/>
        <w:rPr>
          <w:rFonts w:ascii="Times New Roman" w:hAnsi="Times New Roman" w:cs="Times New Roman"/>
          <w:sz w:val="24"/>
          <w:szCs w:val="24"/>
        </w:rPr>
      </w:pPr>
    </w:p>
    <w:sectPr w:rsidR="00B37C34" w:rsidRPr="00930FCC" w:rsidSect="00FF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C60"/>
    <w:multiLevelType w:val="hybridMultilevel"/>
    <w:tmpl w:val="C44ACE70"/>
    <w:lvl w:ilvl="0" w:tplc="D5B65C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128D6"/>
    <w:multiLevelType w:val="hybridMultilevel"/>
    <w:tmpl w:val="DACA0944"/>
    <w:lvl w:ilvl="0" w:tplc="5E020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4"/>
    <w:rsid w:val="0002476C"/>
    <w:rsid w:val="00053311"/>
    <w:rsid w:val="00097D59"/>
    <w:rsid w:val="000C0268"/>
    <w:rsid w:val="001A7928"/>
    <w:rsid w:val="001B2260"/>
    <w:rsid w:val="0020272F"/>
    <w:rsid w:val="002B109C"/>
    <w:rsid w:val="002C4802"/>
    <w:rsid w:val="003325B7"/>
    <w:rsid w:val="00333368"/>
    <w:rsid w:val="00391BAA"/>
    <w:rsid w:val="00410D6B"/>
    <w:rsid w:val="004433E7"/>
    <w:rsid w:val="004C4A17"/>
    <w:rsid w:val="00540C03"/>
    <w:rsid w:val="00546084"/>
    <w:rsid w:val="005510B5"/>
    <w:rsid w:val="005915A1"/>
    <w:rsid w:val="005A6143"/>
    <w:rsid w:val="005B7DF7"/>
    <w:rsid w:val="006C575A"/>
    <w:rsid w:val="00856B18"/>
    <w:rsid w:val="008E673A"/>
    <w:rsid w:val="00930FCC"/>
    <w:rsid w:val="00942B9B"/>
    <w:rsid w:val="009A040A"/>
    <w:rsid w:val="00A55390"/>
    <w:rsid w:val="00AC2BF7"/>
    <w:rsid w:val="00AE012E"/>
    <w:rsid w:val="00B37C34"/>
    <w:rsid w:val="00B81BDE"/>
    <w:rsid w:val="00BD3B70"/>
    <w:rsid w:val="00C15E72"/>
    <w:rsid w:val="00C936E9"/>
    <w:rsid w:val="00C97B62"/>
    <w:rsid w:val="00CA254B"/>
    <w:rsid w:val="00CE0432"/>
    <w:rsid w:val="00D821D6"/>
    <w:rsid w:val="00DB1BD7"/>
    <w:rsid w:val="00E27AA2"/>
    <w:rsid w:val="00E33A0A"/>
    <w:rsid w:val="00EB4475"/>
    <w:rsid w:val="00ED7189"/>
    <w:rsid w:val="00EF7F17"/>
    <w:rsid w:val="00F61594"/>
    <w:rsid w:val="00F85A2B"/>
    <w:rsid w:val="00FA1D8E"/>
    <w:rsid w:val="00FF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34"/>
    <w:pPr>
      <w:ind w:left="720"/>
      <w:contextualSpacing/>
    </w:pPr>
  </w:style>
  <w:style w:type="character" w:styleId="Hyperlink">
    <w:name w:val="Hyperlink"/>
    <w:basedOn w:val="DefaultParagraphFont"/>
    <w:uiPriority w:val="99"/>
    <w:unhideWhenUsed/>
    <w:rsid w:val="00930FCC"/>
    <w:rPr>
      <w:color w:val="0000FF" w:themeColor="hyperlink"/>
      <w:u w:val="single"/>
    </w:rPr>
  </w:style>
  <w:style w:type="paragraph" w:styleId="BalloonText">
    <w:name w:val="Balloon Text"/>
    <w:basedOn w:val="Normal"/>
    <w:link w:val="BalloonTextChar"/>
    <w:uiPriority w:val="99"/>
    <w:semiHidden/>
    <w:unhideWhenUsed/>
    <w:rsid w:val="0002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34"/>
    <w:pPr>
      <w:ind w:left="720"/>
      <w:contextualSpacing/>
    </w:pPr>
  </w:style>
  <w:style w:type="character" w:styleId="Hyperlink">
    <w:name w:val="Hyperlink"/>
    <w:basedOn w:val="DefaultParagraphFont"/>
    <w:uiPriority w:val="99"/>
    <w:unhideWhenUsed/>
    <w:rsid w:val="00930FCC"/>
    <w:rPr>
      <w:color w:val="0000FF" w:themeColor="hyperlink"/>
      <w:u w:val="single"/>
    </w:rPr>
  </w:style>
  <w:style w:type="paragraph" w:styleId="BalloonText">
    <w:name w:val="Balloon Text"/>
    <w:basedOn w:val="Normal"/>
    <w:link w:val="BalloonTextChar"/>
    <w:uiPriority w:val="99"/>
    <w:semiHidden/>
    <w:unhideWhenUsed/>
    <w:rsid w:val="0002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_Xiang_S@lil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Xiang Ye</cp:lastModifiedBy>
  <cp:revision>5</cp:revision>
  <dcterms:created xsi:type="dcterms:W3CDTF">2015-03-24T03:32:00Z</dcterms:created>
  <dcterms:modified xsi:type="dcterms:W3CDTF">2015-08-12T04:54:00Z</dcterms:modified>
</cp:coreProperties>
</file>