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8" w:rsidRDefault="00875CD8" w:rsidP="003C32D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f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igure legends</w:t>
      </w:r>
    </w:p>
    <w:p w:rsidR="00875CD8" w:rsidRDefault="00875CD8" w:rsidP="003C32D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Figure S1.  YM155 treatment induces apoptosis in pancreatic cancer cells.</w:t>
      </w:r>
    </w:p>
    <w:p w:rsidR="00875CD8" w:rsidRPr="008B3339" w:rsidRDefault="00875CD8" w:rsidP="003C32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(A)</w:t>
      </w:r>
      <w:r w:rsidRPr="002A781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Panc</w:t>
      </w:r>
      <w:r>
        <w:rPr>
          <w:rFonts w:ascii="Times New Roman" w:hAnsi="Times New Roman" w:cs="Times New Roman"/>
          <w:sz w:val="24"/>
          <w:szCs w:val="24"/>
          <w:lang w:eastAsia="zh-CN"/>
        </w:rPr>
        <w:t>reatic cancer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cells were treated with DMSO (control), or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YM155 (10 nM) for 48 h. Apoptosis was measured by nuclear dye Hoechst 33258 staining to identify condensed apoptotic nuclei as described in ‘Materials and </w:t>
      </w:r>
      <w:r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ethods’ (apoptotic cells are demarcated with white arrows). 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(B)</w:t>
      </w:r>
      <w:r w:rsidRPr="002A781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Pancreatic cancer cells were treated with different </w:t>
      </w:r>
      <w:r>
        <w:rPr>
          <w:rFonts w:ascii="Times New Roman" w:hAnsi="Times New Roman" w:cs="Times New Roman"/>
          <w:sz w:val="24"/>
          <w:szCs w:val="24"/>
          <w:lang w:eastAsia="zh-CN"/>
        </w:rPr>
        <w:t>concentration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s of YM155 ranging from 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to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20 nM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for 48 h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. Apoptosis was assessed by a DNA ladder assay as described in ‘Materials and </w:t>
      </w:r>
      <w:r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ethods’. 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(C)</w:t>
      </w:r>
      <w:r w:rsidRPr="002A781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Pancreatic cancer cells were treated with YM155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0 nM), over a time-course lasting 48 h. Apoptosis was measured by Hoechst staining and statistical analysis was performed to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analyze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the significance of the ratio of apoptotic cells. Each experiment was conducted in triplicate and repeated independently (* p&lt;0.05).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(D)</w:t>
      </w:r>
      <w:r w:rsidRPr="002A781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Pancreatic cancer cells were treated with a range of doses of YM155 from 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to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20 nM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for 24 h.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Apoptosis was measured by Hoechst staining and statistical analysis was performed to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analyze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the significance of the ratio of apoptotic cells. Each experiment was conducted in triplicate and repeated independently (*p&lt;0.05). 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(E)</w:t>
      </w:r>
      <w:r w:rsidRPr="00676A9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Pancreatic cancer cells were treated with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different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concentrations of YM155 over a period of 48h. Cell</w:t>
      </w:r>
      <w:r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were harvested and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lysates were prepared for Western blotting to detect levels of cleaved Caspase 8,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Caspase 9,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cleaved Caspase 3,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Bid and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cleaved PARP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β-actin protein levels were used as an equal protein loading control.</w:t>
      </w:r>
      <w:r w:rsidRPr="00997E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(F)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Cells were treated with YM155 (10 nM) for a time-course ending after 48 h, cells were then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>harvested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and c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ell lysates were prepared for Western blotting to detect cleaved Caspase 8,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Caspase 9,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cleaved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 Caspase 3,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Bid </w:t>
      </w:r>
      <w:r w:rsidRPr="00997E52">
        <w:rPr>
          <w:rFonts w:ascii="Times New Roman" w:hAnsi="Times New Roman" w:cs="Times New Roman"/>
          <w:sz w:val="24"/>
          <w:szCs w:val="24"/>
          <w:lang w:eastAsia="zh-CN"/>
        </w:rPr>
        <w:t xml:space="preserve">and cleaved PARP. </w:t>
      </w:r>
      <w:r w:rsidR="006E1021" w:rsidRPr="00997E52">
        <w:rPr>
          <w:rFonts w:ascii="Times New Roman" w:hAnsi="Times New Roman" w:cs="Times New Roman"/>
          <w:sz w:val="24"/>
          <w:szCs w:val="24"/>
          <w:lang w:eastAsia="zh-CN"/>
        </w:rPr>
        <w:t>β</w:t>
      </w:r>
      <w:r w:rsidR="006E1021">
        <w:rPr>
          <w:rFonts w:ascii="Times New Roman" w:hAnsi="Times New Roman" w:cs="Times New Roman"/>
          <w:sz w:val="24"/>
          <w:szCs w:val="24"/>
          <w:lang w:eastAsia="zh-CN"/>
        </w:rPr>
        <w:t>-actin protein levels were assessed as a control for equal protein loading</w:t>
      </w:r>
      <w:r w:rsidR="006E1021" w:rsidRPr="00997E5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75CD8" w:rsidRPr="00FA2F08" w:rsidRDefault="00875CD8" w:rsidP="00D1477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773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Figure S2.  </w:t>
      </w:r>
      <w:r>
        <w:rPr>
          <w:rFonts w:ascii="Times New Roman" w:hAnsi="Times New Roman" w:cs="Times New Roman"/>
          <w:b/>
          <w:bCs/>
          <w:sz w:val="24"/>
          <w:szCs w:val="24"/>
        </w:rPr>
        <w:t>YM155</w:t>
      </w:r>
      <w:r w:rsidRPr="00AF2598">
        <w:rPr>
          <w:rFonts w:ascii="Times New Roman" w:hAnsi="Times New Roman" w:cs="Times New Roman"/>
          <w:b/>
          <w:bCs/>
          <w:sz w:val="24"/>
          <w:szCs w:val="24"/>
        </w:rPr>
        <w:t xml:space="preserve"> induces </w:t>
      </w:r>
      <w:r w:rsidR="004D056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apoptosis and </w:t>
      </w:r>
      <w:r w:rsidRPr="00AF2598">
        <w:rPr>
          <w:rFonts w:ascii="Times New Roman" w:hAnsi="Times New Roman" w:cs="Times New Roman"/>
          <w:b/>
          <w:bCs/>
          <w:sz w:val="24"/>
          <w:szCs w:val="24"/>
        </w:rPr>
        <w:t>death receptor 5 up-regulation</w:t>
      </w:r>
      <w:r w:rsidR="004D056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 in PC-3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4D0565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(A)</w:t>
      </w:r>
      <w:r w:rsidR="00FA2F08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,</w:t>
      </w:r>
      <w:r w:rsidR="001C0764" w:rsidRPr="001C0764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PC3 c</w:t>
      </w:r>
      <w:r w:rsidR="00FA2F08">
        <w:rPr>
          <w:rFonts w:ascii="Times New Roman" w:hAnsi="Times New Roman" w:cs="Times New Roman"/>
          <w:sz w:val="24"/>
          <w:szCs w:val="24"/>
          <w:lang w:eastAsia="zh-CN"/>
        </w:rPr>
        <w:t>ells</w:t>
      </w:r>
      <w:r w:rsidR="00FA2F08">
        <w:rPr>
          <w:rFonts w:ascii="Times New Roman" w:hAnsi="Times New Roman" w:cs="Times New Roman"/>
          <w:sz w:val="24"/>
          <w:szCs w:val="24"/>
        </w:rPr>
        <w:t xml:space="preserve"> were treated with DMSO (control)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or </w:t>
      </w:r>
      <w:r w:rsidR="00FA2F08">
        <w:rPr>
          <w:rFonts w:ascii="Times New Roman" w:hAnsi="Times New Roman" w:cs="Times New Roman"/>
          <w:sz w:val="24"/>
          <w:szCs w:val="24"/>
        </w:rPr>
        <w:t>YM155 (10 nM)</w:t>
      </w:r>
      <w:r w:rsidR="001C076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A2F08">
        <w:rPr>
          <w:rFonts w:ascii="Times New Roman" w:hAnsi="Times New Roman" w:cs="Times New Roman"/>
          <w:sz w:val="24"/>
          <w:szCs w:val="24"/>
        </w:rPr>
        <w:t xml:space="preserve">for 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>48</w:t>
      </w:r>
      <w:r w:rsidR="00FA2F08">
        <w:rPr>
          <w:rFonts w:ascii="Times New Roman" w:hAnsi="Times New Roman" w:cs="Times New Roman"/>
          <w:sz w:val="24"/>
          <w:szCs w:val="24"/>
        </w:rPr>
        <w:t xml:space="preserve"> h. Apoptosis was measured by Hoechst 33258 staining to label </w:t>
      </w:r>
      <w:r w:rsidR="00FA2F08">
        <w:rPr>
          <w:rFonts w:ascii="Times New Roman" w:hAnsi="Times New Roman" w:cs="Times New Roman"/>
          <w:sz w:val="24"/>
          <w:szCs w:val="24"/>
          <w:lang w:eastAsia="zh-CN"/>
        </w:rPr>
        <w:t xml:space="preserve">chromatin </w:t>
      </w:r>
      <w:r w:rsidR="00FA2F08">
        <w:rPr>
          <w:rFonts w:ascii="Times New Roman" w:hAnsi="Times New Roman" w:cs="Times New Roman"/>
          <w:sz w:val="24"/>
          <w:szCs w:val="24"/>
        </w:rPr>
        <w:t xml:space="preserve">condensation as described in ‘Materials and </w:t>
      </w:r>
      <w:r w:rsidR="00FA2F08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="00FA2F08">
        <w:rPr>
          <w:rFonts w:ascii="Times New Roman" w:hAnsi="Times New Roman" w:cs="Times New Roman"/>
          <w:sz w:val="24"/>
          <w:szCs w:val="24"/>
        </w:rPr>
        <w:t>ethods’ (representative apoptotic cells are demarcated by open arrows)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A2F08" w:rsidRPr="00FA2F08">
        <w:rPr>
          <w:rFonts w:ascii="Times New Roman" w:hAnsi="Times New Roman" w:cs="Times New Roman"/>
          <w:bCs/>
          <w:sz w:val="24"/>
          <w:szCs w:val="24"/>
        </w:rPr>
        <w:t xml:space="preserve">Representative </w:t>
      </w:r>
      <w:r w:rsidR="00FA2F08" w:rsidRPr="00FA2F08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Figures</w:t>
      </w:r>
      <w:r w:rsidR="00FA2F08" w:rsidRPr="00FA2F08">
        <w:rPr>
          <w:rFonts w:ascii="Times New Roman" w:hAnsi="Times New Roman" w:cs="Times New Roman"/>
          <w:bCs/>
          <w:sz w:val="24"/>
          <w:szCs w:val="24"/>
        </w:rPr>
        <w:t xml:space="preserve"> are shown and every </w:t>
      </w:r>
      <w:bookmarkStart w:id="0" w:name="_GoBack"/>
      <w:bookmarkEnd w:id="0"/>
      <w:r w:rsidR="00FA2F08" w:rsidRPr="00FA2F08">
        <w:rPr>
          <w:rFonts w:ascii="Times New Roman" w:hAnsi="Times New Roman" w:cs="Times New Roman"/>
          <w:bCs/>
          <w:sz w:val="24"/>
          <w:szCs w:val="24"/>
        </w:rPr>
        <w:t>experiment was repeated three times.</w:t>
      </w:r>
      <w:r w:rsidR="001C0764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 </w:t>
      </w:r>
      <w:r w:rsidR="00FA2F08" w:rsidRPr="00FA2F08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(B),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PC-3 </w:t>
      </w:r>
      <w:r w:rsidR="001C0764">
        <w:rPr>
          <w:rFonts w:ascii="Times New Roman" w:hAnsi="Times New Roman" w:cs="Times New Roman" w:hint="eastAsia"/>
          <w:sz w:val="24"/>
          <w:szCs w:val="24"/>
          <w:lang w:eastAsia="zh-CN"/>
        </w:rPr>
        <w:t>c</w:t>
      </w:r>
      <w:r w:rsidR="00FA2F08">
        <w:rPr>
          <w:rFonts w:ascii="Times New Roman" w:hAnsi="Times New Roman" w:cs="Times New Roman"/>
          <w:sz w:val="24"/>
          <w:szCs w:val="24"/>
        </w:rPr>
        <w:t xml:space="preserve">ells were treated with </w:t>
      </w:r>
      <w:r w:rsidR="00FA2F08">
        <w:rPr>
          <w:rFonts w:ascii="Times New Roman" w:hAnsi="Times New Roman" w:cs="Times New Roman"/>
          <w:sz w:val="24"/>
          <w:szCs w:val="24"/>
          <w:lang w:eastAsia="zh-CN"/>
        </w:rPr>
        <w:t>different concentrations</w:t>
      </w:r>
      <w:r w:rsidR="00FA2F08">
        <w:rPr>
          <w:rFonts w:ascii="Times New Roman" w:hAnsi="Times New Roman" w:cs="Times New Roman"/>
          <w:sz w:val="24"/>
          <w:szCs w:val="24"/>
        </w:rPr>
        <w:t xml:space="preserve"> of YM155 for 48 h as indicated</w:t>
      </w:r>
      <w:r w:rsidR="00FA2F08">
        <w:rPr>
          <w:rFonts w:ascii="Times New Roman" w:hAnsi="Times New Roman" w:cs="Times New Roman"/>
          <w:sz w:val="24"/>
          <w:szCs w:val="24"/>
          <w:lang w:eastAsia="zh-CN"/>
        </w:rPr>
        <w:t>. Cell</w:t>
      </w:r>
      <w:r w:rsidR="00FA2F08">
        <w:rPr>
          <w:rFonts w:ascii="Times New Roman" w:hAnsi="Times New Roman" w:cs="Times New Roman"/>
          <w:sz w:val="24"/>
          <w:szCs w:val="24"/>
        </w:rPr>
        <w:t xml:space="preserve"> lysates were prepared and subjected to Western blotting. 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FA2F08">
        <w:rPr>
          <w:rFonts w:ascii="Times New Roman" w:hAnsi="Times New Roman" w:cs="Times New Roman"/>
          <w:sz w:val="24"/>
          <w:szCs w:val="24"/>
        </w:rPr>
        <w:t xml:space="preserve">urvivin, 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>and DR5</w:t>
      </w:r>
      <w:r w:rsidR="00FA2F08">
        <w:rPr>
          <w:rFonts w:ascii="Times New Roman" w:hAnsi="Times New Roman" w:cs="Times New Roman"/>
          <w:sz w:val="24"/>
          <w:szCs w:val="24"/>
        </w:rPr>
        <w:t xml:space="preserve"> expression levels were measured with specific polyclonal antibodies </w:t>
      </w:r>
      <w:r w:rsidR="00FA2F08">
        <w:rPr>
          <w:rFonts w:ascii="Times New Roman" w:hAnsi="Times New Roman" w:cs="Times New Roman" w:hint="eastAsia"/>
          <w:sz w:val="24"/>
          <w:szCs w:val="24"/>
          <w:lang w:eastAsia="zh-CN"/>
        </w:rPr>
        <w:t>recognizing Survivin and DR5</w:t>
      </w:r>
      <w:r w:rsidR="00FA2F08">
        <w:rPr>
          <w:rFonts w:ascii="Times New Roman" w:hAnsi="Times New Roman" w:cs="Times New Roman"/>
          <w:sz w:val="24"/>
          <w:szCs w:val="24"/>
        </w:rPr>
        <w:t>. β-actin protein levels were assessed as the control for equal loading of protein.</w:t>
      </w:r>
      <w:r w:rsidR="0074503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A2F08" w:rsidRPr="00FA2F08">
        <w:rPr>
          <w:rFonts w:ascii="Times New Roman" w:hAnsi="Times New Roman" w:cs="Times New Roman"/>
          <w:bCs/>
          <w:sz w:val="24"/>
          <w:szCs w:val="24"/>
        </w:rPr>
        <w:t>Representative bands are shown and every experiment was repeated three times.</w:t>
      </w:r>
    </w:p>
    <w:sectPr w:rsidR="00875CD8" w:rsidRPr="00FA2F08" w:rsidSect="00C5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D1" w:rsidRDefault="001446D1" w:rsidP="002A78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46D1" w:rsidRDefault="001446D1" w:rsidP="002A78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D1" w:rsidRDefault="001446D1" w:rsidP="002A78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46D1" w:rsidRDefault="001446D1" w:rsidP="002A78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DF"/>
    <w:rsid w:val="00080964"/>
    <w:rsid w:val="001446D1"/>
    <w:rsid w:val="001C0764"/>
    <w:rsid w:val="002916C6"/>
    <w:rsid w:val="002A781C"/>
    <w:rsid w:val="002B6B0B"/>
    <w:rsid w:val="002E3BDF"/>
    <w:rsid w:val="003402EF"/>
    <w:rsid w:val="00351FF5"/>
    <w:rsid w:val="00366B56"/>
    <w:rsid w:val="00371C11"/>
    <w:rsid w:val="003B0B52"/>
    <w:rsid w:val="003C32DF"/>
    <w:rsid w:val="003F582A"/>
    <w:rsid w:val="004D0565"/>
    <w:rsid w:val="005A4511"/>
    <w:rsid w:val="0060773B"/>
    <w:rsid w:val="00676A9A"/>
    <w:rsid w:val="00696B40"/>
    <w:rsid w:val="006E1021"/>
    <w:rsid w:val="0074503A"/>
    <w:rsid w:val="007468C6"/>
    <w:rsid w:val="007732BD"/>
    <w:rsid w:val="007F7001"/>
    <w:rsid w:val="00875CD8"/>
    <w:rsid w:val="008778E3"/>
    <w:rsid w:val="008B3339"/>
    <w:rsid w:val="008E503B"/>
    <w:rsid w:val="00921F94"/>
    <w:rsid w:val="00955166"/>
    <w:rsid w:val="00964F7B"/>
    <w:rsid w:val="00997E52"/>
    <w:rsid w:val="009D19A5"/>
    <w:rsid w:val="00A201DC"/>
    <w:rsid w:val="00A373B2"/>
    <w:rsid w:val="00AD641B"/>
    <w:rsid w:val="00AF2598"/>
    <w:rsid w:val="00B6196E"/>
    <w:rsid w:val="00B809F0"/>
    <w:rsid w:val="00C20AFB"/>
    <w:rsid w:val="00C51211"/>
    <w:rsid w:val="00CB22F1"/>
    <w:rsid w:val="00D1477B"/>
    <w:rsid w:val="00D1689C"/>
    <w:rsid w:val="00DC1B28"/>
    <w:rsid w:val="00E044D8"/>
    <w:rsid w:val="00E2419C"/>
    <w:rsid w:val="00E76F91"/>
    <w:rsid w:val="00F15F70"/>
    <w:rsid w:val="00FA2F08"/>
    <w:rsid w:val="00FA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A7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A781C"/>
    <w:rPr>
      <w:rFonts w:ascii="Calibri" w:hAnsi="Calibri" w:cs="Calibri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rsid w:val="002A781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A781C"/>
    <w:rPr>
      <w:rFonts w:ascii="Calibri" w:hAnsi="Calibri" w:cs="Calibri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rsid w:val="003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locked/>
    <w:rsid w:val="00366B56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2323</Characters>
  <Application>Microsoft Office Word</Application>
  <DocSecurity>0</DocSecurity>
  <Lines>19</Lines>
  <Paragraphs>5</Paragraphs>
  <ScaleCrop>false</ScaleCrop>
  <Company>微软中国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2014-07-03T21:14:00Z</dcterms:created>
  <dcterms:modified xsi:type="dcterms:W3CDTF">2014-09-17T10:26:00Z</dcterms:modified>
</cp:coreProperties>
</file>