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B9801" w14:textId="77777777" w:rsidR="006E1147" w:rsidRDefault="006E1147" w:rsidP="006E1147">
      <w:pPr>
        <w:widowControl/>
        <w:jc w:val="left"/>
        <w:rPr>
          <w:rFonts w:ascii="Times New Roman" w:hAnsi="Times New Roman" w:cs="Times New Roman"/>
          <w:b/>
          <w:sz w:val="20"/>
          <w:szCs w:val="20"/>
        </w:rPr>
      </w:pPr>
    </w:p>
    <w:p w14:paraId="11C321F4" w14:textId="4573E09D" w:rsidR="006E1147" w:rsidRPr="00594750" w:rsidRDefault="006E1147" w:rsidP="006E1147">
      <w:pPr>
        <w:spacing w:line="360" w:lineRule="auto"/>
        <w:rPr>
          <w:rFonts w:ascii="Times New Roman" w:hAnsi="Times New Roman" w:cs="Times New Roman"/>
          <w:b/>
          <w:sz w:val="20"/>
          <w:szCs w:val="20"/>
        </w:rPr>
      </w:pPr>
      <w:r w:rsidRPr="00D2317B">
        <w:rPr>
          <w:rFonts w:ascii="Times New Roman" w:hAnsi="Times New Roman" w:cs="Times New Roman"/>
          <w:b/>
          <w:sz w:val="20"/>
          <w:szCs w:val="20"/>
        </w:rPr>
        <w:t>Supplementary</w:t>
      </w:r>
      <w:r w:rsidR="008209B4">
        <w:rPr>
          <w:rFonts w:ascii="Times New Roman" w:hAnsi="Times New Roman" w:cs="Times New Roman"/>
          <w:b/>
          <w:sz w:val="20"/>
          <w:szCs w:val="20"/>
        </w:rPr>
        <w:t xml:space="preserve"> </w:t>
      </w:r>
      <w:r>
        <w:rPr>
          <w:rFonts w:ascii="Times New Roman" w:hAnsi="Times New Roman" w:cs="Times New Roman"/>
          <w:b/>
          <w:sz w:val="20"/>
          <w:szCs w:val="20"/>
        </w:rPr>
        <w:t>Information</w:t>
      </w:r>
    </w:p>
    <w:p w14:paraId="05FA3AFA" w14:textId="77777777" w:rsidR="006E1147" w:rsidRDefault="006E1147" w:rsidP="006E1147">
      <w:pPr>
        <w:spacing w:line="360" w:lineRule="auto"/>
        <w:rPr>
          <w:rFonts w:ascii="Times New Roman" w:hAnsi="Times New Roman" w:cs="Times New Roman"/>
          <w:b/>
          <w:sz w:val="20"/>
          <w:szCs w:val="20"/>
        </w:rPr>
      </w:pPr>
      <w:r w:rsidRPr="00141474">
        <w:rPr>
          <w:rFonts w:ascii="Times New Roman" w:hAnsi="Times New Roman" w:cs="Times New Roman"/>
          <w:b/>
          <w:sz w:val="20"/>
          <w:szCs w:val="20"/>
        </w:rPr>
        <w:t>Materials and methods</w:t>
      </w:r>
    </w:p>
    <w:p w14:paraId="46B80E53" w14:textId="77777777" w:rsidR="00826DD3" w:rsidRPr="00D2317B" w:rsidRDefault="00826DD3" w:rsidP="00826DD3">
      <w:pPr>
        <w:spacing w:line="360" w:lineRule="auto"/>
        <w:rPr>
          <w:rFonts w:ascii="Times New Roman" w:hAnsi="Times New Roman" w:cs="Times New Roman"/>
          <w:b/>
          <w:sz w:val="20"/>
          <w:szCs w:val="20"/>
        </w:rPr>
      </w:pPr>
      <w:bookmarkStart w:id="0" w:name="OLE_LINK6"/>
      <w:r w:rsidRPr="006341A9">
        <w:rPr>
          <w:rFonts w:ascii="Times New Roman" w:hAnsi="Times New Roman" w:cs="Times New Roman"/>
          <w:b/>
          <w:sz w:val="20"/>
          <w:szCs w:val="20"/>
        </w:rPr>
        <w:t>Surface Plasmon Resonance measurements</w:t>
      </w:r>
      <w:bookmarkEnd w:id="0"/>
      <w:r w:rsidRPr="00D2317B">
        <w:rPr>
          <w:rFonts w:ascii="Times New Roman" w:hAnsi="Times New Roman" w:cs="Times New Roman"/>
          <w:b/>
          <w:sz w:val="20"/>
          <w:szCs w:val="20"/>
        </w:rPr>
        <w:t xml:space="preserve"> </w:t>
      </w:r>
    </w:p>
    <w:p w14:paraId="1E0A502F" w14:textId="72FD490B" w:rsidR="00826DD3" w:rsidRPr="002E7AC6" w:rsidRDefault="00DF3B31" w:rsidP="00826DD3">
      <w:pPr>
        <w:spacing w:line="360" w:lineRule="auto"/>
        <w:rPr>
          <w:rFonts w:ascii="Times New Roman" w:hAnsi="Times New Roman" w:cs="Times New Roman"/>
          <w:sz w:val="20"/>
          <w:szCs w:val="20"/>
        </w:rPr>
      </w:pPr>
      <w:r w:rsidRPr="00DF3B31">
        <w:rPr>
          <w:rFonts w:ascii="Times New Roman" w:hAnsi="Times New Roman" w:cs="Times New Roman"/>
          <w:sz w:val="20"/>
          <w:szCs w:val="20"/>
        </w:rPr>
        <w:t>The affinity (KD) for the binding of human and murine FcRs, and human CD147 antigen to IgG mAbs w</w:t>
      </w:r>
      <w:r>
        <w:rPr>
          <w:rFonts w:ascii="Times New Roman" w:hAnsi="Times New Roman" w:cs="Times New Roman"/>
          <w:sz w:val="20"/>
          <w:szCs w:val="20"/>
        </w:rPr>
        <w:t>ere</w:t>
      </w:r>
      <w:r w:rsidRPr="00DF3B31">
        <w:rPr>
          <w:rFonts w:ascii="Times New Roman" w:hAnsi="Times New Roman" w:cs="Times New Roman"/>
          <w:sz w:val="20"/>
          <w:szCs w:val="20"/>
        </w:rPr>
        <w:t xml:space="preserve"> measured on a</w:t>
      </w:r>
      <w:r w:rsidRPr="002F0A7F">
        <w:rPr>
          <w:rFonts w:ascii="Times New Roman" w:hAnsi="Times New Roman" w:cs="Times New Roman"/>
          <w:sz w:val="20"/>
          <w:szCs w:val="20"/>
        </w:rPr>
        <w:t xml:space="preserve"> </w:t>
      </w:r>
      <w:r w:rsidR="00826DD3">
        <w:rPr>
          <w:rFonts w:ascii="Times New Roman" w:hAnsi="Times New Roman" w:cs="Times New Roman"/>
          <w:sz w:val="20"/>
          <w:szCs w:val="20"/>
        </w:rPr>
        <w:t>multi-SPR array system (</w:t>
      </w:r>
      <w:r w:rsidR="00826DD3" w:rsidRPr="002F0A7F">
        <w:rPr>
          <w:rFonts w:ascii="Times New Roman" w:hAnsi="Times New Roman" w:cs="Times New Roman"/>
          <w:sz w:val="20"/>
          <w:szCs w:val="20"/>
        </w:rPr>
        <w:t>ProteOn XPR36</w:t>
      </w:r>
      <w:r w:rsidR="00826DD3" w:rsidRPr="005F6807">
        <w:rPr>
          <w:rFonts w:ascii="Times New Roman" w:hAnsi="Times New Roman" w:cs="Times New Roman"/>
          <w:sz w:val="20"/>
          <w:szCs w:val="20"/>
          <w:vertAlign w:val="superscript"/>
        </w:rPr>
        <w:t>TM</w:t>
      </w:r>
      <w:r w:rsidR="00826DD3">
        <w:rPr>
          <w:rFonts w:ascii="Times New Roman" w:hAnsi="Times New Roman" w:cs="Times New Roman"/>
          <w:sz w:val="20"/>
          <w:szCs w:val="20"/>
        </w:rPr>
        <w:t xml:space="preserve">, </w:t>
      </w:r>
      <w:r w:rsidR="00826DD3" w:rsidRPr="002F0A7F">
        <w:rPr>
          <w:rFonts w:ascii="Times New Roman" w:hAnsi="Times New Roman" w:cs="Times New Roman"/>
          <w:sz w:val="20"/>
          <w:szCs w:val="20"/>
        </w:rPr>
        <w:t xml:space="preserve">Bio-Rad) and data analysis was performed using ProteOn Manager </w:t>
      </w:r>
      <w:r w:rsidR="00826DD3">
        <w:rPr>
          <w:rFonts w:ascii="Times New Roman" w:hAnsi="Times New Roman" w:cs="Times New Roman"/>
          <w:sz w:val="20"/>
          <w:szCs w:val="20"/>
        </w:rPr>
        <w:t>S</w:t>
      </w:r>
      <w:r w:rsidR="00826DD3" w:rsidRPr="002F0A7F">
        <w:rPr>
          <w:rFonts w:ascii="Times New Roman" w:hAnsi="Times New Roman" w:cs="Times New Roman"/>
          <w:sz w:val="20"/>
          <w:szCs w:val="20"/>
        </w:rPr>
        <w:t xml:space="preserve">oftware (Bio-Rad). </w:t>
      </w:r>
      <w:r w:rsidR="00826DD3">
        <w:rPr>
          <w:rFonts w:ascii="Times New Roman" w:hAnsi="Times New Roman" w:cs="Times New Roman"/>
          <w:sz w:val="20"/>
          <w:szCs w:val="20"/>
        </w:rPr>
        <w:t>Briefly, t</w:t>
      </w:r>
      <w:r w:rsidR="00826DD3" w:rsidRPr="002F0A7F">
        <w:rPr>
          <w:rFonts w:ascii="Times New Roman" w:hAnsi="Times New Roman" w:cs="Times New Roman"/>
          <w:sz w:val="20"/>
          <w:szCs w:val="20"/>
        </w:rPr>
        <w:t>he running buffer PBST (0.005% Tween-20 in PBS) was used continuously throughout the entire experiment at 25° C.</w:t>
      </w:r>
      <w:r w:rsidR="00826DD3">
        <w:rPr>
          <w:rFonts w:ascii="Times New Roman" w:hAnsi="Times New Roman" w:cs="Times New Roman"/>
          <w:sz w:val="20"/>
          <w:szCs w:val="20"/>
        </w:rPr>
        <w:t xml:space="preserve"> A ProteOn GLC sensor chips </w:t>
      </w:r>
      <w:r w:rsidR="00826DD3" w:rsidRPr="002F0A7F">
        <w:rPr>
          <w:rFonts w:ascii="Times New Roman" w:hAnsi="Times New Roman" w:cs="Times New Roman"/>
          <w:sz w:val="20"/>
          <w:szCs w:val="20"/>
        </w:rPr>
        <w:t xml:space="preserve">(Bio-Rad) </w:t>
      </w:r>
      <w:r w:rsidR="00826DD3">
        <w:rPr>
          <w:rFonts w:ascii="Times New Roman" w:hAnsi="Times New Roman" w:cs="Times New Roman"/>
          <w:sz w:val="20"/>
          <w:szCs w:val="20"/>
        </w:rPr>
        <w:t>was activated for 6min using a mixture of 0.2M EDC and 5mM sulfo-NHS at a flow rate of 20</w:t>
      </w:r>
      <w:r w:rsidR="00826DD3" w:rsidRPr="007F5ABC">
        <w:rPr>
          <w:rFonts w:ascii="Times New Roman" w:hAnsi="Times New Roman" w:cs="Times New Roman"/>
          <w:sz w:val="20"/>
          <w:szCs w:val="20"/>
        </w:rPr>
        <w:t xml:space="preserve">μl </w:t>
      </w:r>
      <w:r w:rsidR="00826DD3">
        <w:rPr>
          <w:rFonts w:ascii="Times New Roman" w:hAnsi="Times New Roman" w:cs="Times New Roman"/>
          <w:sz w:val="20"/>
          <w:szCs w:val="20"/>
        </w:rPr>
        <w:t>/min, followed by 260</w:t>
      </w:r>
      <w:r w:rsidR="00826DD3" w:rsidRPr="007F5ABC">
        <w:rPr>
          <w:rFonts w:ascii="Times New Roman" w:hAnsi="Times New Roman" w:cs="Times New Roman"/>
          <w:sz w:val="20"/>
          <w:szCs w:val="20"/>
        </w:rPr>
        <w:t>μ</w:t>
      </w:r>
      <w:r w:rsidR="00826DD3">
        <w:rPr>
          <w:rFonts w:ascii="Times New Roman" w:hAnsi="Times New Roman" w:cs="Times New Roman"/>
          <w:sz w:val="20"/>
          <w:szCs w:val="20"/>
        </w:rPr>
        <w:t>l of 10</w:t>
      </w:r>
      <w:r w:rsidR="00826DD3" w:rsidRPr="007F5ABC">
        <w:rPr>
          <w:rFonts w:ascii="Times New Roman" w:hAnsi="Times New Roman" w:cs="Times New Roman"/>
          <w:sz w:val="20"/>
          <w:szCs w:val="20"/>
        </w:rPr>
        <w:t>μ</w:t>
      </w:r>
      <w:r w:rsidR="00826DD3">
        <w:rPr>
          <w:rFonts w:ascii="Times New Roman" w:hAnsi="Times New Roman" w:cs="Times New Roman"/>
          <w:sz w:val="20"/>
          <w:szCs w:val="20"/>
        </w:rPr>
        <w:t>g/mL Metuzumab or cHAb18 mAb diluted in 10mM acetate buffer at pH4.5. The surface was then deactivated with 150</w:t>
      </w:r>
      <w:r w:rsidR="00826DD3" w:rsidRPr="007F5ABC">
        <w:rPr>
          <w:rFonts w:ascii="Times New Roman" w:hAnsi="Times New Roman" w:cs="Times New Roman"/>
          <w:sz w:val="20"/>
          <w:szCs w:val="20"/>
        </w:rPr>
        <w:t>μ</w:t>
      </w:r>
      <w:r w:rsidR="00826DD3">
        <w:rPr>
          <w:rFonts w:ascii="Times New Roman" w:hAnsi="Times New Roman" w:cs="Times New Roman"/>
          <w:sz w:val="20"/>
          <w:szCs w:val="20"/>
        </w:rPr>
        <w:t>l of 1M Ethanolamine Hydrochlor</w:t>
      </w:r>
      <w:r w:rsidR="00826DD3" w:rsidRPr="00A66681">
        <w:rPr>
          <w:rFonts w:ascii="Times New Roman" w:hAnsi="Times New Roman" w:cs="Times New Roman"/>
          <w:sz w:val="20"/>
          <w:szCs w:val="20"/>
        </w:rPr>
        <w:t>ide (pH 8.5)</w:t>
      </w:r>
      <w:r w:rsidR="00826DD3">
        <w:rPr>
          <w:rFonts w:ascii="Times New Roman" w:hAnsi="Times New Roman" w:cs="Times New Roman"/>
          <w:sz w:val="20"/>
          <w:szCs w:val="20"/>
        </w:rPr>
        <w:t xml:space="preserve">. </w:t>
      </w:r>
      <w:r w:rsidR="00826DD3" w:rsidRPr="004454FD">
        <w:rPr>
          <w:rFonts w:ascii="Times New Roman" w:hAnsi="Times New Roman" w:cs="Times New Roman" w:hint="eastAsia"/>
          <w:sz w:val="20"/>
          <w:szCs w:val="20"/>
        </w:rPr>
        <w:t xml:space="preserve">For </w:t>
      </w:r>
      <w:r w:rsidR="00826DD3" w:rsidRPr="004454FD">
        <w:rPr>
          <w:rFonts w:ascii="Times New Roman" w:hAnsi="Times New Roman" w:cs="Times New Roman"/>
          <w:sz w:val="20"/>
          <w:szCs w:val="20"/>
        </w:rPr>
        <w:t>FcγR</w:t>
      </w:r>
      <w:r w:rsidR="00826DD3" w:rsidRPr="004454FD">
        <w:rPr>
          <w:rFonts w:ascii="Times New Roman" w:hAnsi="Times New Roman" w:cs="Times New Roman" w:hint="eastAsia"/>
          <w:sz w:val="20"/>
          <w:szCs w:val="20"/>
        </w:rPr>
        <w:t>s affinity studies,</w:t>
      </w:r>
      <w:r w:rsidR="00826DD3">
        <w:rPr>
          <w:rFonts w:ascii="Times New Roman" w:hAnsi="Times New Roman" w:cs="Times New Roman" w:hint="eastAsia"/>
          <w:sz w:val="20"/>
          <w:szCs w:val="20"/>
        </w:rPr>
        <w:t xml:space="preserve"> </w:t>
      </w:r>
      <w:r w:rsidR="00826DD3" w:rsidRPr="00E97F8E">
        <w:rPr>
          <w:rFonts w:ascii="Times New Roman" w:hAnsi="Times New Roman" w:cs="Times New Roman"/>
          <w:sz w:val="20"/>
          <w:szCs w:val="20"/>
        </w:rPr>
        <w:t xml:space="preserve">individual Fc </w:t>
      </w:r>
      <w:r w:rsidR="00826DD3">
        <w:rPr>
          <w:rFonts w:ascii="Times New Roman" w:hAnsi="Times New Roman" w:cs="Times New Roman" w:hint="eastAsia"/>
          <w:sz w:val="20"/>
          <w:szCs w:val="20"/>
        </w:rPr>
        <w:t>receptors</w:t>
      </w:r>
      <w:r w:rsidR="00826DD3" w:rsidRPr="00E97F8E">
        <w:rPr>
          <w:rFonts w:ascii="Times New Roman" w:hAnsi="Times New Roman" w:cs="Times New Roman"/>
          <w:sz w:val="20"/>
          <w:szCs w:val="20"/>
        </w:rPr>
        <w:t xml:space="preserve"> at various concentrations were</w:t>
      </w:r>
      <w:r w:rsidR="00826DD3">
        <w:rPr>
          <w:rFonts w:ascii="Times New Roman" w:hAnsi="Times New Roman" w:cs="Times New Roman" w:hint="eastAsia"/>
          <w:sz w:val="20"/>
          <w:szCs w:val="20"/>
        </w:rPr>
        <w:t xml:space="preserve"> </w:t>
      </w:r>
      <w:r w:rsidR="00826DD3" w:rsidRPr="00E97F8E">
        <w:rPr>
          <w:rFonts w:ascii="Times New Roman" w:hAnsi="Times New Roman" w:cs="Times New Roman"/>
          <w:sz w:val="20"/>
          <w:szCs w:val="20"/>
        </w:rPr>
        <w:t>injected into the cells at 10μL/min for 2 min, to ensure a steady state of binding was reached,</w:t>
      </w:r>
      <w:r w:rsidR="00826DD3">
        <w:rPr>
          <w:rFonts w:ascii="Times New Roman" w:hAnsi="Times New Roman" w:cs="Times New Roman" w:hint="eastAsia"/>
          <w:sz w:val="20"/>
          <w:szCs w:val="20"/>
        </w:rPr>
        <w:t xml:space="preserve"> </w:t>
      </w:r>
      <w:r w:rsidR="00826DD3" w:rsidRPr="00E97F8E">
        <w:rPr>
          <w:rFonts w:ascii="Times New Roman" w:hAnsi="Times New Roman" w:cs="Times New Roman"/>
          <w:sz w:val="20"/>
          <w:szCs w:val="20"/>
        </w:rPr>
        <w:t>followed by 6 min dissociation. The sensor surface was regenerated through a prolonged wash</w:t>
      </w:r>
      <w:r w:rsidR="00826DD3">
        <w:rPr>
          <w:rFonts w:ascii="Times New Roman" w:hAnsi="Times New Roman" w:cs="Times New Roman" w:hint="eastAsia"/>
          <w:sz w:val="20"/>
          <w:szCs w:val="20"/>
        </w:rPr>
        <w:t xml:space="preserve"> </w:t>
      </w:r>
      <w:r w:rsidR="00826DD3" w:rsidRPr="00E97F8E">
        <w:rPr>
          <w:rFonts w:ascii="Times New Roman" w:hAnsi="Times New Roman" w:cs="Times New Roman"/>
          <w:sz w:val="20"/>
          <w:szCs w:val="20"/>
        </w:rPr>
        <w:t>(3 min) with HBS-EP buffer until the baseline was restored.</w:t>
      </w:r>
      <w:r w:rsidR="00826DD3">
        <w:rPr>
          <w:rFonts w:ascii="Times New Roman" w:hAnsi="Times New Roman" w:cs="Times New Roman" w:hint="eastAsia"/>
          <w:sz w:val="20"/>
          <w:szCs w:val="20"/>
        </w:rPr>
        <w:t xml:space="preserve"> </w:t>
      </w:r>
      <w:r w:rsidR="00826DD3">
        <w:rPr>
          <w:rFonts w:ascii="Times New Roman" w:hAnsi="Times New Roman" w:cs="Times New Roman"/>
          <w:sz w:val="20"/>
          <w:szCs w:val="20"/>
        </w:rPr>
        <w:t>A</w:t>
      </w:r>
      <w:r w:rsidR="00826DD3">
        <w:rPr>
          <w:rFonts w:ascii="Times New Roman" w:hAnsi="Times New Roman" w:cs="Times New Roman" w:hint="eastAsia"/>
          <w:sz w:val="20"/>
          <w:szCs w:val="20"/>
        </w:rPr>
        <w:t xml:space="preserve"> reference cell without antibodies was prepared by a similar procedure. For CD147 antigen binding assays, 5</w:t>
      </w:r>
      <w:r w:rsidR="00826DD3">
        <w:rPr>
          <w:rFonts w:ascii="Times New Roman" w:hAnsi="Times New Roman" w:cs="Times New Roman"/>
          <w:sz w:val="20"/>
          <w:szCs w:val="20"/>
        </w:rPr>
        <w:t xml:space="preserve"> different concentration of human CD147 antigen (0.375, 0.75, 1.5, 3, and 6n</w:t>
      </w:r>
      <w:bookmarkStart w:id="1" w:name="_GoBack"/>
      <w:bookmarkEnd w:id="1"/>
      <w:r w:rsidR="00826DD3">
        <w:rPr>
          <w:rFonts w:ascii="Times New Roman" w:hAnsi="Times New Roman" w:cs="Times New Roman"/>
          <w:sz w:val="20"/>
          <w:szCs w:val="20"/>
        </w:rPr>
        <w:t xml:space="preserve">M) were injected in </w:t>
      </w:r>
      <w:r w:rsidR="00826DD3" w:rsidRPr="006341A9">
        <w:rPr>
          <w:rFonts w:ascii="Times New Roman" w:hAnsi="Times New Roman" w:cs="Times New Roman"/>
          <w:sz w:val="20"/>
          <w:szCs w:val="20"/>
        </w:rPr>
        <w:t>channels 1 to 5, respectively</w:t>
      </w:r>
      <w:r w:rsidR="00826DD3">
        <w:rPr>
          <w:rFonts w:ascii="Times New Roman" w:hAnsi="Times New Roman" w:cs="Times New Roman"/>
          <w:sz w:val="20"/>
          <w:szCs w:val="20"/>
        </w:rPr>
        <w:t>, at flow rate of 50</w:t>
      </w:r>
      <w:r w:rsidR="00826DD3" w:rsidRPr="007F5ABC">
        <w:rPr>
          <w:rFonts w:ascii="Times New Roman" w:hAnsi="Times New Roman" w:cs="Times New Roman"/>
          <w:sz w:val="20"/>
          <w:szCs w:val="20"/>
        </w:rPr>
        <w:t xml:space="preserve">μl </w:t>
      </w:r>
      <w:r w:rsidR="00826DD3">
        <w:rPr>
          <w:rFonts w:ascii="Times New Roman" w:hAnsi="Times New Roman" w:cs="Times New Roman"/>
          <w:sz w:val="20"/>
          <w:szCs w:val="20"/>
        </w:rPr>
        <w:t xml:space="preserve">/min, 3min. </w:t>
      </w:r>
      <w:r w:rsidR="00826DD3" w:rsidRPr="002E7AC6">
        <w:rPr>
          <w:rFonts w:ascii="Times New Roman" w:hAnsi="Times New Roman" w:cs="Times New Roman"/>
          <w:sz w:val="20"/>
          <w:szCs w:val="20"/>
        </w:rPr>
        <w:t xml:space="preserve">A reference channel was prepared in the same manner without injection of </w:t>
      </w:r>
      <w:r w:rsidR="00826DD3">
        <w:rPr>
          <w:rFonts w:ascii="Times New Roman" w:hAnsi="Times New Roman" w:cs="Times New Roman"/>
          <w:sz w:val="20"/>
          <w:szCs w:val="20"/>
        </w:rPr>
        <w:t xml:space="preserve">CD147 antigen. </w:t>
      </w:r>
      <w:r w:rsidR="00826DD3" w:rsidRPr="002E7AC6">
        <w:rPr>
          <w:rFonts w:ascii="Times New Roman" w:hAnsi="Times New Roman" w:cs="Times New Roman"/>
          <w:sz w:val="20"/>
          <w:szCs w:val="20"/>
        </w:rPr>
        <w:t>The SPR binding responses were</w:t>
      </w:r>
      <w:r w:rsidR="00826DD3">
        <w:rPr>
          <w:rFonts w:ascii="Times New Roman" w:hAnsi="Times New Roman" w:cs="Times New Roman"/>
          <w:sz w:val="20"/>
          <w:szCs w:val="20"/>
        </w:rPr>
        <w:t xml:space="preserve"> collected and analyzed </w:t>
      </w:r>
      <w:r w:rsidR="00826DD3" w:rsidRPr="002E7AC6">
        <w:rPr>
          <w:rFonts w:ascii="Times New Roman" w:hAnsi="Times New Roman" w:cs="Times New Roman"/>
          <w:sz w:val="20"/>
          <w:szCs w:val="20"/>
        </w:rPr>
        <w:t>using the ProteOn data manager program.</w:t>
      </w:r>
    </w:p>
    <w:p w14:paraId="0CB2E03D" w14:textId="77777777" w:rsidR="00826DD3" w:rsidRDefault="00826DD3" w:rsidP="006E1147">
      <w:pPr>
        <w:spacing w:line="360" w:lineRule="auto"/>
        <w:rPr>
          <w:rFonts w:ascii="Times New Roman" w:hAnsi="Times New Roman" w:cs="Times New Roman"/>
          <w:b/>
          <w:sz w:val="20"/>
          <w:szCs w:val="20"/>
        </w:rPr>
      </w:pPr>
    </w:p>
    <w:p w14:paraId="7F4BABCD" w14:textId="77777777" w:rsidR="008C13B5" w:rsidRPr="008C13B5" w:rsidRDefault="008C13B5" w:rsidP="008C13B5">
      <w:pPr>
        <w:spacing w:line="360" w:lineRule="auto"/>
        <w:rPr>
          <w:rFonts w:ascii="Times New Roman" w:hAnsi="Times New Roman" w:cs="Times New Roman" w:hint="eastAsia"/>
          <w:sz w:val="20"/>
          <w:szCs w:val="20"/>
        </w:rPr>
      </w:pPr>
    </w:p>
    <w:p w14:paraId="51CB68EF" w14:textId="77777777" w:rsidR="001A5119" w:rsidRPr="001A5119" w:rsidRDefault="001A5119" w:rsidP="001A5119">
      <w:pPr>
        <w:spacing w:line="360" w:lineRule="auto"/>
        <w:rPr>
          <w:rFonts w:ascii="Times New Roman" w:hAnsi="Times New Roman" w:cs="Times New Roman"/>
          <w:b/>
          <w:sz w:val="20"/>
          <w:szCs w:val="20"/>
        </w:rPr>
      </w:pPr>
      <w:r w:rsidRPr="001A5119">
        <w:rPr>
          <w:rFonts w:ascii="Times New Roman" w:hAnsi="Times New Roman" w:cs="Times New Roman"/>
          <w:b/>
          <w:sz w:val="20"/>
          <w:szCs w:val="20"/>
        </w:rPr>
        <w:t>ADCC assays</w:t>
      </w:r>
    </w:p>
    <w:p w14:paraId="62FDC553" w14:textId="77777777" w:rsidR="00FD4663" w:rsidRDefault="001A5119" w:rsidP="00FD4663">
      <w:pPr>
        <w:spacing w:line="360" w:lineRule="auto"/>
        <w:rPr>
          <w:rFonts w:ascii="Times New Roman" w:hAnsi="Times New Roman" w:cs="Times New Roman"/>
          <w:b/>
          <w:sz w:val="20"/>
          <w:szCs w:val="20"/>
        </w:rPr>
      </w:pPr>
      <w:r w:rsidRPr="001A5119">
        <w:rPr>
          <w:rFonts w:ascii="Times New Roman" w:hAnsi="Times New Roman" w:cs="Times New Roman"/>
          <w:sz w:val="20"/>
          <w:szCs w:val="20"/>
        </w:rPr>
        <w:t>In vitro ADCC assays were performed with human lung cancer cell lines as targets, and human peripheral blood mononuclear cells (PBMCs) isolated from the blood of normal volunteers, or murine peripheral blood mononuclear cells (mPBMCs) obtained from SCID-mice as effector cell. The human NK cells were enriched from the hPBMCs using mouse anti-human CD57 (FITC) mAb, and murine NK cells were enriched from the mPBMCs using Rat anti-mouse CD335 (NKp64), PerCP-Cy®5.5 mAb, the murine macrophages/monocytes were enriched from the PBMCs using rat anti-mouse CD14 (FITC) mAb by flow cytometry sorting. In brief, the target cells (1 × 10</w:t>
      </w:r>
      <w:r w:rsidRPr="00732B1E">
        <w:rPr>
          <w:rFonts w:ascii="Times New Roman" w:hAnsi="Times New Roman" w:cs="Times New Roman"/>
          <w:sz w:val="20"/>
          <w:szCs w:val="20"/>
          <w:vertAlign w:val="superscript"/>
        </w:rPr>
        <w:t>4</w:t>
      </w:r>
      <w:r w:rsidRPr="001A5119">
        <w:rPr>
          <w:rFonts w:ascii="Times New Roman" w:hAnsi="Times New Roman" w:cs="Times New Roman"/>
          <w:sz w:val="20"/>
          <w:szCs w:val="20"/>
        </w:rPr>
        <w:t xml:space="preserve"> per well) were washed with </w:t>
      </w:r>
      <w:r w:rsidRPr="001A5119">
        <w:rPr>
          <w:rFonts w:ascii="Times New Roman" w:hAnsi="Times New Roman" w:cs="Times New Roman"/>
          <w:sz w:val="20"/>
          <w:szCs w:val="20"/>
        </w:rPr>
        <w:lastRenderedPageBreak/>
        <w:t>PBS and preincubated with antibodies for 30</w:t>
      </w:r>
      <w:r w:rsidRPr="001A5119">
        <w:rPr>
          <w:rFonts w:ascii="Times New Roman" w:hAnsi="Times New Roman" w:cs="Times New Roman" w:hint="eastAsia"/>
          <w:sz w:val="20"/>
          <w:szCs w:val="20"/>
        </w:rPr>
        <w:t xml:space="preserve"> min at 37</w:t>
      </w:r>
      <w:r w:rsidRPr="001A5119">
        <w:rPr>
          <w:rFonts w:ascii="Times New Roman" w:hAnsi="Times New Roman" w:cs="Times New Roman" w:hint="eastAsia"/>
          <w:sz w:val="20"/>
          <w:szCs w:val="20"/>
        </w:rPr>
        <w:t>℃</w:t>
      </w:r>
      <w:r w:rsidRPr="001A5119">
        <w:rPr>
          <w:rFonts w:ascii="Times New Roman" w:hAnsi="Times New Roman" w:cs="Times New Roman" w:hint="eastAsia"/>
          <w:sz w:val="20"/>
          <w:szCs w:val="20"/>
        </w:rPr>
        <w:t xml:space="preserve"> in serum-free RPMI-1640 supplemented with 0.1% BSA prior to the addition of the effector cells at an effector/target ratio of 30:1 (5:1 when NKs or macrophages/monocytes were used as effectors). The cells were incubated for an additional 24 h p</w:t>
      </w:r>
      <w:r w:rsidRPr="001A5119">
        <w:rPr>
          <w:rFonts w:ascii="Times New Roman" w:hAnsi="Times New Roman" w:cs="Times New Roman"/>
          <w:sz w:val="20"/>
          <w:szCs w:val="20"/>
        </w:rPr>
        <w:t>rior to the detection of cell death by measuring lactate dehydrogenase (LDH) activity in the medium using a Cytotoxicity Detection Kit (LDH; Roche) according to the manufacturer’s protocols. Cytotoxicity (expressed as a percentage) = (experimental cell lysis - spontaneous effector lysis - spontaneous target lysis) / (maximum target lysis - spontaneous target lysis) × 100%. All assays were performed in triplicate.</w:t>
      </w:r>
      <w:r w:rsidR="00FD4663" w:rsidRPr="00FD4663">
        <w:rPr>
          <w:rFonts w:ascii="Times New Roman" w:hAnsi="Times New Roman" w:cs="Times New Roman"/>
          <w:b/>
          <w:sz w:val="20"/>
          <w:szCs w:val="20"/>
        </w:rPr>
        <w:t xml:space="preserve"> </w:t>
      </w:r>
    </w:p>
    <w:p w14:paraId="45029BC3" w14:textId="77777777" w:rsidR="00FD4663" w:rsidRDefault="00FD4663" w:rsidP="00FD4663">
      <w:pPr>
        <w:spacing w:line="360" w:lineRule="auto"/>
        <w:rPr>
          <w:rFonts w:ascii="Times New Roman" w:hAnsi="Times New Roman" w:cs="Times New Roman"/>
          <w:b/>
          <w:sz w:val="20"/>
          <w:szCs w:val="20"/>
        </w:rPr>
      </w:pPr>
    </w:p>
    <w:p w14:paraId="583B18C9" w14:textId="3C87E901" w:rsidR="00FD4663" w:rsidRPr="008C13B5" w:rsidRDefault="00FD4663" w:rsidP="00FD4663">
      <w:pPr>
        <w:spacing w:line="360" w:lineRule="auto"/>
        <w:rPr>
          <w:rFonts w:ascii="Times New Roman" w:hAnsi="Times New Roman" w:cs="Times New Roman"/>
          <w:b/>
          <w:sz w:val="20"/>
          <w:szCs w:val="20"/>
        </w:rPr>
      </w:pPr>
      <w:r w:rsidRPr="008C13B5">
        <w:rPr>
          <w:rFonts w:ascii="Times New Roman" w:hAnsi="Times New Roman" w:cs="Times New Roman"/>
          <w:b/>
          <w:sz w:val="20"/>
          <w:szCs w:val="20"/>
        </w:rPr>
        <w:t>Tissue cross-reactivity studies</w:t>
      </w:r>
    </w:p>
    <w:p w14:paraId="6E32AE4F" w14:textId="77777777" w:rsidR="00FD4663" w:rsidRDefault="00FD4663" w:rsidP="00FD4663">
      <w:pPr>
        <w:spacing w:line="360" w:lineRule="auto"/>
        <w:rPr>
          <w:rFonts w:ascii="Times New Roman" w:hAnsi="Times New Roman" w:cs="Times New Roman"/>
          <w:sz w:val="20"/>
          <w:szCs w:val="20"/>
        </w:rPr>
      </w:pPr>
      <w:r w:rsidRPr="008C13B5">
        <w:rPr>
          <w:rFonts w:ascii="Times New Roman" w:hAnsi="Times New Roman" w:cs="Times New Roman"/>
          <w:sz w:val="20"/>
          <w:szCs w:val="20"/>
        </w:rPr>
        <w:t>Tissue cross-reactivity of Metuzumab was evaluated in FFPE tissue sections from a selected panel of Cynomolgus monkey, Rhesus monkey, rat, and human tissues. Human lung cancer tissue arrays (Chaoying Biotechnology Co., LTD, China.) were included as positiv</w:t>
      </w:r>
      <w:r w:rsidRPr="008C13B5">
        <w:rPr>
          <w:rFonts w:ascii="Times New Roman" w:hAnsi="Times New Roman" w:cs="Times New Roman" w:hint="eastAsia"/>
          <w:sz w:val="20"/>
          <w:szCs w:val="20"/>
        </w:rPr>
        <w:t>e control. Slides were microwaved for 10 min in 10mM sodium citrated (pH6.0), cooled for 30 min at 25</w:t>
      </w:r>
      <w:r w:rsidRPr="008C13B5">
        <w:rPr>
          <w:rFonts w:ascii="Times New Roman" w:hAnsi="Times New Roman" w:cs="Times New Roman" w:hint="eastAsia"/>
          <w:sz w:val="20"/>
          <w:szCs w:val="20"/>
        </w:rPr>
        <w:t>℃</w:t>
      </w:r>
      <w:r w:rsidRPr="008C13B5">
        <w:rPr>
          <w:rFonts w:ascii="Times New Roman" w:hAnsi="Times New Roman" w:cs="Times New Roman" w:hint="eastAsia"/>
          <w:sz w:val="20"/>
          <w:szCs w:val="20"/>
        </w:rPr>
        <w:t>. After incubating for10 min in 3% H2O2 to block endogenous peroxidase, and blocking for 1hr in 10% goat serum, slides were incubated overnight in a humid</w:t>
      </w:r>
      <w:r w:rsidRPr="008C13B5">
        <w:rPr>
          <w:rFonts w:ascii="Times New Roman" w:hAnsi="Times New Roman" w:cs="Times New Roman"/>
          <w:sz w:val="20"/>
          <w:szCs w:val="20"/>
        </w:rPr>
        <w:t>ity chamber with biotinylated Metuzumab (30μg/ml). Binding was visualized with streptavidin-conjugated peroxidase (ZsBio, China) and DAB detection system (ZsBio, China). Sections were analyzed using a bright-field microscope. The staining results were evaluated by 2 experienced pathologist in a blinded manner and classified into four categories: of 0 (no visible staining), 1+ (light brown), 2+ (mid-brown), and 3+ (dark brown), respectively, with the same intensity covering more than 75% of the staining area.</w:t>
      </w:r>
    </w:p>
    <w:p w14:paraId="2816EE6E" w14:textId="226BDBCB" w:rsidR="006E1147" w:rsidRDefault="006E1147" w:rsidP="006E1147">
      <w:pPr>
        <w:spacing w:line="360" w:lineRule="auto"/>
        <w:rPr>
          <w:rFonts w:ascii="Times New Roman" w:hAnsi="Times New Roman" w:cs="Times New Roman"/>
          <w:sz w:val="20"/>
          <w:szCs w:val="20"/>
        </w:rPr>
      </w:pPr>
    </w:p>
    <w:sectPr w:rsidR="006E1147" w:rsidSect="00631220">
      <w:type w:val="continuous"/>
      <w:pgSz w:w="11907" w:h="16839" w:code="9"/>
      <w:pgMar w:top="1440" w:right="1800" w:bottom="1440" w:left="1800"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D4482" w14:textId="77777777" w:rsidR="00E26C0D" w:rsidRDefault="00E26C0D" w:rsidP="000B604D">
      <w:r>
        <w:separator/>
      </w:r>
    </w:p>
  </w:endnote>
  <w:endnote w:type="continuationSeparator" w:id="0">
    <w:p w14:paraId="58BA2C9E" w14:textId="77777777" w:rsidR="00E26C0D" w:rsidRDefault="00E26C0D" w:rsidP="000B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AB5CD" w14:textId="77777777" w:rsidR="00E26C0D" w:rsidRDefault="00E26C0D" w:rsidP="000B604D">
      <w:r>
        <w:separator/>
      </w:r>
    </w:p>
  </w:footnote>
  <w:footnote w:type="continuationSeparator" w:id="0">
    <w:p w14:paraId="38874DFA" w14:textId="77777777" w:rsidR="00E26C0D" w:rsidRDefault="00E26C0D" w:rsidP="000B6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5A38"/>
    <w:rsid w:val="00020EEB"/>
    <w:rsid w:val="000223BE"/>
    <w:rsid w:val="00023275"/>
    <w:rsid w:val="00045C88"/>
    <w:rsid w:val="00090741"/>
    <w:rsid w:val="000B604D"/>
    <w:rsid w:val="000E157A"/>
    <w:rsid w:val="000F01ED"/>
    <w:rsid w:val="000F0930"/>
    <w:rsid w:val="001113A2"/>
    <w:rsid w:val="001253AF"/>
    <w:rsid w:val="00126A49"/>
    <w:rsid w:val="00136C37"/>
    <w:rsid w:val="00154BEA"/>
    <w:rsid w:val="00156BC1"/>
    <w:rsid w:val="00165830"/>
    <w:rsid w:val="00177150"/>
    <w:rsid w:val="00190267"/>
    <w:rsid w:val="001A254B"/>
    <w:rsid w:val="001A5119"/>
    <w:rsid w:val="001B47DF"/>
    <w:rsid w:val="001B5A38"/>
    <w:rsid w:val="00251A05"/>
    <w:rsid w:val="002701D6"/>
    <w:rsid w:val="00270480"/>
    <w:rsid w:val="002706DE"/>
    <w:rsid w:val="002D109F"/>
    <w:rsid w:val="002D2397"/>
    <w:rsid w:val="002E2B03"/>
    <w:rsid w:val="002F22D0"/>
    <w:rsid w:val="00305E4D"/>
    <w:rsid w:val="003301DF"/>
    <w:rsid w:val="00333981"/>
    <w:rsid w:val="00350831"/>
    <w:rsid w:val="0035602A"/>
    <w:rsid w:val="0035682A"/>
    <w:rsid w:val="00371135"/>
    <w:rsid w:val="00382A5C"/>
    <w:rsid w:val="0039557E"/>
    <w:rsid w:val="003B2F88"/>
    <w:rsid w:val="003C76BB"/>
    <w:rsid w:val="003D0040"/>
    <w:rsid w:val="003E21B6"/>
    <w:rsid w:val="003E496E"/>
    <w:rsid w:val="004454FD"/>
    <w:rsid w:val="00451727"/>
    <w:rsid w:val="00454BC3"/>
    <w:rsid w:val="004742A2"/>
    <w:rsid w:val="00476386"/>
    <w:rsid w:val="00487433"/>
    <w:rsid w:val="00496085"/>
    <w:rsid w:val="004966C1"/>
    <w:rsid w:val="004969B8"/>
    <w:rsid w:val="004A263B"/>
    <w:rsid w:val="004C5624"/>
    <w:rsid w:val="004F46EB"/>
    <w:rsid w:val="004F47A0"/>
    <w:rsid w:val="005110BE"/>
    <w:rsid w:val="0052201A"/>
    <w:rsid w:val="00522393"/>
    <w:rsid w:val="0053102F"/>
    <w:rsid w:val="00535F0F"/>
    <w:rsid w:val="005539C1"/>
    <w:rsid w:val="0058206B"/>
    <w:rsid w:val="0059196B"/>
    <w:rsid w:val="005A3D37"/>
    <w:rsid w:val="005C2189"/>
    <w:rsid w:val="005F6302"/>
    <w:rsid w:val="00611694"/>
    <w:rsid w:val="00631220"/>
    <w:rsid w:val="006341A9"/>
    <w:rsid w:val="0066134F"/>
    <w:rsid w:val="0068211F"/>
    <w:rsid w:val="00686F48"/>
    <w:rsid w:val="00690458"/>
    <w:rsid w:val="006A2006"/>
    <w:rsid w:val="006A41A3"/>
    <w:rsid w:val="006B3F40"/>
    <w:rsid w:val="006E09CC"/>
    <w:rsid w:val="006E1147"/>
    <w:rsid w:val="00704C20"/>
    <w:rsid w:val="00710B88"/>
    <w:rsid w:val="0072005D"/>
    <w:rsid w:val="00732B1E"/>
    <w:rsid w:val="00735D16"/>
    <w:rsid w:val="00742C72"/>
    <w:rsid w:val="00752BEF"/>
    <w:rsid w:val="00771A18"/>
    <w:rsid w:val="00781265"/>
    <w:rsid w:val="007A1208"/>
    <w:rsid w:val="007E5D9E"/>
    <w:rsid w:val="007F1305"/>
    <w:rsid w:val="008209B4"/>
    <w:rsid w:val="00826DD3"/>
    <w:rsid w:val="008472C5"/>
    <w:rsid w:val="00892C6D"/>
    <w:rsid w:val="00893D71"/>
    <w:rsid w:val="008957E4"/>
    <w:rsid w:val="00896018"/>
    <w:rsid w:val="0089740F"/>
    <w:rsid w:val="008A3BC9"/>
    <w:rsid w:val="008B473F"/>
    <w:rsid w:val="008C13B5"/>
    <w:rsid w:val="008C5E0C"/>
    <w:rsid w:val="008D2194"/>
    <w:rsid w:val="008F695B"/>
    <w:rsid w:val="009156C6"/>
    <w:rsid w:val="00936F06"/>
    <w:rsid w:val="0094618D"/>
    <w:rsid w:val="00954CE8"/>
    <w:rsid w:val="00987042"/>
    <w:rsid w:val="009B13F3"/>
    <w:rsid w:val="009B2698"/>
    <w:rsid w:val="009E166E"/>
    <w:rsid w:val="009F68D4"/>
    <w:rsid w:val="00A02F7C"/>
    <w:rsid w:val="00A36D60"/>
    <w:rsid w:val="00A5603A"/>
    <w:rsid w:val="00A6773D"/>
    <w:rsid w:val="00A77944"/>
    <w:rsid w:val="00A92720"/>
    <w:rsid w:val="00AB6451"/>
    <w:rsid w:val="00AE5471"/>
    <w:rsid w:val="00AF0303"/>
    <w:rsid w:val="00B14760"/>
    <w:rsid w:val="00B5155E"/>
    <w:rsid w:val="00B53A61"/>
    <w:rsid w:val="00B64DF9"/>
    <w:rsid w:val="00B72E16"/>
    <w:rsid w:val="00B737E5"/>
    <w:rsid w:val="00B82314"/>
    <w:rsid w:val="00B93958"/>
    <w:rsid w:val="00BA66C0"/>
    <w:rsid w:val="00BC5401"/>
    <w:rsid w:val="00BD1363"/>
    <w:rsid w:val="00C210C1"/>
    <w:rsid w:val="00C36B10"/>
    <w:rsid w:val="00C6728D"/>
    <w:rsid w:val="00CA4C32"/>
    <w:rsid w:val="00D15557"/>
    <w:rsid w:val="00D21EED"/>
    <w:rsid w:val="00D241C0"/>
    <w:rsid w:val="00D729DE"/>
    <w:rsid w:val="00D81517"/>
    <w:rsid w:val="00D82CEE"/>
    <w:rsid w:val="00D86A75"/>
    <w:rsid w:val="00D94ECE"/>
    <w:rsid w:val="00DA47EE"/>
    <w:rsid w:val="00DD0957"/>
    <w:rsid w:val="00DF3B31"/>
    <w:rsid w:val="00DF7BFB"/>
    <w:rsid w:val="00E020E6"/>
    <w:rsid w:val="00E045DE"/>
    <w:rsid w:val="00E04875"/>
    <w:rsid w:val="00E04B4D"/>
    <w:rsid w:val="00E14CE4"/>
    <w:rsid w:val="00E17969"/>
    <w:rsid w:val="00E24296"/>
    <w:rsid w:val="00E26C0D"/>
    <w:rsid w:val="00E46D0C"/>
    <w:rsid w:val="00E5031C"/>
    <w:rsid w:val="00E521C5"/>
    <w:rsid w:val="00E72C2E"/>
    <w:rsid w:val="00E94B02"/>
    <w:rsid w:val="00E954FD"/>
    <w:rsid w:val="00E97F8E"/>
    <w:rsid w:val="00EA1726"/>
    <w:rsid w:val="00ED0F91"/>
    <w:rsid w:val="00EE1464"/>
    <w:rsid w:val="00EF2EB6"/>
    <w:rsid w:val="00F10DE4"/>
    <w:rsid w:val="00F11055"/>
    <w:rsid w:val="00F22486"/>
    <w:rsid w:val="00F43480"/>
    <w:rsid w:val="00FD46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98A22"/>
  <w15:docId w15:val="{C85A9CD4-5832-4D99-A6D1-3FBCF561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147"/>
    <w:pPr>
      <w:widowControl w:val="0"/>
      <w:jc w:val="both"/>
    </w:pPr>
  </w:style>
  <w:style w:type="paragraph" w:styleId="1">
    <w:name w:val="heading 1"/>
    <w:basedOn w:val="a"/>
    <w:next w:val="a"/>
    <w:link w:val="1Char"/>
    <w:uiPriority w:val="9"/>
    <w:qFormat/>
    <w:rsid w:val="00A92720"/>
    <w:pPr>
      <w:keepNext/>
      <w:keepLines/>
      <w:spacing w:beforeLines="100" w:afterLines="100" w:line="360" w:lineRule="auto"/>
      <w:jc w:val="left"/>
      <w:outlineLvl w:val="0"/>
    </w:pPr>
    <w:rPr>
      <w:rFonts w:ascii="Times New Roman" w:eastAsia="宋体"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60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604D"/>
    <w:rPr>
      <w:sz w:val="18"/>
      <w:szCs w:val="18"/>
    </w:rPr>
  </w:style>
  <w:style w:type="paragraph" w:styleId="a4">
    <w:name w:val="footer"/>
    <w:basedOn w:val="a"/>
    <w:link w:val="Char0"/>
    <w:uiPriority w:val="99"/>
    <w:unhideWhenUsed/>
    <w:rsid w:val="000B604D"/>
    <w:pPr>
      <w:tabs>
        <w:tab w:val="center" w:pos="4153"/>
        <w:tab w:val="right" w:pos="8306"/>
      </w:tabs>
      <w:snapToGrid w:val="0"/>
      <w:jc w:val="left"/>
    </w:pPr>
    <w:rPr>
      <w:sz w:val="18"/>
      <w:szCs w:val="18"/>
    </w:rPr>
  </w:style>
  <w:style w:type="character" w:customStyle="1" w:styleId="Char0">
    <w:name w:val="页脚 Char"/>
    <w:basedOn w:val="a0"/>
    <w:link w:val="a4"/>
    <w:uiPriority w:val="99"/>
    <w:rsid w:val="000B604D"/>
    <w:rPr>
      <w:sz w:val="18"/>
      <w:szCs w:val="18"/>
    </w:rPr>
  </w:style>
  <w:style w:type="character" w:customStyle="1" w:styleId="1Char">
    <w:name w:val="标题 1 Char"/>
    <w:basedOn w:val="a0"/>
    <w:link w:val="1"/>
    <w:uiPriority w:val="9"/>
    <w:rsid w:val="00A92720"/>
    <w:rPr>
      <w:rFonts w:ascii="Times New Roman" w:eastAsia="宋体" w:hAnsi="Times New Roman" w:cs="Times New Roman"/>
      <w:b/>
      <w:bCs/>
      <w:kern w:val="44"/>
      <w:sz w:val="28"/>
      <w:szCs w:val="44"/>
    </w:rPr>
  </w:style>
  <w:style w:type="paragraph" w:styleId="a5">
    <w:name w:val="No Spacing"/>
    <w:aliases w:val="表格,No Spacing1"/>
    <w:link w:val="Char1"/>
    <w:uiPriority w:val="1"/>
    <w:qFormat/>
    <w:rsid w:val="00A92720"/>
    <w:pPr>
      <w:widowControl w:val="0"/>
      <w:jc w:val="both"/>
    </w:pPr>
    <w:rPr>
      <w:rFonts w:ascii="Times New Roman" w:eastAsia="宋体" w:hAnsi="Times New Roman" w:cs="Times New Roman"/>
    </w:rPr>
  </w:style>
  <w:style w:type="character" w:customStyle="1" w:styleId="Char1">
    <w:name w:val="无间隔 Char"/>
    <w:aliases w:val="表格 Char,No Spacing1 Char"/>
    <w:basedOn w:val="a0"/>
    <w:link w:val="a5"/>
    <w:uiPriority w:val="1"/>
    <w:rsid w:val="00A92720"/>
    <w:rPr>
      <w:rFonts w:ascii="Times New Roman" w:eastAsia="宋体" w:hAnsi="Times New Roman" w:cs="Times New Roman"/>
    </w:rPr>
  </w:style>
  <w:style w:type="table" w:styleId="a6">
    <w:name w:val="Table Grid"/>
    <w:basedOn w:val="a1"/>
    <w:uiPriority w:val="59"/>
    <w:rsid w:val="00A9272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图表标题"/>
    <w:basedOn w:val="a"/>
    <w:link w:val="Char2"/>
    <w:qFormat/>
    <w:rsid w:val="00A92720"/>
    <w:pPr>
      <w:snapToGrid w:val="0"/>
      <w:jc w:val="center"/>
    </w:pPr>
    <w:rPr>
      <w:rFonts w:ascii="Times New Roman" w:eastAsia="宋体" w:hAnsi="Times New Roman" w:cs="Times New Roman"/>
      <w:kern w:val="0"/>
      <w:szCs w:val="21"/>
      <w:lang w:eastAsia="en-US" w:bidi="en-US"/>
    </w:rPr>
  </w:style>
  <w:style w:type="character" w:customStyle="1" w:styleId="Char2">
    <w:name w:val="图表标题 Char"/>
    <w:basedOn w:val="a0"/>
    <w:link w:val="a7"/>
    <w:rsid w:val="00A92720"/>
    <w:rPr>
      <w:rFonts w:ascii="Times New Roman" w:eastAsia="宋体" w:hAnsi="Times New Roman" w:cs="Times New Roman"/>
      <w:kern w:val="0"/>
      <w:szCs w:val="21"/>
      <w:lang w:eastAsia="en-US" w:bidi="en-US"/>
    </w:rPr>
  </w:style>
  <w:style w:type="paragraph" w:styleId="a8">
    <w:name w:val="List Paragraph"/>
    <w:basedOn w:val="a"/>
    <w:uiPriority w:val="34"/>
    <w:qFormat/>
    <w:rsid w:val="00A92720"/>
    <w:pPr>
      <w:ind w:firstLineChars="200" w:firstLine="420"/>
    </w:pPr>
    <w:rPr>
      <w:rFonts w:ascii="Times New Roman" w:eastAsia="宋体" w:hAnsi="Times New Roman" w:cs="Times New Roman"/>
      <w:szCs w:val="24"/>
    </w:rPr>
  </w:style>
  <w:style w:type="character" w:customStyle="1" w:styleId="apple-converted-space">
    <w:name w:val="apple-converted-space"/>
    <w:basedOn w:val="a0"/>
    <w:rsid w:val="00A92720"/>
  </w:style>
  <w:style w:type="paragraph" w:styleId="a9">
    <w:name w:val="Balloon Text"/>
    <w:basedOn w:val="a"/>
    <w:link w:val="Char3"/>
    <w:uiPriority w:val="99"/>
    <w:semiHidden/>
    <w:unhideWhenUsed/>
    <w:rsid w:val="00A92720"/>
    <w:rPr>
      <w:sz w:val="18"/>
      <w:szCs w:val="18"/>
    </w:rPr>
  </w:style>
  <w:style w:type="character" w:customStyle="1" w:styleId="Char3">
    <w:name w:val="批注框文本 Char"/>
    <w:basedOn w:val="a0"/>
    <w:link w:val="a9"/>
    <w:uiPriority w:val="99"/>
    <w:semiHidden/>
    <w:rsid w:val="00A92720"/>
    <w:rPr>
      <w:sz w:val="18"/>
      <w:szCs w:val="18"/>
    </w:rPr>
  </w:style>
  <w:style w:type="character" w:customStyle="1" w:styleId="def">
    <w:name w:val="def"/>
    <w:basedOn w:val="a0"/>
    <w:rsid w:val="00A92720"/>
  </w:style>
  <w:style w:type="character" w:styleId="aa">
    <w:name w:val="Hyperlink"/>
    <w:basedOn w:val="a0"/>
    <w:uiPriority w:val="99"/>
    <w:unhideWhenUsed/>
    <w:rsid w:val="00A92720"/>
    <w:rPr>
      <w:color w:val="0563C1" w:themeColor="hyperlink"/>
      <w:u w:val="single"/>
    </w:rPr>
  </w:style>
  <w:style w:type="paragraph" w:styleId="ab">
    <w:name w:val="Normal (Web)"/>
    <w:basedOn w:val="a"/>
    <w:uiPriority w:val="99"/>
    <w:semiHidden/>
    <w:unhideWhenUsed/>
    <w:rsid w:val="00A92720"/>
    <w:pPr>
      <w:widowControl/>
      <w:spacing w:before="100" w:beforeAutospacing="1" w:after="100" w:afterAutospacing="1"/>
      <w:jc w:val="left"/>
    </w:pPr>
    <w:rPr>
      <w:rFonts w:ascii="宋体" w:eastAsia="宋体" w:hAnsi="宋体" w:cs="宋体"/>
      <w:kern w:val="0"/>
      <w:sz w:val="24"/>
      <w:szCs w:val="24"/>
    </w:rPr>
  </w:style>
  <w:style w:type="character" w:styleId="ac">
    <w:name w:val="annotation reference"/>
    <w:basedOn w:val="a0"/>
    <w:uiPriority w:val="99"/>
    <w:semiHidden/>
    <w:unhideWhenUsed/>
    <w:rsid w:val="00A92720"/>
    <w:rPr>
      <w:sz w:val="21"/>
      <w:szCs w:val="21"/>
    </w:rPr>
  </w:style>
  <w:style w:type="paragraph" w:styleId="ad">
    <w:name w:val="annotation text"/>
    <w:basedOn w:val="a"/>
    <w:link w:val="Char4"/>
    <w:uiPriority w:val="99"/>
    <w:semiHidden/>
    <w:unhideWhenUsed/>
    <w:rsid w:val="00A92720"/>
    <w:pPr>
      <w:jc w:val="left"/>
    </w:pPr>
  </w:style>
  <w:style w:type="character" w:customStyle="1" w:styleId="Char4">
    <w:name w:val="批注文字 Char"/>
    <w:basedOn w:val="a0"/>
    <w:link w:val="ad"/>
    <w:uiPriority w:val="99"/>
    <w:semiHidden/>
    <w:rsid w:val="00A92720"/>
  </w:style>
  <w:style w:type="paragraph" w:styleId="ae">
    <w:name w:val="annotation subject"/>
    <w:basedOn w:val="ad"/>
    <w:next w:val="ad"/>
    <w:link w:val="Char5"/>
    <w:uiPriority w:val="99"/>
    <w:semiHidden/>
    <w:unhideWhenUsed/>
    <w:rsid w:val="00A92720"/>
    <w:rPr>
      <w:b/>
      <w:bCs/>
    </w:rPr>
  </w:style>
  <w:style w:type="character" w:customStyle="1" w:styleId="Char5">
    <w:name w:val="批注主题 Char"/>
    <w:basedOn w:val="Char4"/>
    <w:link w:val="ae"/>
    <w:uiPriority w:val="99"/>
    <w:semiHidden/>
    <w:rsid w:val="00A92720"/>
    <w:rPr>
      <w:b/>
      <w:bCs/>
    </w:rPr>
  </w:style>
  <w:style w:type="character" w:styleId="af">
    <w:name w:val="Emphasis"/>
    <w:basedOn w:val="a0"/>
    <w:uiPriority w:val="20"/>
    <w:qFormat/>
    <w:rsid w:val="00A927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Zhang</dc:creator>
  <cp:keywords/>
  <dc:description/>
  <cp:lastModifiedBy>Zheng Zhang</cp:lastModifiedBy>
  <cp:revision>46</cp:revision>
  <dcterms:created xsi:type="dcterms:W3CDTF">2013-12-23T17:04:00Z</dcterms:created>
  <dcterms:modified xsi:type="dcterms:W3CDTF">2014-09-15T08:06:00Z</dcterms:modified>
</cp:coreProperties>
</file>