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ED1ACF" w14:textId="32E8EAF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Supplemental Figure S1 – Determination of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expression in UC and subtyping of UC cell lines.</w:t>
      </w:r>
    </w:p>
    <w:p w14:paraId="35F3FD6B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0333A0CE" wp14:editId="24D68FC4">
            <wp:extent cx="6021553" cy="35471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8852" r="2422" b="48484"/>
                    <a:stretch/>
                  </pic:blipFill>
                  <pic:spPr bwMode="auto">
                    <a:xfrm>
                      <a:off x="0" y="0"/>
                      <a:ext cx="6025432" cy="354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CC63D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65FF236" w14:textId="6C4DD54C" w:rsidR="00F57132" w:rsidRPr="006A502C" w:rsidRDefault="00F5713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Supplemental Figure S1 – Determination of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expression in UC and subtyping of UC cell lines. </w:t>
      </w:r>
    </w:p>
    <w:p w14:paraId="49DBCBDF" w14:textId="15CDE6EA" w:rsidR="00F57132" w:rsidRDefault="00F57132" w:rsidP="00B47DC2">
      <w:pPr>
        <w:ind w:firstLine="720"/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(A)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>Quantitative analysis of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levels in bladder epithelium, NMIBC (n = 20) and MIBC (n = 39) tissue sections present on the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Biomax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tissue array.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(B)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Western blot analysis showing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expression in primary bladder epithelial cells and multiple UC cell lines. GAPDH is used as loading control.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(C)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mRNA expression analysis showing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expression in primary bladder epithelial cells and multiple UC cell lines.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(D)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Expression levels of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in various UC cell lines</w:t>
      </w:r>
      <w:r w:rsidR="003318DD">
        <w:rPr>
          <w:rFonts w:ascii="Arial" w:hAnsi="Arial" w:cs="Arial"/>
          <w:bCs/>
          <w:color w:val="000000" w:themeColor="text1"/>
          <w:sz w:val="22"/>
          <w:szCs w:val="22"/>
        </w:rPr>
        <w:t>,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extracted from RNA-Seq data available on the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Cancer Cell Line Encyclopedia.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Cell lines used in this report are indicated in green.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(E)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Western blot analysis showing expression levels of the </w:t>
      </w:r>
      <w:r w:rsidR="000A056F" w:rsidRPr="006A502C">
        <w:rPr>
          <w:rFonts w:ascii="Arial" w:hAnsi="Arial" w:cs="Arial"/>
          <w:bCs/>
          <w:color w:val="000000" w:themeColor="text1"/>
          <w:sz w:val="22"/>
          <w:szCs w:val="22"/>
        </w:rPr>
        <w:t>basal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markers KRT5 and KRT6, and the </w:t>
      </w:r>
      <w:r w:rsidR="000A056F" w:rsidRPr="006A502C">
        <w:rPr>
          <w:rFonts w:ascii="Arial" w:hAnsi="Arial" w:cs="Arial"/>
          <w:bCs/>
          <w:color w:val="000000" w:themeColor="text1"/>
          <w:sz w:val="22"/>
          <w:szCs w:val="22"/>
        </w:rPr>
        <w:t>luminal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marker F</w:t>
      </w:r>
      <w:r w:rsidR="000A056F" w:rsidRPr="006A502C">
        <w:rPr>
          <w:rFonts w:ascii="Arial" w:hAnsi="Arial" w:cs="Arial"/>
          <w:bCs/>
          <w:color w:val="000000" w:themeColor="text1"/>
          <w:sz w:val="22"/>
          <w:szCs w:val="22"/>
        </w:rPr>
        <w:t>OXA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1 in several UC cell lines. Data are presented as mean </w:t>
      </w:r>
      <w:r w:rsidRPr="006A502C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±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SEM. **** (p &lt; 0.0001), ** (p &lt; 0.01), * (p &lt; 0.05).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Student’s two-tailed unpaired t-test for pairwise comparisons, and one-way ANOVA for multiple comparisons.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Asterisks represent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values for comparison between control and used experimental conditions.</w:t>
      </w:r>
    </w:p>
    <w:p w14:paraId="74516A20" w14:textId="77777777" w:rsidR="00B47DC2" w:rsidRPr="006A502C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Supplemental Figure S2 – Effect of pharmacological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inhibition on gene expression and cell cycle progression.</w:t>
      </w:r>
    </w:p>
    <w:p w14:paraId="172056AF" w14:textId="77777777" w:rsidR="00B47DC2" w:rsidRPr="006A502C" w:rsidRDefault="00B47DC2" w:rsidP="00B47DC2">
      <w:pPr>
        <w:ind w:firstLine="720"/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50083FDA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A23F503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53BA4888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9690488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0E1BE100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58C7B012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30790474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549D4538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1E299E3C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61F7A3BD" w14:textId="77777777" w:rsidR="00B47DC2" w:rsidRPr="006A502C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Supplemental Figure S2 – Effect of pharmacological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inhibition on gene expression and cell cycle progression.</w:t>
      </w:r>
    </w:p>
    <w:p w14:paraId="74AE68CE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10290414" w14:textId="3DA81806" w:rsidR="00F57132" w:rsidRPr="006A502C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5B8C979F" wp14:editId="7CBA6552">
            <wp:extent cx="5945254" cy="55875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6" t="7792" r="2849" b="25688"/>
                    <a:stretch/>
                  </pic:blipFill>
                  <pic:spPr bwMode="auto">
                    <a:xfrm>
                      <a:off x="0" y="0"/>
                      <a:ext cx="5952505" cy="559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A805D" w14:textId="77777777" w:rsidR="00B47DC2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108E337B" w14:textId="13C3BD86" w:rsidR="00F57132" w:rsidRPr="006A502C" w:rsidRDefault="00F5713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Supplemental Figure S2 – Effect of pharmacological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inhibition on gene expression and cell cycle progression.</w:t>
      </w:r>
    </w:p>
    <w:p w14:paraId="208F8F78" w14:textId="62966B9D" w:rsidR="00F57132" w:rsidRDefault="00F5713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ab/>
        <w:t>(A)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qPCR for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target genes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PLIN2, SCD,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and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FABP4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following 48 </w:t>
      </w:r>
      <w:proofErr w:type="spellStart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hrs</w:t>
      </w:r>
      <w:proofErr w:type="spellEnd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of DMSO or 100 </w:t>
      </w:r>
      <w:proofErr w:type="spellStart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nM</w:t>
      </w:r>
      <w:proofErr w:type="spellEnd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T0070907 treatment in 5637 cells.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(B)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Annexin V–PI double-negative population of UC cell lines treated with DMSO or 100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nM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T0070907 in long-term culture, determined by flow cytometry.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(C)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Representative flow cytometry plots of PI cell cycle analysis data of control and T0070907 treated 5637 cells displayed in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Fig. 2C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.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(D)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Boyden chamber invasion assay of control and T0070907 treated cells.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(E)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mRNA expression levels of the migration markers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MMP3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,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MMP9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, and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TIMP1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in control and T0070907 treated cells. Data are presented as mean </w:t>
      </w:r>
      <w:r w:rsidRPr="006A502C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±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SEM. **** (p &lt; 0.0001), ** (p &lt; 0.01), * (p &lt; 0.05).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Student’s two-tailed unpaired t-test for pairwise comparisons.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Asterisks represent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values for comparison between control and used experimental conditions.</w:t>
      </w:r>
    </w:p>
    <w:p w14:paraId="517C0ED2" w14:textId="1F51661B" w:rsidR="00B47DC2" w:rsidRDefault="00B47DC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4E0230E4" w14:textId="77777777" w:rsidR="00FB7058" w:rsidRPr="006A502C" w:rsidRDefault="00FB7058" w:rsidP="00FB7058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S3 – Validation of </w:t>
      </w:r>
      <w:r w:rsidRPr="006A502C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 xml:space="preserve">PPARG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CRISPR KO and shRNA rescue experiment.</w:t>
      </w:r>
    </w:p>
    <w:p w14:paraId="10C6EF28" w14:textId="3AD180BD" w:rsidR="00B47DC2" w:rsidRDefault="00B47DC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124496C6" w14:textId="77777777" w:rsidR="00B47DC2" w:rsidRDefault="00B47DC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0C707FED" w14:textId="228789B2" w:rsidR="00B47DC2" w:rsidRPr="006A502C" w:rsidRDefault="00B47DC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7063186F" wp14:editId="62B55E9E">
            <wp:extent cx="6097579" cy="527473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" t="8929" r="2564" b="26991"/>
                    <a:stretch/>
                  </pic:blipFill>
                  <pic:spPr bwMode="auto">
                    <a:xfrm>
                      <a:off x="0" y="0"/>
                      <a:ext cx="6104494" cy="528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FAFC8" w14:textId="77777777" w:rsidR="00F57132" w:rsidRPr="006A502C" w:rsidRDefault="00F5713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Supplemental Figure S3 – Validation of </w:t>
      </w:r>
      <w:r w:rsidRPr="006A502C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 xml:space="preserve">PPARG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CRISPR KO and shRNA rescue experiment.</w:t>
      </w:r>
    </w:p>
    <w:p w14:paraId="0DACCB10" w14:textId="6C58E1AD" w:rsidR="00F57132" w:rsidRDefault="00F57132" w:rsidP="00B47DC2">
      <w:pPr>
        <w:ind w:firstLine="720"/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(A)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Representative flow cytometry plots of PI cell cycle analysis data of control and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6 5637 cells.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(B)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Western blot of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levels in 5637 cells following addition of empty vector (control) or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shRNA-resistant cDNA (cDNA) and expression of either SCR or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shRNA #2 (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sh2). GAPDH was used as loading control.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(C)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Growth curve of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shRNA rescue experiment in 5637 cells.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(D)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Oil red O staining of NIH-3T3 cells expressing either empty vector or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shRNA-resistant cDNA and treated with </w:t>
      </w:r>
      <w:proofErr w:type="spellStart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adipogenic</w:t>
      </w:r>
      <w:proofErr w:type="spellEnd"/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cocktail. Scale bar = 500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sym w:font="Symbol" w:char="F06D"/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m.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(E)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Boyden chamber invasion assay of control,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6 and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9 UC cells.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 xml:space="preserve"> (F)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mRNA expression levels of the migration markers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MMP3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,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MMP9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and </w:t>
      </w:r>
      <w:r w:rsidRPr="006A502C">
        <w:rPr>
          <w:rFonts w:ascii="Arial" w:hAnsi="Arial" w:cs="Arial"/>
          <w:bCs/>
          <w:i/>
          <w:iCs/>
          <w:color w:val="000000" w:themeColor="text1"/>
          <w:sz w:val="22"/>
          <w:szCs w:val="22"/>
        </w:rPr>
        <w:t>TIMP1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in control,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6 and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9 UC cells. Data are presented as mean </w:t>
      </w:r>
      <w:r w:rsidRPr="006A502C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±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SEM. **** (p &lt; 0.0001), *** (p &lt; 0.001), ** (p &lt; 0.01), * (p &lt; 0.05).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n.s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>. = not significant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.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Student’s two-tailed unpaired t-test for pairwise comparisons, and one-way ANOVA for multiple comparisons.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Asterisks represent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values for comparison between control and used experimental conditions.</w:t>
      </w:r>
    </w:p>
    <w:p w14:paraId="28D68915" w14:textId="16C3C735" w:rsidR="00B47DC2" w:rsidRDefault="00B47DC2" w:rsidP="00B47DC2">
      <w:pPr>
        <w:ind w:firstLine="72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B3B0AEC" w14:textId="245D93E5" w:rsidR="00B47DC2" w:rsidRDefault="00FB7058" w:rsidP="00FB7058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S4 – Validation of </w:t>
      </w:r>
      <w:proofErr w:type="spellStart"/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-seq data from the 5637 cell line.</w:t>
      </w:r>
    </w:p>
    <w:p w14:paraId="77E8A4F3" w14:textId="77777777" w:rsidR="00B47DC2" w:rsidRPr="006A502C" w:rsidRDefault="00B47DC2" w:rsidP="00B47DC2">
      <w:pPr>
        <w:ind w:firstLine="72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38F6D1EC" w14:textId="38232A68" w:rsidR="00F57132" w:rsidRPr="006A502C" w:rsidRDefault="00B47DC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45CCE2B3" wp14:editId="221D3FC1">
            <wp:extent cx="5932593" cy="413152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1" t="9853" r="8114" b="45070"/>
                    <a:stretch/>
                  </pic:blipFill>
                  <pic:spPr bwMode="auto">
                    <a:xfrm>
                      <a:off x="0" y="0"/>
                      <a:ext cx="5944092" cy="4139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C910D" w14:textId="77777777" w:rsidR="00FB7058" w:rsidRDefault="00FB7058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6FE00B8B" w14:textId="34FF6B85" w:rsidR="00F57132" w:rsidRPr="006A502C" w:rsidRDefault="00F57132" w:rsidP="00B47DC2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Supplemental Figure S4 – Validation of </w:t>
      </w:r>
      <w:proofErr w:type="spellStart"/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-seq data from the 5637 cell line.</w:t>
      </w:r>
    </w:p>
    <w:p w14:paraId="0127D846" w14:textId="77777777" w:rsidR="00F57132" w:rsidRPr="006A502C" w:rsidRDefault="00F57132" w:rsidP="00B47DC2">
      <w:pPr>
        <w:ind w:firstLine="720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(A)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>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RXR, and IgG enrichment at enhancer sites near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PDK4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and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CPT1A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(</w:t>
      </w:r>
      <w:r w:rsidRPr="006A502C">
        <w:rPr>
          <w:rFonts w:ascii="Arial" w:hAnsi="Arial" w:cs="Arial"/>
          <w:i/>
          <w:iCs/>
          <w:color w:val="000000" w:themeColor="text1"/>
          <w:sz w:val="22"/>
          <w:szCs w:val="22"/>
        </w:rPr>
        <w:t>INS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negative control) in 5637 cells, assayed by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-qPCR.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 xml:space="preserve">(B)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>-qPCR for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RXR, and IgG enrichment at top binding sites identified by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-seq.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 xml:space="preserve">(C)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>-seq tracks of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>, RXR, IgG and Input, showing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-RXR occupancy ~2 kb upstream of </w:t>
      </w:r>
      <w:r w:rsidRPr="006A502C">
        <w:rPr>
          <w:rFonts w:ascii="Arial" w:hAnsi="Arial" w:cs="Arial"/>
          <w:i/>
          <w:iCs/>
          <w:color w:val="000000" w:themeColor="text1"/>
          <w:sz w:val="22"/>
          <w:szCs w:val="22"/>
        </w:rPr>
        <w:t>HS1BP3-IT1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(D)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ChIP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>-seq tracks of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>, RXR, IgG and Input, showing PPAR</w:t>
      </w:r>
      <w:r w:rsidRPr="006A502C">
        <w:rPr>
          <w:rFonts w:ascii="Symbol" w:hAnsi="Symbol" w:cs="Arial"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-RXR occupancy at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RXRA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intronic enhancer site.  </w:t>
      </w:r>
    </w:p>
    <w:p w14:paraId="70A0A3CF" w14:textId="77BBCFD6" w:rsidR="00F57132" w:rsidRPr="006A502C" w:rsidRDefault="00F5713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6C5F065F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3671E6A4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73E8C304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4B6204BF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2864CE7F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03E7C056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291A4645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43E6772F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25241944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52F17E60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6E17CFCD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69D50083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2268D120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615476CB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321E43BD" w14:textId="77777777" w:rsidR="00FB7058" w:rsidRPr="006A502C" w:rsidRDefault="00FB7058" w:rsidP="00FB7058">
      <w:pPr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Supplemental Figure S5 –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regulates proliferation and migration through SHH in UC.</w:t>
      </w:r>
    </w:p>
    <w:p w14:paraId="39314484" w14:textId="77777777" w:rsidR="00FB7058" w:rsidRDefault="00FB7058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7B2130B6" w14:textId="005E3559" w:rsidR="000A056F" w:rsidRPr="006A502C" w:rsidRDefault="00B47DC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5C729F12" wp14:editId="5960DBF4">
            <wp:extent cx="5878213" cy="6595533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6" t="7974" r="12239" b="22234"/>
                    <a:stretch/>
                  </pic:blipFill>
                  <pic:spPr bwMode="auto">
                    <a:xfrm>
                      <a:off x="0" y="0"/>
                      <a:ext cx="5898142" cy="661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78A58" w14:textId="77777777" w:rsidR="000A056F" w:rsidRPr="006A502C" w:rsidRDefault="000A056F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5DB926BF" w14:textId="77777777" w:rsidR="00F57132" w:rsidRPr="006A502C" w:rsidRDefault="00F57132" w:rsidP="00B47DC2">
      <w:pPr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Supplemental Figure S5 – PPAR</w:t>
      </w:r>
      <w:r w:rsidRPr="006A502C">
        <w:rPr>
          <w:rFonts w:ascii="Symbol" w:hAnsi="Symbol" w:cs="Arial"/>
          <w:b/>
          <w:bCs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regulates proliferation and migration through SHH in UC.</w:t>
      </w:r>
    </w:p>
    <w:p w14:paraId="23105E02" w14:textId="77777777" w:rsidR="00F57132" w:rsidRPr="006A502C" w:rsidRDefault="00F57132" w:rsidP="00B47DC2">
      <w:pPr>
        <w:ind w:firstLine="720"/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(A)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gene expression following 100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nM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Rosiglitazone or T0070907 treatment, relative to DMSO in 5637 cells.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(B)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gene expression following T0070907 treatment in 5637, HT-1197 and Cal-29 cells, relative to Ctrl.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(C)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iCs/>
          <w:color w:val="000000" w:themeColor="text1"/>
          <w:sz w:val="22"/>
          <w:szCs w:val="22"/>
        </w:rPr>
        <w:t>SHH protein levels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following 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4, 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treatment.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>GAPDH was used as loading control.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(D)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gene expression following 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5, 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6 shRNA treatment, relative to Ctrl.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(E)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Flow cytometric analysis of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EdU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incorporation in 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5, 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6 shRNA treated UC cell lines.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(F)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Boyden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lastRenderedPageBreak/>
        <w:t xml:space="preserve">chamber invasion assay of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5, 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6 shRNA treated UC cells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(G)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Flow cytometric analysis of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EdU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incorporation in 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5, and/or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sgRNA 6 treated UC cells. </w:t>
      </w:r>
      <w:r w:rsidRPr="006A502C">
        <w:rPr>
          <w:rFonts w:ascii="Arial" w:hAnsi="Arial" w:cs="Arial"/>
          <w:b/>
          <w:bCs/>
          <w:color w:val="000000" w:themeColor="text1"/>
          <w:sz w:val="22"/>
          <w:szCs w:val="22"/>
        </w:rPr>
        <w:t>(H)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Boyden chamber invasion assay of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control,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SHH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shRNA 5, and/or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sgRNA 6 treated UC cells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. </w:t>
      </w:r>
      <w:r w:rsidRPr="006A502C">
        <w:rPr>
          <w:rFonts w:ascii="Arial" w:hAnsi="Arial" w:cs="Arial"/>
          <w:b/>
          <w:color w:val="000000" w:themeColor="text1"/>
          <w:sz w:val="22"/>
          <w:szCs w:val="22"/>
        </w:rPr>
        <w:t>(I)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mRNA expression analysis of PPAR</w:t>
      </w:r>
      <w:r w:rsidRPr="006A502C">
        <w:rPr>
          <w:rFonts w:ascii="Symbol" w:hAnsi="Symbol" w:cs="Arial"/>
          <w:color w:val="000000" w:themeColor="text1"/>
          <w:sz w:val="22"/>
          <w:szCs w:val="22"/>
        </w:rPr>
        <w:t>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 targets within the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KEGG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>hsa03320: PPAR signaling pathway (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FABP4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PLIN2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LPL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Pr="006A502C">
        <w:rPr>
          <w:rFonts w:ascii="Arial" w:hAnsi="Arial" w:cs="Arial"/>
          <w:i/>
          <w:color w:val="000000" w:themeColor="text1"/>
          <w:sz w:val="22"/>
          <w:szCs w:val="22"/>
        </w:rPr>
        <w:t>SCD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) in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inverse agonist-treated or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PPARG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sgRNA 6-treated cells relative to DMSO treated 5637 cells. Data are presented as mean </w:t>
      </w:r>
      <w:r w:rsidRPr="006A502C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±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SEM. **** (p &lt; 0.0001), *** (p &lt; 0.001), ** (p &lt; 0.01), * (p &lt; 0.05), </w:t>
      </w:r>
      <w:proofErr w:type="spellStart"/>
      <w:r w:rsidRPr="006A502C">
        <w:rPr>
          <w:rFonts w:ascii="Arial" w:hAnsi="Arial" w:cs="Arial"/>
          <w:color w:val="000000" w:themeColor="text1"/>
          <w:sz w:val="22"/>
          <w:szCs w:val="22"/>
        </w:rPr>
        <w:t>n.s</w:t>
      </w:r>
      <w:proofErr w:type="spellEnd"/>
      <w:r w:rsidRPr="006A502C">
        <w:rPr>
          <w:rFonts w:ascii="Arial" w:hAnsi="Arial" w:cs="Arial"/>
          <w:color w:val="000000" w:themeColor="text1"/>
          <w:sz w:val="22"/>
          <w:szCs w:val="22"/>
        </w:rPr>
        <w:t>. = not significant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. </w:t>
      </w:r>
      <w:r w:rsidRPr="006A502C">
        <w:rPr>
          <w:rFonts w:ascii="Arial" w:hAnsi="Arial" w:cs="Arial"/>
          <w:color w:val="000000" w:themeColor="text1"/>
          <w:sz w:val="22"/>
          <w:szCs w:val="22"/>
        </w:rPr>
        <w:t xml:space="preserve">Student’s two-tailed unpaired t-test for pairwise comparisons or one-way ANOVA for multiple comparisons. 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Asterisks represent </w:t>
      </w:r>
      <w:r w:rsidRPr="006A502C">
        <w:rPr>
          <w:rFonts w:ascii="Arial" w:hAnsi="Arial" w:cs="Arial"/>
          <w:bCs/>
          <w:i/>
          <w:color w:val="000000" w:themeColor="text1"/>
          <w:sz w:val="22"/>
          <w:szCs w:val="22"/>
        </w:rPr>
        <w:t>p</w:t>
      </w:r>
      <w:r w:rsidRPr="006A502C">
        <w:rPr>
          <w:rFonts w:ascii="Arial" w:hAnsi="Arial" w:cs="Arial"/>
          <w:bCs/>
          <w:color w:val="000000" w:themeColor="text1"/>
          <w:sz w:val="22"/>
          <w:szCs w:val="22"/>
        </w:rPr>
        <w:t xml:space="preserve"> values for comparison between control and used experimental conditions.</w:t>
      </w:r>
    </w:p>
    <w:p w14:paraId="45F3266D" w14:textId="77777777" w:rsidR="00F57132" w:rsidRPr="006A502C" w:rsidRDefault="00F57132" w:rsidP="00B47DC2">
      <w:pPr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</w:p>
    <w:p w14:paraId="500D5DBC" w14:textId="77777777" w:rsidR="00041EF2" w:rsidRPr="006A502C" w:rsidRDefault="00041EF2" w:rsidP="00B47DC2">
      <w:pPr>
        <w:rPr>
          <w:color w:val="000000" w:themeColor="text1"/>
        </w:rPr>
      </w:pPr>
    </w:p>
    <w:sectPr w:rsidR="00041EF2" w:rsidRPr="006A502C" w:rsidSect="00793715">
      <w:footerReference w:type="even" r:id="rId11"/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3DDE9D" w14:textId="77777777" w:rsidR="00C87B1D" w:rsidRDefault="00C87B1D">
      <w:r>
        <w:separator/>
      </w:r>
    </w:p>
  </w:endnote>
  <w:endnote w:type="continuationSeparator" w:id="0">
    <w:p w14:paraId="307B3AF3" w14:textId="77777777" w:rsidR="00C87B1D" w:rsidRDefault="00C87B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160A2D" w14:textId="77777777" w:rsidR="002161DC" w:rsidRDefault="00F57132" w:rsidP="0080189C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4912D60" w14:textId="77777777" w:rsidR="002161DC" w:rsidRDefault="00C87B1D" w:rsidP="00A8298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97F142" w14:textId="77777777" w:rsidR="002161DC" w:rsidRPr="00A82985" w:rsidRDefault="00F57132" w:rsidP="0080189C">
    <w:pPr>
      <w:pStyle w:val="Footer"/>
      <w:framePr w:wrap="none" w:vAnchor="text" w:hAnchor="margin" w:xAlign="right" w:y="1"/>
      <w:rPr>
        <w:rStyle w:val="PageNumber"/>
        <w:rFonts w:ascii="Arial" w:hAnsi="Arial" w:cs="Arial"/>
        <w:sz w:val="22"/>
        <w:szCs w:val="22"/>
      </w:rPr>
    </w:pPr>
    <w:r w:rsidRPr="00A82985">
      <w:rPr>
        <w:rStyle w:val="PageNumber"/>
        <w:rFonts w:ascii="Arial" w:hAnsi="Arial" w:cs="Arial"/>
        <w:sz w:val="22"/>
        <w:szCs w:val="22"/>
      </w:rPr>
      <w:fldChar w:fldCharType="begin"/>
    </w:r>
    <w:r w:rsidRPr="00A82985">
      <w:rPr>
        <w:rStyle w:val="PageNumber"/>
        <w:rFonts w:ascii="Arial" w:hAnsi="Arial" w:cs="Arial"/>
        <w:sz w:val="22"/>
        <w:szCs w:val="22"/>
      </w:rPr>
      <w:instrText xml:space="preserve">PAGE  </w:instrText>
    </w:r>
    <w:r w:rsidRPr="00A82985">
      <w:rPr>
        <w:rStyle w:val="PageNumber"/>
        <w:rFonts w:ascii="Arial" w:hAnsi="Arial" w:cs="Arial"/>
        <w:sz w:val="22"/>
        <w:szCs w:val="22"/>
      </w:rPr>
      <w:fldChar w:fldCharType="separate"/>
    </w:r>
    <w:r>
      <w:rPr>
        <w:rStyle w:val="PageNumber"/>
        <w:rFonts w:ascii="Arial" w:hAnsi="Arial" w:cs="Arial"/>
        <w:noProof/>
        <w:sz w:val="22"/>
        <w:szCs w:val="22"/>
      </w:rPr>
      <w:t>6</w:t>
    </w:r>
    <w:r w:rsidRPr="00A82985">
      <w:rPr>
        <w:rStyle w:val="PageNumber"/>
        <w:rFonts w:ascii="Arial" w:hAnsi="Arial" w:cs="Arial"/>
        <w:sz w:val="22"/>
        <w:szCs w:val="22"/>
      </w:rPr>
      <w:fldChar w:fldCharType="end"/>
    </w:r>
  </w:p>
  <w:p w14:paraId="340F4BDE" w14:textId="77777777" w:rsidR="002161DC" w:rsidRPr="00A82985" w:rsidRDefault="00C87B1D" w:rsidP="00A82985">
    <w:pPr>
      <w:pStyle w:val="Footer"/>
      <w:ind w:right="360"/>
      <w:rPr>
        <w:rFonts w:ascii="Arial" w:hAnsi="Arial" w:cs="Arial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352F3F" w14:textId="77777777" w:rsidR="00C87B1D" w:rsidRDefault="00C87B1D">
      <w:r>
        <w:separator/>
      </w:r>
    </w:p>
  </w:footnote>
  <w:footnote w:type="continuationSeparator" w:id="0">
    <w:p w14:paraId="689B7B46" w14:textId="77777777" w:rsidR="00C87B1D" w:rsidRDefault="00C87B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132"/>
    <w:rsid w:val="00041EF2"/>
    <w:rsid w:val="000A056F"/>
    <w:rsid w:val="000F0F39"/>
    <w:rsid w:val="003318DD"/>
    <w:rsid w:val="006A502C"/>
    <w:rsid w:val="00716B59"/>
    <w:rsid w:val="008855EC"/>
    <w:rsid w:val="009C257F"/>
    <w:rsid w:val="00B47DC2"/>
    <w:rsid w:val="00C87B1D"/>
    <w:rsid w:val="00E44A6E"/>
    <w:rsid w:val="00F57132"/>
    <w:rsid w:val="00FB7058"/>
    <w:rsid w:val="00FE4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7CFDF5"/>
  <w15:chartTrackingRefBased/>
  <w15:docId w15:val="{EAD465CA-EDE4-6D4C-B22F-13184BDDEC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7DC2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F5713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7132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F57132"/>
  </w:style>
  <w:style w:type="paragraph" w:styleId="BalloonText">
    <w:name w:val="Balloon Text"/>
    <w:basedOn w:val="Normal"/>
    <w:link w:val="BalloonTextChar"/>
    <w:uiPriority w:val="99"/>
    <w:semiHidden/>
    <w:unhideWhenUsed/>
    <w:rsid w:val="003318D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18DD"/>
    <w:rPr>
      <w:rFonts w:ascii="Times New Roman" w:eastAsia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B47D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878</Words>
  <Characters>5007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Missiaen, Rindert</dc:creator>
  <cp:keywords/>
  <dc:description/>
  <cp:lastModifiedBy>Missiaen, Rindert</cp:lastModifiedBy>
  <cp:revision>4</cp:revision>
  <dcterms:created xsi:type="dcterms:W3CDTF">2020-12-16T04:43:00Z</dcterms:created>
  <dcterms:modified xsi:type="dcterms:W3CDTF">2020-12-16T17:12:00Z</dcterms:modified>
</cp:coreProperties>
</file>