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A8BB8" w14:textId="72E61EAA" w:rsidR="00845A4B" w:rsidRPr="004F5337" w:rsidRDefault="00845A4B" w:rsidP="00845A4B">
      <w:pPr>
        <w:pStyle w:val="Title"/>
        <w:spacing w:line="480" w:lineRule="auto"/>
        <w:rPr>
          <w:rFonts w:ascii="Times New Roman" w:hAnsi="Times New Roman"/>
          <w:b/>
          <w:sz w:val="22"/>
          <w:szCs w:val="22"/>
        </w:rPr>
      </w:pPr>
      <w:r w:rsidRPr="004F5337">
        <w:rPr>
          <w:rFonts w:ascii="Times New Roman" w:hAnsi="Times New Roman"/>
          <w:b/>
          <w:sz w:val="22"/>
          <w:szCs w:val="22"/>
        </w:rPr>
        <w:t xml:space="preserve">Supplementary </w:t>
      </w:r>
      <w:r w:rsidR="00B82660" w:rsidRPr="004F5337">
        <w:rPr>
          <w:rFonts w:ascii="Times New Roman" w:hAnsi="Times New Roman"/>
          <w:b/>
          <w:sz w:val="22"/>
          <w:szCs w:val="22"/>
        </w:rPr>
        <w:t>data:</w:t>
      </w:r>
    </w:p>
    <w:p w14:paraId="4D3150C0" w14:textId="7CFED6DC" w:rsidR="00310406" w:rsidRPr="00310406" w:rsidRDefault="00845A4B" w:rsidP="00310406">
      <w:pPr>
        <w:pStyle w:val="Title"/>
        <w:spacing w:line="480" w:lineRule="auto"/>
        <w:rPr>
          <w:rFonts w:ascii="Times New Roman" w:hAnsi="Times New Roman"/>
          <w:b/>
          <w:sz w:val="22"/>
          <w:szCs w:val="22"/>
        </w:rPr>
      </w:pPr>
      <w:r w:rsidRPr="004F5337">
        <w:rPr>
          <w:rFonts w:ascii="Times New Roman" w:hAnsi="Times New Roman"/>
          <w:b/>
          <w:sz w:val="22"/>
          <w:szCs w:val="22"/>
        </w:rPr>
        <w:t>Table</w:t>
      </w:r>
      <w:r w:rsidR="00B82660">
        <w:rPr>
          <w:rFonts w:ascii="Times New Roman" w:hAnsi="Times New Roman"/>
          <w:b/>
          <w:sz w:val="22"/>
          <w:szCs w:val="22"/>
        </w:rPr>
        <w:t xml:space="preserve"> </w:t>
      </w:r>
      <w:r w:rsidR="005342F6">
        <w:rPr>
          <w:rFonts w:ascii="Times New Roman" w:hAnsi="Times New Roman"/>
          <w:b/>
          <w:sz w:val="22"/>
          <w:szCs w:val="22"/>
        </w:rPr>
        <w:t xml:space="preserve">S1: </w:t>
      </w:r>
      <w:r w:rsidRPr="004F5337">
        <w:rPr>
          <w:rFonts w:ascii="Times New Roman" w:hAnsi="Times New Roman"/>
          <w:b/>
          <w:sz w:val="22"/>
          <w:szCs w:val="22"/>
        </w:rPr>
        <w:t xml:space="preserve">Transcription factors that can distinguish prostate cancer patient survival in GSE16560 dataset. </w:t>
      </w:r>
    </w:p>
    <w:p w14:paraId="53772F29" w14:textId="594342E6" w:rsidR="00845A4B" w:rsidRPr="004F5337" w:rsidRDefault="00845A4B" w:rsidP="00845A4B">
      <w:pPr>
        <w:pStyle w:val="Title"/>
        <w:spacing w:line="480" w:lineRule="auto"/>
        <w:rPr>
          <w:rFonts w:ascii="Times New Roman" w:hAnsi="Times New Roman"/>
          <w:b/>
          <w:sz w:val="22"/>
          <w:szCs w:val="22"/>
        </w:rPr>
      </w:pPr>
      <w:r w:rsidRPr="004F5337">
        <w:rPr>
          <w:rFonts w:ascii="Times New Roman" w:hAnsi="Times New Roman"/>
          <w:b/>
          <w:sz w:val="22"/>
          <w:szCs w:val="22"/>
        </w:rPr>
        <w:t>Table</w:t>
      </w:r>
      <w:r w:rsidR="00B82660">
        <w:rPr>
          <w:rFonts w:ascii="Times New Roman" w:hAnsi="Times New Roman"/>
          <w:b/>
          <w:sz w:val="22"/>
          <w:szCs w:val="22"/>
        </w:rPr>
        <w:t xml:space="preserve"> </w:t>
      </w:r>
      <w:r w:rsidR="005342F6">
        <w:rPr>
          <w:rFonts w:ascii="Times New Roman" w:hAnsi="Times New Roman"/>
          <w:b/>
          <w:sz w:val="22"/>
          <w:szCs w:val="22"/>
        </w:rPr>
        <w:t>S2: D</w:t>
      </w:r>
      <w:r w:rsidR="00152F66">
        <w:rPr>
          <w:rFonts w:ascii="Times New Roman" w:hAnsi="Times New Roman"/>
          <w:b/>
          <w:sz w:val="22"/>
          <w:szCs w:val="22"/>
        </w:rPr>
        <w:t>ifferentially expressed t</w:t>
      </w:r>
      <w:r w:rsidR="00310406" w:rsidRPr="004F5337">
        <w:rPr>
          <w:rFonts w:ascii="Times New Roman" w:hAnsi="Times New Roman"/>
          <w:b/>
          <w:sz w:val="22"/>
          <w:szCs w:val="22"/>
        </w:rPr>
        <w:t xml:space="preserve">ranscription factors </w:t>
      </w:r>
      <w:r w:rsidR="00310406">
        <w:rPr>
          <w:rFonts w:ascii="Times New Roman" w:hAnsi="Times New Roman"/>
          <w:b/>
          <w:sz w:val="22"/>
          <w:szCs w:val="22"/>
        </w:rPr>
        <w:t xml:space="preserve">in PDEF low </w:t>
      </w:r>
      <w:r w:rsidR="00152F66">
        <w:rPr>
          <w:rFonts w:ascii="Times New Roman" w:hAnsi="Times New Roman"/>
          <w:b/>
          <w:sz w:val="22"/>
          <w:szCs w:val="22"/>
        </w:rPr>
        <w:t>and</w:t>
      </w:r>
      <w:r w:rsidR="00310406">
        <w:rPr>
          <w:rFonts w:ascii="Times New Roman" w:hAnsi="Times New Roman"/>
          <w:b/>
          <w:sz w:val="22"/>
          <w:szCs w:val="22"/>
        </w:rPr>
        <w:t xml:space="preserve"> high </w:t>
      </w:r>
      <w:r w:rsidR="00152F66">
        <w:rPr>
          <w:rFonts w:ascii="Times New Roman" w:hAnsi="Times New Roman"/>
          <w:b/>
          <w:sz w:val="22"/>
          <w:szCs w:val="22"/>
        </w:rPr>
        <w:t>group in</w:t>
      </w:r>
      <w:r w:rsidR="00310406" w:rsidRPr="004F5337">
        <w:rPr>
          <w:rFonts w:ascii="Times New Roman" w:hAnsi="Times New Roman"/>
          <w:b/>
          <w:sz w:val="22"/>
          <w:szCs w:val="22"/>
        </w:rPr>
        <w:t xml:space="preserve"> GSE16560 dataset. </w:t>
      </w:r>
    </w:p>
    <w:p w14:paraId="1E59146F" w14:textId="193340AA" w:rsidR="00845A4B" w:rsidRPr="004F5337" w:rsidRDefault="00845A4B" w:rsidP="00845A4B">
      <w:pPr>
        <w:pStyle w:val="Title"/>
        <w:spacing w:line="480" w:lineRule="auto"/>
        <w:rPr>
          <w:rFonts w:ascii="Times New Roman" w:hAnsi="Times New Roman"/>
          <w:b/>
          <w:sz w:val="22"/>
          <w:szCs w:val="22"/>
        </w:rPr>
      </w:pPr>
      <w:r w:rsidRPr="004F5337">
        <w:rPr>
          <w:rFonts w:ascii="Times New Roman" w:hAnsi="Times New Roman"/>
          <w:b/>
          <w:sz w:val="22"/>
          <w:szCs w:val="22"/>
        </w:rPr>
        <w:t>Table</w:t>
      </w:r>
      <w:r w:rsidR="00B82660">
        <w:rPr>
          <w:rFonts w:ascii="Times New Roman" w:hAnsi="Times New Roman"/>
          <w:b/>
          <w:sz w:val="22"/>
          <w:szCs w:val="22"/>
        </w:rPr>
        <w:t xml:space="preserve"> </w:t>
      </w:r>
      <w:r w:rsidRPr="004F5337">
        <w:rPr>
          <w:rFonts w:ascii="Times New Roman" w:hAnsi="Times New Roman"/>
          <w:b/>
          <w:sz w:val="22"/>
          <w:szCs w:val="22"/>
        </w:rPr>
        <w:t>S3</w:t>
      </w:r>
      <w:r w:rsidR="00310406">
        <w:rPr>
          <w:rFonts w:ascii="Times New Roman" w:hAnsi="Times New Roman"/>
          <w:b/>
          <w:sz w:val="22"/>
          <w:szCs w:val="22"/>
        </w:rPr>
        <w:t>&amp;S4</w:t>
      </w:r>
      <w:r w:rsidRPr="004F5337">
        <w:rPr>
          <w:rFonts w:ascii="Times New Roman" w:hAnsi="Times New Roman"/>
          <w:b/>
          <w:sz w:val="22"/>
          <w:szCs w:val="22"/>
        </w:rPr>
        <w:t xml:space="preserve">: List of </w:t>
      </w:r>
      <w:r w:rsidR="00310406">
        <w:rPr>
          <w:rFonts w:ascii="Times New Roman" w:hAnsi="Times New Roman"/>
          <w:b/>
          <w:sz w:val="22"/>
          <w:szCs w:val="22"/>
        </w:rPr>
        <w:t xml:space="preserve">antibodies and </w:t>
      </w:r>
      <w:r w:rsidRPr="004F5337">
        <w:rPr>
          <w:rFonts w:ascii="Times New Roman" w:hAnsi="Times New Roman"/>
          <w:b/>
          <w:sz w:val="22"/>
          <w:szCs w:val="22"/>
        </w:rPr>
        <w:t>primer sequence used in this study</w:t>
      </w:r>
      <w:r w:rsidR="001331C0">
        <w:rPr>
          <w:rFonts w:ascii="Times New Roman" w:hAnsi="Times New Roman"/>
          <w:b/>
          <w:sz w:val="22"/>
          <w:szCs w:val="22"/>
        </w:rPr>
        <w:t>.</w:t>
      </w:r>
    </w:p>
    <w:p w14:paraId="71700F31" w14:textId="77777777" w:rsidR="00B82660" w:rsidRDefault="00B82660" w:rsidP="00845A4B">
      <w:pPr>
        <w:pStyle w:val="Title"/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5A71A650" w14:textId="5E446C55" w:rsidR="00845A4B" w:rsidRPr="004F5337" w:rsidRDefault="00845A4B" w:rsidP="00845A4B">
      <w:pPr>
        <w:pStyle w:val="Title"/>
        <w:spacing w:line="480" w:lineRule="auto"/>
        <w:rPr>
          <w:rFonts w:ascii="Times New Roman" w:hAnsi="Times New Roman"/>
          <w:b/>
          <w:sz w:val="22"/>
          <w:szCs w:val="22"/>
        </w:rPr>
      </w:pPr>
      <w:r w:rsidRPr="004F5337">
        <w:rPr>
          <w:rFonts w:ascii="Times New Roman" w:hAnsi="Times New Roman"/>
          <w:b/>
          <w:sz w:val="22"/>
          <w:szCs w:val="22"/>
        </w:rPr>
        <w:t>Figure</w:t>
      </w:r>
      <w:r w:rsidR="00D672C2">
        <w:rPr>
          <w:rFonts w:ascii="Times New Roman" w:hAnsi="Times New Roman"/>
          <w:b/>
          <w:sz w:val="22"/>
          <w:szCs w:val="22"/>
        </w:rPr>
        <w:t xml:space="preserve"> </w:t>
      </w:r>
      <w:r w:rsidRPr="004F5337">
        <w:rPr>
          <w:rFonts w:ascii="Times New Roman" w:hAnsi="Times New Roman"/>
          <w:b/>
          <w:sz w:val="22"/>
          <w:szCs w:val="22"/>
        </w:rPr>
        <w:t>S1</w:t>
      </w:r>
      <w:r w:rsidR="00D672C2">
        <w:rPr>
          <w:rFonts w:ascii="Times New Roman" w:hAnsi="Times New Roman"/>
          <w:b/>
          <w:sz w:val="22"/>
          <w:szCs w:val="22"/>
        </w:rPr>
        <w:t>:</w:t>
      </w:r>
      <w:r w:rsidRPr="004F5337">
        <w:rPr>
          <w:rFonts w:ascii="Times New Roman" w:hAnsi="Times New Roman"/>
          <w:b/>
          <w:sz w:val="22"/>
          <w:szCs w:val="22"/>
        </w:rPr>
        <w:t xml:space="preserve"> PDEF over-expression inhibit the transcription of EMT related gene</w:t>
      </w:r>
      <w:r w:rsidR="001331C0">
        <w:rPr>
          <w:rFonts w:ascii="Times New Roman" w:hAnsi="Times New Roman"/>
          <w:b/>
          <w:sz w:val="22"/>
          <w:szCs w:val="22"/>
        </w:rPr>
        <w:t>.</w:t>
      </w:r>
      <w:r w:rsidRPr="004F5337">
        <w:rPr>
          <w:rFonts w:ascii="Times New Roman" w:hAnsi="Times New Roman"/>
          <w:b/>
          <w:sz w:val="22"/>
          <w:szCs w:val="22"/>
        </w:rPr>
        <w:t xml:space="preserve"> </w:t>
      </w:r>
    </w:p>
    <w:p w14:paraId="5506298C" w14:textId="0998A90D" w:rsidR="00845A4B" w:rsidRPr="00AE79E9" w:rsidRDefault="00845A4B" w:rsidP="00845A4B">
      <w:pPr>
        <w:spacing w:line="480" w:lineRule="auto"/>
        <w:rPr>
          <w:sz w:val="22"/>
          <w:szCs w:val="22"/>
        </w:rPr>
      </w:pPr>
      <w:r w:rsidRPr="00AE79E9">
        <w:rPr>
          <w:sz w:val="22"/>
          <w:szCs w:val="22"/>
        </w:rPr>
        <w:t xml:space="preserve">(A) Scatter plot comparing expression level of EMT related genes (pink dot) between PC3-SCR and PC3-PDEF profile. (B) Gene set enrichment analysis with PDEF target gene set. (C) Hierarchical clustering of gene expression profile comparing PC3-SCR and PC3-PDEF. </w:t>
      </w:r>
    </w:p>
    <w:p w14:paraId="11E7C744" w14:textId="77777777" w:rsidR="00D672C2" w:rsidRDefault="00D672C2" w:rsidP="00845A4B">
      <w:pPr>
        <w:pStyle w:val="Title"/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2E0E823B" w14:textId="1D6F0784" w:rsidR="00310406" w:rsidRPr="00310406" w:rsidRDefault="00845A4B" w:rsidP="00310406">
      <w:pPr>
        <w:pStyle w:val="Title"/>
        <w:spacing w:line="480" w:lineRule="auto"/>
        <w:rPr>
          <w:rFonts w:ascii="Times New Roman" w:hAnsi="Times New Roman"/>
          <w:b/>
          <w:sz w:val="22"/>
          <w:szCs w:val="22"/>
        </w:rPr>
      </w:pPr>
      <w:r w:rsidRPr="004F5337">
        <w:rPr>
          <w:rFonts w:ascii="Times New Roman" w:hAnsi="Times New Roman"/>
          <w:b/>
          <w:sz w:val="22"/>
          <w:szCs w:val="22"/>
        </w:rPr>
        <w:t>Figure</w:t>
      </w:r>
      <w:r w:rsidR="00D672C2">
        <w:rPr>
          <w:rFonts w:ascii="Times New Roman" w:hAnsi="Times New Roman"/>
          <w:b/>
          <w:sz w:val="22"/>
          <w:szCs w:val="22"/>
        </w:rPr>
        <w:t xml:space="preserve"> </w:t>
      </w:r>
      <w:r w:rsidRPr="004F5337">
        <w:rPr>
          <w:rFonts w:ascii="Times New Roman" w:hAnsi="Times New Roman"/>
          <w:b/>
          <w:sz w:val="22"/>
          <w:szCs w:val="22"/>
        </w:rPr>
        <w:t>S2</w:t>
      </w:r>
      <w:r w:rsidR="00D672C2">
        <w:rPr>
          <w:rFonts w:ascii="Times New Roman" w:hAnsi="Times New Roman"/>
          <w:b/>
          <w:sz w:val="22"/>
          <w:szCs w:val="22"/>
        </w:rPr>
        <w:t>:</w:t>
      </w:r>
      <w:r w:rsidRPr="004F5337">
        <w:rPr>
          <w:rFonts w:ascii="Times New Roman" w:hAnsi="Times New Roman"/>
          <w:b/>
          <w:sz w:val="22"/>
          <w:szCs w:val="22"/>
        </w:rPr>
        <w:t xml:space="preserve"> PDEF inhibits prostate cancer migration and inv</w:t>
      </w:r>
      <w:bookmarkStart w:id="0" w:name="_GoBack"/>
      <w:bookmarkEnd w:id="0"/>
      <w:r w:rsidRPr="004F5337">
        <w:rPr>
          <w:rFonts w:ascii="Times New Roman" w:hAnsi="Times New Roman"/>
          <w:b/>
          <w:sz w:val="22"/>
          <w:szCs w:val="22"/>
        </w:rPr>
        <w:t xml:space="preserve">asion. </w:t>
      </w:r>
    </w:p>
    <w:p w14:paraId="614CB677" w14:textId="7DA69BCA" w:rsidR="00845A4B" w:rsidRPr="00AE79E9" w:rsidRDefault="00310406" w:rsidP="00845A4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 w:rsidR="00AE0BC9">
        <w:rPr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 w:rsidR="00AA126B">
        <w:rPr>
          <w:sz w:val="22"/>
          <w:szCs w:val="22"/>
        </w:rPr>
        <w:t>Immunofluorescence staining of DAPI, PDEF and E-Cadherin in PC3-SCR and PC3-PDEF cells.</w:t>
      </w:r>
      <w:r w:rsidRPr="00AE79E9">
        <w:rPr>
          <w:sz w:val="22"/>
          <w:szCs w:val="22"/>
        </w:rPr>
        <w:t xml:space="preserve"> </w:t>
      </w:r>
      <w:r w:rsidR="00845A4B" w:rsidRPr="00AE79E9">
        <w:rPr>
          <w:sz w:val="22"/>
          <w:szCs w:val="22"/>
        </w:rPr>
        <w:t>(</w:t>
      </w:r>
      <w:r w:rsidR="00AE0BC9">
        <w:rPr>
          <w:sz w:val="22"/>
          <w:szCs w:val="22"/>
        </w:rPr>
        <w:t>B</w:t>
      </w:r>
      <w:r w:rsidR="00845A4B" w:rsidRPr="00AE79E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845A4B" w:rsidRPr="00AE79E9">
        <w:rPr>
          <w:sz w:val="22"/>
          <w:szCs w:val="22"/>
        </w:rPr>
        <w:t xml:space="preserve"> </w:t>
      </w:r>
      <w:r w:rsidR="00AA126B" w:rsidRPr="00AE79E9">
        <w:rPr>
          <w:sz w:val="22"/>
          <w:szCs w:val="22"/>
        </w:rPr>
        <w:t xml:space="preserve">Trans-well invasion assay comparing PC3-SCR and PC3-PDEF cells. </w:t>
      </w:r>
      <w:r w:rsidR="00AA126B">
        <w:rPr>
          <w:sz w:val="22"/>
          <w:szCs w:val="22"/>
        </w:rPr>
        <w:t>(C) Immunohistochemistry staining of SV40 T-antigen of TRAMP mouse tissues.</w:t>
      </w:r>
    </w:p>
    <w:p w14:paraId="03D43195" w14:textId="77777777" w:rsidR="00D672C2" w:rsidRDefault="00D672C2" w:rsidP="00845A4B">
      <w:pPr>
        <w:pStyle w:val="Title"/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5700D8AF" w14:textId="6061CA7E" w:rsidR="00845A4B" w:rsidRPr="004F5337" w:rsidRDefault="00845A4B" w:rsidP="00845A4B">
      <w:pPr>
        <w:pStyle w:val="Title"/>
        <w:spacing w:line="480" w:lineRule="auto"/>
        <w:rPr>
          <w:rFonts w:ascii="Times New Roman" w:hAnsi="Times New Roman"/>
          <w:b/>
          <w:sz w:val="22"/>
          <w:szCs w:val="22"/>
        </w:rPr>
      </w:pPr>
      <w:r w:rsidRPr="004F5337">
        <w:rPr>
          <w:rFonts w:ascii="Times New Roman" w:hAnsi="Times New Roman"/>
          <w:b/>
          <w:sz w:val="22"/>
          <w:szCs w:val="22"/>
        </w:rPr>
        <w:t>Figure</w:t>
      </w:r>
      <w:r w:rsidR="00D672C2">
        <w:rPr>
          <w:rFonts w:ascii="Times New Roman" w:hAnsi="Times New Roman"/>
          <w:b/>
          <w:sz w:val="22"/>
          <w:szCs w:val="22"/>
        </w:rPr>
        <w:t xml:space="preserve"> </w:t>
      </w:r>
      <w:r w:rsidRPr="004F5337">
        <w:rPr>
          <w:rFonts w:ascii="Times New Roman" w:hAnsi="Times New Roman"/>
          <w:b/>
          <w:sz w:val="22"/>
          <w:szCs w:val="22"/>
        </w:rPr>
        <w:t>S3</w:t>
      </w:r>
      <w:r w:rsidR="00D672C2">
        <w:rPr>
          <w:rFonts w:ascii="Times New Roman" w:hAnsi="Times New Roman"/>
          <w:b/>
          <w:sz w:val="22"/>
          <w:szCs w:val="22"/>
        </w:rPr>
        <w:t xml:space="preserve">: </w:t>
      </w:r>
      <w:r w:rsidRPr="004F5337">
        <w:rPr>
          <w:rFonts w:ascii="Times New Roman" w:hAnsi="Times New Roman"/>
          <w:b/>
          <w:sz w:val="22"/>
          <w:szCs w:val="22"/>
        </w:rPr>
        <w:t xml:space="preserve"> PDEF binds to the promoter region of cytokeratin 18 independent of AR binding. </w:t>
      </w:r>
    </w:p>
    <w:p w14:paraId="5685892A" w14:textId="04BBD1F0" w:rsidR="00845A4B" w:rsidRDefault="00845A4B" w:rsidP="00845A4B">
      <w:pPr>
        <w:spacing w:line="480" w:lineRule="auto"/>
        <w:rPr>
          <w:sz w:val="22"/>
          <w:szCs w:val="22"/>
        </w:rPr>
      </w:pPr>
      <w:r w:rsidRPr="00AE79E9">
        <w:rPr>
          <w:sz w:val="22"/>
          <w:szCs w:val="22"/>
        </w:rPr>
        <w:t xml:space="preserve">Gene tracks view of PDEF, IgG, AR and </w:t>
      </w:r>
      <w:proofErr w:type="spellStart"/>
      <w:r w:rsidRPr="00AE79E9">
        <w:rPr>
          <w:sz w:val="22"/>
          <w:szCs w:val="22"/>
        </w:rPr>
        <w:t>PolII</w:t>
      </w:r>
      <w:proofErr w:type="spellEnd"/>
      <w:r w:rsidRPr="00AE79E9">
        <w:rPr>
          <w:sz w:val="22"/>
          <w:szCs w:val="22"/>
        </w:rPr>
        <w:t xml:space="preserve"> in </w:t>
      </w:r>
      <w:proofErr w:type="spellStart"/>
      <w:r w:rsidRPr="00AE79E9">
        <w:rPr>
          <w:sz w:val="22"/>
          <w:szCs w:val="22"/>
        </w:rPr>
        <w:t>VCap</w:t>
      </w:r>
      <w:proofErr w:type="spellEnd"/>
      <w:r w:rsidRPr="00AE79E9">
        <w:rPr>
          <w:sz w:val="22"/>
          <w:szCs w:val="22"/>
        </w:rPr>
        <w:t xml:space="preserve"> cells at KLK3 (PSA) region (A), cytokeratin 18 region (B) and Twist1 region (C).</w:t>
      </w:r>
    </w:p>
    <w:p w14:paraId="02AB58E3" w14:textId="77777777" w:rsidR="00D672C2" w:rsidRDefault="00D672C2" w:rsidP="00845A4B">
      <w:pPr>
        <w:spacing w:line="480" w:lineRule="auto"/>
        <w:rPr>
          <w:b/>
          <w:sz w:val="22"/>
          <w:szCs w:val="22"/>
        </w:rPr>
      </w:pPr>
    </w:p>
    <w:p w14:paraId="5BEBF70F" w14:textId="027DB33E" w:rsidR="00845A4B" w:rsidRPr="00D672C2" w:rsidRDefault="00845A4B" w:rsidP="00845A4B">
      <w:pPr>
        <w:spacing w:line="480" w:lineRule="auto"/>
        <w:rPr>
          <w:b/>
          <w:sz w:val="22"/>
          <w:szCs w:val="22"/>
        </w:rPr>
      </w:pPr>
      <w:r w:rsidRPr="00D672C2">
        <w:rPr>
          <w:b/>
          <w:sz w:val="22"/>
          <w:szCs w:val="22"/>
        </w:rPr>
        <w:t>Figure</w:t>
      </w:r>
      <w:r w:rsidR="00D672C2">
        <w:rPr>
          <w:b/>
          <w:sz w:val="22"/>
          <w:szCs w:val="22"/>
        </w:rPr>
        <w:t xml:space="preserve"> </w:t>
      </w:r>
      <w:r w:rsidRPr="00D672C2">
        <w:rPr>
          <w:b/>
          <w:sz w:val="22"/>
          <w:szCs w:val="22"/>
        </w:rPr>
        <w:t>S4</w:t>
      </w:r>
      <w:r w:rsidR="00D672C2">
        <w:rPr>
          <w:b/>
          <w:sz w:val="22"/>
          <w:szCs w:val="22"/>
        </w:rPr>
        <w:t>:</w:t>
      </w:r>
      <w:r w:rsidRPr="00D672C2">
        <w:rPr>
          <w:b/>
          <w:sz w:val="22"/>
          <w:szCs w:val="22"/>
        </w:rPr>
        <w:t xml:space="preserve"> </w:t>
      </w:r>
      <w:r w:rsidR="00D672C2">
        <w:rPr>
          <w:b/>
          <w:sz w:val="22"/>
          <w:szCs w:val="22"/>
        </w:rPr>
        <w:t>U</w:t>
      </w:r>
      <w:r w:rsidRPr="00D672C2">
        <w:rPr>
          <w:b/>
          <w:sz w:val="22"/>
          <w:szCs w:val="22"/>
        </w:rPr>
        <w:t>nidirectional regulation of CK18 by PDEF.</w:t>
      </w:r>
    </w:p>
    <w:p w14:paraId="38A57B3E" w14:textId="29FF017C" w:rsidR="00310406" w:rsidRPr="00AE79E9" w:rsidRDefault="00310406" w:rsidP="0031040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(A</w:t>
      </w:r>
      <w:r w:rsidRPr="00AE79E9">
        <w:rPr>
          <w:sz w:val="22"/>
          <w:szCs w:val="22"/>
        </w:rPr>
        <w:t>) Prostate luminal specific cytokeratin 8 and cytokeratin 18 is down regulated with increasing of Gleason score from TCGA database. Mann-Whitney-Wilcoxon Test was performed comparing Gleason Score 6-7 VS. Gleason Score 8-10 patients</w:t>
      </w:r>
      <w:r>
        <w:rPr>
          <w:sz w:val="22"/>
          <w:szCs w:val="22"/>
        </w:rPr>
        <w:t>. (B) Representative image of immunohistochemistry staining of PDEF/Twist1 in PC3-SCR/PDEF xenograft. Scale bar is 50um.</w:t>
      </w:r>
    </w:p>
    <w:p w14:paraId="397006F2" w14:textId="7D2132CB" w:rsidR="00845A4B" w:rsidRPr="00D672C2" w:rsidRDefault="00845A4B" w:rsidP="00845A4B">
      <w:pPr>
        <w:spacing w:line="480" w:lineRule="auto"/>
        <w:rPr>
          <w:b/>
          <w:sz w:val="22"/>
          <w:szCs w:val="22"/>
        </w:rPr>
      </w:pPr>
      <w:r w:rsidRPr="00D672C2">
        <w:rPr>
          <w:b/>
          <w:sz w:val="22"/>
          <w:szCs w:val="22"/>
        </w:rPr>
        <w:t>Figure</w:t>
      </w:r>
      <w:r w:rsidR="00D672C2">
        <w:rPr>
          <w:b/>
          <w:sz w:val="22"/>
          <w:szCs w:val="22"/>
        </w:rPr>
        <w:t xml:space="preserve"> </w:t>
      </w:r>
      <w:r w:rsidRPr="00D672C2">
        <w:rPr>
          <w:b/>
          <w:sz w:val="22"/>
          <w:szCs w:val="22"/>
        </w:rPr>
        <w:t>S</w:t>
      </w:r>
      <w:r w:rsidR="00310406">
        <w:rPr>
          <w:b/>
          <w:sz w:val="22"/>
          <w:szCs w:val="22"/>
        </w:rPr>
        <w:t>5</w:t>
      </w:r>
      <w:r w:rsidRPr="00D672C2">
        <w:rPr>
          <w:b/>
          <w:sz w:val="22"/>
          <w:szCs w:val="22"/>
        </w:rPr>
        <w:t>-</w:t>
      </w:r>
      <w:r w:rsidR="00604334">
        <w:rPr>
          <w:b/>
          <w:sz w:val="22"/>
          <w:szCs w:val="22"/>
        </w:rPr>
        <w:t>10</w:t>
      </w:r>
      <w:r w:rsidR="00D672C2">
        <w:rPr>
          <w:b/>
          <w:sz w:val="22"/>
          <w:szCs w:val="22"/>
        </w:rPr>
        <w:t>:</w:t>
      </w:r>
      <w:r w:rsidRPr="00AE79E9">
        <w:rPr>
          <w:sz w:val="22"/>
          <w:szCs w:val="22"/>
        </w:rPr>
        <w:t xml:space="preserve"> </w:t>
      </w:r>
      <w:r w:rsidRPr="00D672C2">
        <w:rPr>
          <w:b/>
          <w:sz w:val="22"/>
          <w:szCs w:val="22"/>
        </w:rPr>
        <w:t xml:space="preserve">Original immunoblot figures and statistical analysis using Image Studio Lite from LI-COR. </w:t>
      </w:r>
    </w:p>
    <w:p w14:paraId="19C740F7" w14:textId="77777777" w:rsidR="00845A4B" w:rsidRDefault="00845A4B" w:rsidP="00845A4B">
      <w:pPr>
        <w:spacing w:line="480" w:lineRule="auto"/>
        <w:jc w:val="both"/>
        <w:rPr>
          <w:sz w:val="22"/>
          <w:szCs w:val="22"/>
        </w:rPr>
      </w:pPr>
    </w:p>
    <w:p w14:paraId="0C140F69" w14:textId="77777777" w:rsidR="00845A4B" w:rsidRDefault="00845A4B" w:rsidP="00845A4B">
      <w:pPr>
        <w:spacing w:line="480" w:lineRule="auto"/>
        <w:jc w:val="both"/>
        <w:rPr>
          <w:sz w:val="22"/>
          <w:szCs w:val="22"/>
        </w:rPr>
      </w:pPr>
    </w:p>
    <w:p w14:paraId="789FF426" w14:textId="77777777" w:rsidR="00AF40FC" w:rsidRDefault="00604334"/>
    <w:sectPr w:rsidR="00AF40FC" w:rsidSect="00D84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sTQ1MTIwMza3tDRR0lEKTi0uzszPAykwqwUAABiw4ywAAAA="/>
  </w:docVars>
  <w:rsids>
    <w:rsidRoot w:val="00845A4B"/>
    <w:rsid w:val="001331C0"/>
    <w:rsid w:val="00152F66"/>
    <w:rsid w:val="001E0FC0"/>
    <w:rsid w:val="00310406"/>
    <w:rsid w:val="005342F6"/>
    <w:rsid w:val="00604334"/>
    <w:rsid w:val="00845A4B"/>
    <w:rsid w:val="00AA126B"/>
    <w:rsid w:val="00AE0BC9"/>
    <w:rsid w:val="00B82660"/>
    <w:rsid w:val="00B9341A"/>
    <w:rsid w:val="00D672C2"/>
    <w:rsid w:val="00D84070"/>
    <w:rsid w:val="00EE16C5"/>
    <w:rsid w:val="00F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87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4B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5A4B"/>
    <w:pPr>
      <w:contextualSpacing/>
    </w:pPr>
    <w:rPr>
      <w:rFonts w:ascii="Calibri Light" w:eastAsia="宋体" w:hAnsi="Calibri Light"/>
      <w:color w:val="auto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845A4B"/>
    <w:rPr>
      <w:rFonts w:ascii="Calibri Light" w:eastAsia="宋体" w:hAnsi="Calibri Light" w:cs="Times New Roman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Wang, Fengtian</cp:lastModifiedBy>
  <cp:revision>11</cp:revision>
  <dcterms:created xsi:type="dcterms:W3CDTF">2017-12-28T21:31:00Z</dcterms:created>
  <dcterms:modified xsi:type="dcterms:W3CDTF">2018-04-06T15:18:00Z</dcterms:modified>
</cp:coreProperties>
</file>