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8A3A1" w14:textId="2374DE95" w:rsidR="009B1B88" w:rsidRPr="00A80396" w:rsidRDefault="007556CB" w:rsidP="00A80396">
      <w:pPr>
        <w:spacing w:after="240" w:line="276" w:lineRule="auto"/>
        <w:jc w:val="both"/>
        <w:rPr>
          <w:rFonts w:ascii="Arial" w:hAnsi="Arial" w:cs="Arial"/>
          <w:b/>
          <w:sz w:val="22"/>
          <w:szCs w:val="22"/>
        </w:rPr>
      </w:pPr>
      <w:r w:rsidRPr="009E6F31">
        <w:rPr>
          <w:rFonts w:ascii="Arial" w:hAnsi="Arial" w:cs="Arial"/>
          <w:b/>
          <w:sz w:val="22"/>
          <w:szCs w:val="22"/>
        </w:rPr>
        <w:t xml:space="preserve">Supplemental </w:t>
      </w:r>
      <w:r w:rsidR="00AC6B37" w:rsidRPr="009E6F31">
        <w:rPr>
          <w:rFonts w:ascii="Arial" w:hAnsi="Arial" w:cs="Arial"/>
          <w:b/>
          <w:sz w:val="22"/>
          <w:szCs w:val="22"/>
        </w:rPr>
        <w:t>Materials and Methods</w:t>
      </w:r>
    </w:p>
    <w:p w14:paraId="0A4A1C54" w14:textId="301DB838" w:rsidR="007556CB" w:rsidRPr="009E6F31" w:rsidRDefault="0017376B" w:rsidP="00A80396">
      <w:pPr>
        <w:spacing w:after="240" w:line="276" w:lineRule="auto"/>
        <w:jc w:val="both"/>
        <w:rPr>
          <w:rFonts w:ascii="Arial" w:hAnsi="Arial" w:cs="Arial"/>
          <w:b/>
          <w:sz w:val="22"/>
          <w:szCs w:val="22"/>
        </w:rPr>
      </w:pPr>
      <w:r w:rsidRPr="009E6F31">
        <w:rPr>
          <w:rFonts w:ascii="Arial" w:hAnsi="Arial" w:cs="Arial"/>
          <w:b/>
          <w:sz w:val="22"/>
          <w:szCs w:val="22"/>
        </w:rPr>
        <w:t xml:space="preserve">Fluorescence in situ hybridization </w:t>
      </w:r>
      <w:r w:rsidR="00CA4781" w:rsidRPr="009E6F31">
        <w:rPr>
          <w:rFonts w:ascii="Arial" w:hAnsi="Arial" w:cs="Arial"/>
          <w:b/>
          <w:sz w:val="22"/>
          <w:szCs w:val="22"/>
        </w:rPr>
        <w:t>(</w:t>
      </w:r>
      <w:r w:rsidR="007556CB" w:rsidRPr="009E6F31">
        <w:rPr>
          <w:rFonts w:ascii="Arial" w:hAnsi="Arial" w:cs="Arial"/>
          <w:b/>
          <w:sz w:val="22"/>
          <w:szCs w:val="22"/>
        </w:rPr>
        <w:t>FISH</w:t>
      </w:r>
      <w:r w:rsidR="00CA4781" w:rsidRPr="009E6F31">
        <w:rPr>
          <w:rFonts w:ascii="Arial" w:hAnsi="Arial" w:cs="Arial"/>
          <w:b/>
          <w:sz w:val="22"/>
          <w:szCs w:val="22"/>
        </w:rPr>
        <w:t>)</w:t>
      </w:r>
    </w:p>
    <w:p w14:paraId="375CCE9B" w14:textId="6DD45F58" w:rsidR="009573DB" w:rsidRPr="009E6F31" w:rsidRDefault="007556CB" w:rsidP="00A80396">
      <w:pPr>
        <w:spacing w:after="240" w:line="276" w:lineRule="auto"/>
        <w:jc w:val="both"/>
        <w:rPr>
          <w:rFonts w:ascii="Arial" w:hAnsi="Arial" w:cs="Arial"/>
          <w:sz w:val="22"/>
          <w:szCs w:val="22"/>
        </w:rPr>
      </w:pPr>
      <w:r w:rsidRPr="009E6F31">
        <w:rPr>
          <w:rFonts w:ascii="Arial" w:hAnsi="Arial" w:cs="Arial"/>
          <w:sz w:val="22"/>
          <w:szCs w:val="22"/>
        </w:rPr>
        <w:t xml:space="preserve">FISH probes used for characterizing </w:t>
      </w:r>
      <w:r w:rsidR="00FA2510" w:rsidRPr="009E6F31">
        <w:rPr>
          <w:rFonts w:ascii="Arial" w:hAnsi="Arial" w:cs="Arial"/>
          <w:sz w:val="22"/>
          <w:szCs w:val="22"/>
        </w:rPr>
        <w:t xml:space="preserve">the </w:t>
      </w:r>
      <w:r w:rsidRPr="009E6F31">
        <w:rPr>
          <w:rFonts w:ascii="Arial" w:hAnsi="Arial" w:cs="Arial"/>
          <w:i/>
          <w:sz w:val="22"/>
          <w:szCs w:val="22"/>
        </w:rPr>
        <w:t>NUT</w:t>
      </w:r>
      <w:r w:rsidRPr="009E6F31">
        <w:rPr>
          <w:rFonts w:ascii="Arial" w:hAnsi="Arial" w:cs="Arial"/>
          <w:sz w:val="22"/>
          <w:szCs w:val="22"/>
        </w:rPr>
        <w:t xml:space="preserve">-fusion were as following: </w:t>
      </w:r>
      <w:r w:rsidR="009573DB" w:rsidRPr="009E6F31">
        <w:rPr>
          <w:rFonts w:ascii="Arial" w:hAnsi="Arial" w:cs="Arial"/>
          <w:i/>
          <w:iCs/>
          <w:sz w:val="22"/>
          <w:szCs w:val="22"/>
        </w:rPr>
        <w:t>NUT</w:t>
      </w:r>
      <w:r w:rsidR="009573DB" w:rsidRPr="009E6F31">
        <w:rPr>
          <w:rFonts w:ascii="Arial" w:hAnsi="Arial" w:cs="Arial"/>
          <w:sz w:val="22"/>
          <w:szCs w:val="22"/>
        </w:rPr>
        <w:t xml:space="preserve">: 5' centromeric probes, RP11-368L15 and RP11-1084A12 (biotin labeled, red) and 3’ telomeric probes, RP11-1H8 and RP11-64o3 (digoxigenin labeled, green); </w:t>
      </w:r>
      <w:r w:rsidR="009573DB" w:rsidRPr="009E6F31">
        <w:rPr>
          <w:rFonts w:ascii="Arial" w:hAnsi="Arial" w:cs="Arial"/>
          <w:i/>
          <w:iCs/>
          <w:sz w:val="22"/>
          <w:szCs w:val="22"/>
        </w:rPr>
        <w:t>BRD4</w:t>
      </w:r>
      <w:r w:rsidR="009573DB" w:rsidRPr="009E6F31">
        <w:rPr>
          <w:rFonts w:ascii="Arial" w:hAnsi="Arial" w:cs="Arial"/>
          <w:sz w:val="22"/>
          <w:szCs w:val="22"/>
        </w:rPr>
        <w:t xml:space="preserve">: 5’ centromeric probes, RP11-207i16 and RP11-3055m5 (biotin labeled, red), and 3' telomeric probes, RP11-319O10 and RP11-681D10 (digoxigenin labeled, green); </w:t>
      </w:r>
      <w:r w:rsidR="009573DB" w:rsidRPr="009E6F31">
        <w:rPr>
          <w:rFonts w:ascii="Arial" w:hAnsi="Arial" w:cs="Arial"/>
          <w:i/>
          <w:iCs/>
          <w:sz w:val="22"/>
          <w:szCs w:val="22"/>
        </w:rPr>
        <w:t>NSD3</w:t>
      </w:r>
      <w:r w:rsidR="009573DB" w:rsidRPr="009E6F31">
        <w:rPr>
          <w:rFonts w:ascii="Arial" w:hAnsi="Arial" w:cs="Arial"/>
          <w:sz w:val="22"/>
          <w:szCs w:val="22"/>
        </w:rPr>
        <w:t xml:space="preserve">: 5′ centromeric BAC clones CTD-2538P2 and RP11-957P17 (biotin labeled, red) and the 3′ telomeric BAC clones CTB-497A2 and RP11-90P5 (digoxigenin labeled, green); </w:t>
      </w:r>
      <w:r w:rsidR="009573DB" w:rsidRPr="009E6F31">
        <w:rPr>
          <w:rFonts w:ascii="Arial" w:hAnsi="Arial" w:cs="Arial"/>
          <w:i/>
          <w:iCs/>
          <w:sz w:val="22"/>
          <w:szCs w:val="22"/>
        </w:rPr>
        <w:t>BRD3</w:t>
      </w:r>
      <w:r w:rsidR="009573DB" w:rsidRPr="009E6F31">
        <w:rPr>
          <w:rFonts w:ascii="Arial" w:hAnsi="Arial" w:cs="Arial"/>
          <w:sz w:val="22"/>
          <w:szCs w:val="22"/>
        </w:rPr>
        <w:t xml:space="preserve">: 5’ telomeric probes, RP11-145E17 and RP11-92B21 (biotin labeled, red), and 3' centromeric probes, RP11-260C10 and RP11-153P4 (digoxigenin labeled, green); </w:t>
      </w:r>
      <w:r w:rsidR="009573DB" w:rsidRPr="009E6F31">
        <w:rPr>
          <w:rFonts w:ascii="Arial" w:hAnsi="Arial" w:cs="Arial"/>
          <w:i/>
          <w:iCs/>
          <w:sz w:val="22"/>
          <w:szCs w:val="22"/>
        </w:rPr>
        <w:t>ZNF532</w:t>
      </w:r>
      <w:r w:rsidR="009573DB" w:rsidRPr="009E6F31">
        <w:rPr>
          <w:rFonts w:ascii="Arial" w:hAnsi="Arial" w:cs="Arial"/>
          <w:sz w:val="22"/>
          <w:szCs w:val="22"/>
        </w:rPr>
        <w:t xml:space="preserve">: 3′ telomeric BAC probes RP11-350K6 and -1061A13 (digoxigenin labeled, green) and the 5′ centromeric probes RP11-351N16 and -722P5 (biotin labeled, red); </w:t>
      </w:r>
      <w:r w:rsidR="009573DB" w:rsidRPr="009E6F31">
        <w:rPr>
          <w:rFonts w:ascii="Arial" w:hAnsi="Arial" w:cs="Arial"/>
          <w:i/>
          <w:iCs/>
          <w:sz w:val="22"/>
          <w:szCs w:val="22"/>
        </w:rPr>
        <w:t>ZNF592</w:t>
      </w:r>
      <w:r w:rsidR="009573DB" w:rsidRPr="009E6F31">
        <w:rPr>
          <w:rFonts w:ascii="Arial" w:hAnsi="Arial" w:cs="Arial"/>
          <w:sz w:val="22"/>
          <w:szCs w:val="22"/>
        </w:rPr>
        <w:t>: 5’ centromeric probes, RP11-68P22 and RP11-957L15 (biotin labeled, red), and 3' telomeric probes, CH17-282L14 and RP11-1079K14 (digoxigenin labeled, green).</w:t>
      </w:r>
      <w:r w:rsidR="00FA2510" w:rsidRPr="009E6F31">
        <w:rPr>
          <w:rFonts w:ascii="Arial" w:hAnsi="Arial" w:cs="Arial"/>
          <w:sz w:val="22"/>
          <w:szCs w:val="22"/>
        </w:rPr>
        <w:t xml:space="preserve"> </w:t>
      </w:r>
      <w:r w:rsidR="00831070" w:rsidRPr="009E6F31">
        <w:rPr>
          <w:rFonts w:ascii="Arial" w:hAnsi="Arial" w:cs="Arial"/>
          <w:sz w:val="22"/>
          <w:szCs w:val="22"/>
        </w:rPr>
        <w:t>200 nuclei were counted in four different areas of each tumor. Eighty percent positive interpretable nuclei were defined as positive for a rearrangement.</w:t>
      </w:r>
    </w:p>
    <w:p w14:paraId="0631CC14" w14:textId="77777777" w:rsidR="005D1BB8" w:rsidRPr="009E6F31" w:rsidRDefault="005D1BB8" w:rsidP="00A80396">
      <w:pPr>
        <w:spacing w:after="240"/>
        <w:jc w:val="both"/>
        <w:outlineLvl w:val="0"/>
        <w:rPr>
          <w:rFonts w:ascii="Arial" w:hAnsi="Arial" w:cs="Arial"/>
          <w:b/>
          <w:sz w:val="22"/>
          <w:szCs w:val="22"/>
        </w:rPr>
      </w:pPr>
      <w:r w:rsidRPr="009E6F31">
        <w:rPr>
          <w:rFonts w:ascii="Arial" w:hAnsi="Arial" w:cs="Arial"/>
          <w:b/>
          <w:sz w:val="22"/>
          <w:szCs w:val="22"/>
        </w:rPr>
        <w:t>Next Generation Sequencing (Archer® FusionPlex®)</w:t>
      </w:r>
    </w:p>
    <w:p w14:paraId="5A6B06F4" w14:textId="2584CD5B" w:rsidR="00250BB0" w:rsidRPr="009E6F31" w:rsidRDefault="005D1BB8" w:rsidP="00A80396">
      <w:pPr>
        <w:spacing w:after="240" w:line="276" w:lineRule="auto"/>
        <w:jc w:val="both"/>
        <w:rPr>
          <w:rFonts w:ascii="Arial" w:hAnsi="Arial" w:cs="Arial"/>
          <w:sz w:val="22"/>
          <w:szCs w:val="22"/>
        </w:rPr>
      </w:pPr>
      <w:r w:rsidRPr="009E6F31">
        <w:rPr>
          <w:rFonts w:ascii="Arial" w:hAnsi="Arial" w:cs="Arial"/>
          <w:sz w:val="22"/>
          <w:szCs w:val="22"/>
        </w:rPr>
        <w:t xml:space="preserve">An Anchored Multiplex PCR (AMP) assay was used for detection of targeted fusion transcripts using next generation sequencing (NGS) </w:t>
      </w:r>
      <w:r w:rsidR="00907EE7" w:rsidRPr="009E6F31">
        <w:rPr>
          <w:rFonts w:ascii="Arial" w:hAnsi="Arial" w:cs="Arial"/>
          <w:sz w:val="22"/>
          <w:szCs w:val="22"/>
        </w:rPr>
        <w:fldChar w:fldCharType="begin" w:fldLock="1"/>
      </w:r>
      <w:r w:rsidR="00907EE7" w:rsidRPr="009E6F31">
        <w:rPr>
          <w:rFonts w:ascii="Arial" w:hAnsi="Arial" w:cs="Arial"/>
          <w:sz w:val="22"/>
          <w:szCs w:val="22"/>
        </w:rPr>
        <w:instrText>ADDIN CSL_CITATION { "citationItems" : [ { "id" : "ITEM-1", "itemData" : { "DOI" : "10.1038/nm.3729", "ISBN" : "1546-170X (Electronic)\\r1078-8956 (Linking)", "ISSN" : "1546170X", "PMID" : "25384085", "abstract" : "We describe a rapid target enrichment method for next-generation sequencing, termed anchored multiplex PCR (AMP), that is compatible with low nucleic acid input from formalin-fixed paraffin-embedded (FFPE) specimens. AMP is effective in detecting gene rearrangements (without prior knowledge of the fusion partners), single nucleotide variants, insertions, deletions and copy number changes. Validation of a gene rearrangement panel using 319 FFPE samples showed 100% sensitivity (95% confidence limit: 96.5\u2013100%) and 100% specificity (95% confidence limit: 99.3\u2013100%) compared with reference assays. On the basis of our experience with performing AMP on 986 clinical FFPE samples, we show its potential as both a robust clinical assay and a powerful discovery tool, which we used to identify new therapeutically important gene fusions: ARHGEF2-NTRK1 and CHTOP-NTRK1 in glioblastoma, MSN-ROS1, TRIM4-BRAF, VAMP2-NRG1, TPM3-NTRK1 and RUFY2-RET in lung cancer, FGFR2-CREB5 in cholangiocarcinoma and PPL-NTRK1 in thyroid carcinoma. AMP is a scalable and efficient next-generation sequencing target enrichment method for research and clinical applications.", "author" : [ { "dropping-particle" : "", "family" : "Zheng", "given" : "Zongli", "non-dropping-particle" : "", "parse-names" : false, "suffix" : "" }, { "dropping-particle" : "", "family" : "Liebers", "given" : "Matthew", "non-dropping-particle" : "", "parse-names" : false, "suffix" : "" }, { "dropping-particle" : "", "family" : "Zhelyazkova", "given" : "Boryana", "non-dropping-particle" : "", "parse-names" : false, "suffix" : "" }, { "dropping-particle" : "", "family" : "Cao", "given" : "Yi", "non-dropping-particle" : "", "parse-names" : false, "suffix" : "" }, { "dropping-particle" : "", "family" : "Panditi", "given" : "Divya", "non-dropping-particle" : "", "parse-names" : false, "suffix" : "" }, { "dropping-particle" : "", "family" : "Lynch", "given" : "Kerry D.", "non-dropping-particle" : "", "parse-names" : false, "suffix" : "" }, { "dropping-particle" : "", "family" : "Chen", "given" : "Juxiang", "non-dropping-particle" : "", "parse-names" : false, "suffix" : "" }, { "dropping-particle" : "", "family" : "Robinson", "given" : "Hayley E.", "non-dropping-particle" : "", "parse-names" : false, "suffix" : "" }, { "dropping-particle" : "", "family" : "Shim", "given" : "Hyo Sup", "non-dropping-particle" : "", "parse-names" : false, "suffix" : "" }, { "dropping-particle" : "", "family" : "Chmielecki", "given" : "Juliann", "non-dropping-particle" : "", "parse-names" : false, "suffix" : "" }, { "dropping-particle" : "", "family" : "Pao", "given" : "William", "non-dropping-particle" : "", "parse-names" : false, "suffix" : "" }, { "dropping-particle" : "", "family" : "Engelman", "given" : "Jeffrey A.", "non-dropping-particle" : "", "parse-names" : false, "suffix" : "" }, { "dropping-particle" : "", "family" : "Iafrate", "given" : "A. John", "non-dropping-particle" : "", "parse-names" : false, "suffix" : "" }, { "dropping-particle" : "", "family" : "Le", "given" : "Long Phi", "non-dropping-particle" : "", "parse-names" : false, "suffix" : "" } ], "container-title" : "Nature Medicine", "id" : "ITEM-1", "issue" : "12", "issued" : { "date-parts" : [ [ "2014" ] ] }, "page" : "1479-1484", "publisher" : "Nature Publishing Group", "title" : "Anchored multiplex PCR for targeted next-generation sequencing", "type" : "article-journal", "volume" : "20" }, "uris" : [ "http://www.mendeley.com/documents/?uuid=bb57ede4-2030-41f9-9996-08e00ba7f27c" ] } ], "mendeley" : { "formattedCitation" : "(1)", "plainTextFormattedCitation" : "(1)", "previouslyFormattedCitation" : "(1)" }, "properties" : { "noteIndex" : 0 }, "schema" : "https://github.com/citation-style-language/schema/raw/master/csl-citation.json" }</w:instrText>
      </w:r>
      <w:r w:rsidR="00907EE7" w:rsidRPr="009E6F31">
        <w:rPr>
          <w:rFonts w:ascii="Arial" w:hAnsi="Arial" w:cs="Arial"/>
          <w:sz w:val="22"/>
          <w:szCs w:val="22"/>
        </w:rPr>
        <w:fldChar w:fldCharType="separate"/>
      </w:r>
      <w:r w:rsidR="00907EE7" w:rsidRPr="009E6F31">
        <w:rPr>
          <w:rFonts w:ascii="Arial" w:hAnsi="Arial" w:cs="Arial"/>
          <w:noProof/>
          <w:sz w:val="22"/>
          <w:szCs w:val="22"/>
        </w:rPr>
        <w:t>(1)</w:t>
      </w:r>
      <w:r w:rsidR="00907EE7" w:rsidRPr="009E6F31">
        <w:rPr>
          <w:rFonts w:ascii="Arial" w:hAnsi="Arial" w:cs="Arial"/>
          <w:sz w:val="22"/>
          <w:szCs w:val="22"/>
        </w:rPr>
        <w:fldChar w:fldCharType="end"/>
      </w:r>
      <w:r w:rsidRPr="009E6F31">
        <w:rPr>
          <w:rFonts w:ascii="Arial" w:hAnsi="Arial" w:cs="Arial"/>
          <w:sz w:val="22"/>
          <w:szCs w:val="22"/>
        </w:rPr>
        <w:t xml:space="preserve">. Total nucleic acid was isolated from FFPE sections of UNC tumor surgically removed from a lung metastasis after histological review for tumor enrichment. The total nucleic acid was reverse transcribed with random hexamers, followed by second strand synthesis to create double-stranded complementary DNA (cDNA). The double-stranded cDNA was end-repaired, adenylated, and ligated with a half-functional adapter. Two hemi-nested PCR reactions using the Archer® FusionPlex® Solid Tumor Kit (ArcherDX, Boulder, CO) primers were performed to create a fully functional sequencing library that targets specific genes (exons) listed previously </w:t>
      </w:r>
      <w:r w:rsidR="00CF44C9" w:rsidRPr="009E6F31">
        <w:rPr>
          <w:rFonts w:ascii="Arial" w:hAnsi="Arial" w:cs="Arial"/>
          <w:sz w:val="22"/>
          <w:szCs w:val="22"/>
        </w:rPr>
        <w:fldChar w:fldCharType="begin" w:fldLock="1"/>
      </w:r>
      <w:r w:rsidR="00FA467D" w:rsidRPr="009E6F31">
        <w:rPr>
          <w:rFonts w:ascii="Arial" w:hAnsi="Arial" w:cs="Arial"/>
          <w:sz w:val="22"/>
          <w:szCs w:val="22"/>
        </w:rPr>
        <w:instrText>ADDIN CSL_CITATION { "citationItems" : [ { "id" : "ITEM-1", "itemData" : { "DOI" : "10.1158/2159-8290.CD-17-0535", "ISSN" : "2159-8274", "PMID" : "29242214", "abstract" : "We sought to uncover novel genetic drivers of hormone-receptor positive (HR+) breast cancer, employing a targeted next-generation sequencing approach for detecting expressed gene rearrangements without prior knowledge of the fusion partners. We identified intergenic fusions involving driver genes including PIK3CA, AKT3, RAF1 and ESR1 in 14% (24/173) of unselected patients with advanced HR+ breast cancer. Fluorescence in situ hybridization (FISH) confirmed the corresponding chromosomal rearrangements in both primary and metastatic tumors. Expression of novel kinase fusions in non-transformed cells deregulates phosphoprotein signaling, cell proliferation and survival in 3-dimensional culture, while expression in HR+ breast cancer models modulates estrogen-dependent growth and confers hormonal therapy resistance in vitro and in vivo. Strikingly, shorter overall survival was observed in patients with rearrangement-positive versus -negative tumors. Correspondingly, fusions were uncommon (&lt;5%) among 300 patients presenting with primary HR+ breast cancer. Collectively, our findings identify expressed gene fusions as frequent and potentially actionable drivers in HR+ breast cancer.", "author" : [ { "dropping-particle" : "", "family" : "Matissek", "given" : "Karina J.", "non-dropping-particle" : "", "parse-names" : false, "suffix" : "" }, { "dropping-particle" : "", "family" : "Onozato", "given" : "Maristela L.", "non-dropping-particle" : "", "parse-names" : false, "suffix" : "" }, { "dropping-particle" : "", "family" : "Sun", "given" : "Sheng", "non-dropping-particle" : "", "parse-names" : false, "suffix" : "" }, { "dropping-particle" : "", "family" : "Zheng", "given" : "Zongli", "non-dropping-particle" : "", "parse-names" : false, "suffix" : "" }, { "dropping-particle" : "", "family" : "Schultz", "given" : "Andrew", "non-dropping-particle" : "", "parse-names" : false, "suffix" : "" }, { "dropping-particle" : "", "family" : "Lee", "given" : "Jesse", "non-dropping-particle" : "", "parse-names" : false, "suffix" : "" }, { "dropping-particle" : "", "family" : "Patel", "given" : "Kristofer", "non-dropping-particle" : "", "parse-names" : false, "suffix" : "" }, { "dropping-particle" : "", "family" : "Jerevall", "given" : "Piiha-Lotta", "non-dropping-particle" : "", "parse-names" : false, "suffix" : "" }, { "dropping-particle" : "V.", "family" : "Saladi", "given" : "Srinivas", "non-dropping-particle" : "", "parse-names" : false, "suffix" : "" }, { "dropping-particle" : "", "family" : "MacLeay", "given" : "Allison", "non-dropping-particle" : "", "parse-names" : false, "suffix" : "" }, { "dropping-particle" : "", "family" : "Tavallai", "given" : "Mehrad", "non-dropping-particle" : "", "parse-names" : false, "suffix" : "" }, { "dropping-particle" : "", "family" : "Badovinac-Crnjevic", "given" : "Tanja", "non-dropping-particle" : "", "parse-names" : false, "suffix" : "" }, { "dropping-particle" : "", "family" : "Barrios", "given" : "Carlos", "non-dropping-particle" : "", "parse-names" : false, "suffix" : "" }, { "dropping-particle" : "", "family" : "Be\u015fe", "given" : "Nuran", "non-dropping-particle" : "", "parse-names" : false, "suffix" : "" }, { "dropping-particle" : "", "family" : "Chan", "given" : "Arlene", "non-dropping-particle" : "", "parse-names" : false, "suffix" : "" }, { "dropping-particle" : "", "family" : "Chavarri-Guerra", "given" : "Yanin", "non-dropping-particle" : "", "parse-names" : false, "suffix" : "" }, { "dropping-particle" : "", "family" : "Debiasi", "given" : "Marcio", "non-dropping-particle" : "", "parse-names" : false, "suffix" : "" }, { "dropping-particle" : "", "family" : "Demirdogen", "given" : "Elif", "non-dropping-particle" : "", "parse-names" : false, "suffix" : "" }, { "dropping-particle" : "", "family" : "Egeli", "given" : "Unal", "non-dropping-particle" : "", "parse-names" : false, "suffix" : "" }, { "dropping-particle" : "", "family" : "G\u00f6kg\u00f6z", "given" : "Sehsuvar", "non-dropping-particle" : "", "parse-names" : false, "suffix" : "" }, { "dropping-particle" : "", "family" : "Gomez", "given" : "Henry", "non-dropping-particle" : "", "parse-names" : false, "suffix" : "" }, { "dropping-particle" : "", "family" : "Liedke", "given" : "Pedro", "non-dropping-particle" : "", "parse-names" : false, "suffix" : "" }, { "dropping-particle" : "", "family" : "Tasdelen", "given" : "Ismet", "non-dropping-particle" : "", "parse-names" : false, "suffix" : "" }, { "dropping-particle" : "", "family" : "Tolunay", "given" : "Sahsine", "non-dropping-particle" : "", "parse-names" : false, "suffix" : "" }, { "dropping-particle" : "", "family" : "Werutsky", "given" : "Gustavo", "non-dropping-particle" : "", "parse-names" : false, "suffix" : "" }, { "dropping-particle" : "", "family" : "Louis", "given" : "Jessica", "non-dropping-particle" : "St.", "parse-names" : false, "suffix" : "" }, { "dropping-particle" : "", "family" : "Horick", "given" : "Nora", "non-dropping-particle" : "", "parse-names" : false, "suffix" : "" }, { "dropping-particle" : "", "family" : "Finkelstein", "given" : "Dianne M.", "non-dropping-particle" : "", "parse-names" : false, "suffix" : "" }, { "dropping-particle" : "", "family" : "Le", "given" : "Long Phi", "non-dropping-particle" : "", "parse-names" : false, "suffix" : "" }, { "dropping-particle" : "", "family" : "Bardia", "given" : "Aditya", "non-dropping-particle" : "", "parse-names" : false, "suffix" : "" }, { "dropping-particle" : "", "family" : "Goss", "given" : "Paul E.", "non-dropping-particle" : "", "parse-names" : false, "suffix" : "" }, { "dropping-particle" : "", "family" : "Sgroi", "given" : "Dennis C.", "non-dropping-particle" : "", "parse-names" : false, "suffix" : "" }, { "dropping-particle" : "", "family" : "Iafrate", "given" : "A. John", "non-dropping-particle" : "", "parse-names" : false, "suffix" : "" }, { "dropping-particle" : "", "family" : "Ellisen", "given" : "Leif W.", "non-dropping-particle" : "", "parse-names" : false, "suffix" : "" } ], "container-title" : "Cancer Discovery", "id" : "ITEM-1", "issue" : "3", "issued" : { "date-parts" : [ [ "2018" ] ] }, "page" : "336-353", "title" : "Expressed Gene Fusions as Frequent Drivers of Poor Outcomes in Hormone Receptor Positive Breast Cancer", "type" : "article-journal", "volume" : "8" }, "uris" : [ "http://www.mendeley.com/documents/?uuid=5569abaa-6b88-434d-82a4-e9605adaff31" ] } ], "mendeley" : { "formattedCitation" : "(2)", "plainTextFormattedCitation" : "(2)", "previouslyFormattedCitation" : "(2)" }, "properties" : { "noteIndex" : 0 }, "schema" : "https://github.com/citation-style-language/schema/raw/master/csl-citation.json" }</w:instrText>
      </w:r>
      <w:r w:rsidR="00CF44C9" w:rsidRPr="009E6F31">
        <w:rPr>
          <w:rFonts w:ascii="Arial" w:hAnsi="Arial" w:cs="Arial"/>
          <w:sz w:val="22"/>
          <w:szCs w:val="22"/>
        </w:rPr>
        <w:fldChar w:fldCharType="separate"/>
      </w:r>
      <w:r w:rsidR="00CF44C9" w:rsidRPr="009E6F31">
        <w:rPr>
          <w:rFonts w:ascii="Arial" w:hAnsi="Arial" w:cs="Arial"/>
          <w:noProof/>
          <w:sz w:val="22"/>
          <w:szCs w:val="22"/>
        </w:rPr>
        <w:t>(2)</w:t>
      </w:r>
      <w:r w:rsidR="00CF44C9" w:rsidRPr="009E6F31">
        <w:rPr>
          <w:rFonts w:ascii="Arial" w:hAnsi="Arial" w:cs="Arial"/>
          <w:sz w:val="22"/>
          <w:szCs w:val="22"/>
        </w:rPr>
        <w:fldChar w:fldCharType="end"/>
      </w:r>
      <w:r w:rsidRPr="009E6F31">
        <w:rPr>
          <w:rFonts w:ascii="Arial" w:eastAsia="Times New Roman" w:hAnsi="Arial" w:cs="Arial"/>
          <w:color w:val="575757"/>
          <w:sz w:val="22"/>
          <w:szCs w:val="22"/>
          <w:shd w:val="clear" w:color="auto" w:fill="FFFFFF"/>
        </w:rPr>
        <w:t xml:space="preserve"> </w:t>
      </w:r>
      <w:r w:rsidRPr="009E6F31">
        <w:rPr>
          <w:rFonts w:ascii="Arial" w:hAnsi="Arial" w:cs="Arial"/>
          <w:sz w:val="22"/>
          <w:szCs w:val="22"/>
        </w:rPr>
        <w:t xml:space="preserve">and validated for clinical reporting, including amongst multiple other genes </w:t>
      </w:r>
      <w:r w:rsidRPr="009E6F31">
        <w:rPr>
          <w:rFonts w:ascii="Arial" w:eastAsia="Times New Roman" w:hAnsi="Arial" w:cs="Arial"/>
          <w:i/>
          <w:sz w:val="22"/>
          <w:szCs w:val="22"/>
        </w:rPr>
        <w:t>BRD3</w:t>
      </w:r>
      <w:r w:rsidRPr="009E6F31">
        <w:rPr>
          <w:rFonts w:ascii="Arial" w:eastAsia="Times New Roman" w:hAnsi="Arial" w:cs="Arial"/>
          <w:sz w:val="22"/>
          <w:szCs w:val="22"/>
        </w:rPr>
        <w:t xml:space="preserve"> (exons 9-12)</w:t>
      </w:r>
      <w:r w:rsidRPr="009E6F31">
        <w:rPr>
          <w:rFonts w:ascii="Arial" w:hAnsi="Arial" w:cs="Arial"/>
          <w:sz w:val="22"/>
          <w:szCs w:val="22"/>
        </w:rPr>
        <w:t xml:space="preserve">, </w:t>
      </w:r>
      <w:r w:rsidRPr="009E6F31">
        <w:rPr>
          <w:rFonts w:ascii="Arial" w:eastAsia="Times New Roman" w:hAnsi="Arial" w:cs="Arial"/>
          <w:i/>
          <w:sz w:val="22"/>
          <w:szCs w:val="22"/>
        </w:rPr>
        <w:t>BRD4</w:t>
      </w:r>
      <w:r w:rsidRPr="009E6F31">
        <w:rPr>
          <w:rFonts w:ascii="Arial" w:eastAsia="Times New Roman" w:hAnsi="Arial" w:cs="Arial"/>
          <w:sz w:val="22"/>
          <w:szCs w:val="22"/>
        </w:rPr>
        <w:t xml:space="preserve"> (exons 10, 11)</w:t>
      </w:r>
      <w:r w:rsidRPr="009E6F31">
        <w:rPr>
          <w:rFonts w:ascii="Arial" w:hAnsi="Arial" w:cs="Arial"/>
          <w:sz w:val="22"/>
          <w:szCs w:val="22"/>
        </w:rPr>
        <w:t xml:space="preserve">, and </w:t>
      </w:r>
      <w:r w:rsidRPr="009E6F31">
        <w:rPr>
          <w:rFonts w:ascii="Arial" w:eastAsia="Times New Roman" w:hAnsi="Arial" w:cs="Arial"/>
          <w:i/>
          <w:sz w:val="22"/>
          <w:szCs w:val="22"/>
        </w:rPr>
        <w:t>NUTM1</w:t>
      </w:r>
      <w:r w:rsidRPr="009E6F31">
        <w:rPr>
          <w:rFonts w:ascii="Arial" w:eastAsia="Times New Roman" w:hAnsi="Arial" w:cs="Arial"/>
          <w:sz w:val="22"/>
          <w:szCs w:val="22"/>
        </w:rPr>
        <w:t xml:space="preserve"> (exon 3)</w:t>
      </w:r>
      <w:r w:rsidRPr="009E6F31">
        <w:rPr>
          <w:rFonts w:ascii="Arial" w:hAnsi="Arial" w:cs="Arial"/>
          <w:sz w:val="22"/>
          <w:szCs w:val="22"/>
        </w:rPr>
        <w:t xml:space="preserve">. Illumina NextSeq 2 x 150 base paired-end sequencing results were aligned to the hg19 human genome reference using bwa-mem </w:t>
      </w:r>
      <w:r w:rsidR="00907EE7" w:rsidRPr="009E6F31">
        <w:rPr>
          <w:rFonts w:ascii="Arial" w:hAnsi="Arial" w:cs="Arial"/>
          <w:sz w:val="22"/>
          <w:szCs w:val="22"/>
        </w:rPr>
        <w:fldChar w:fldCharType="begin" w:fldLock="1"/>
      </w:r>
      <w:r w:rsidR="00FA467D" w:rsidRPr="009E6F31">
        <w:rPr>
          <w:rFonts w:ascii="Arial" w:hAnsi="Arial" w:cs="Arial"/>
          <w:sz w:val="22"/>
          <w:szCs w:val="22"/>
        </w:rPr>
        <w:instrText>ADDIN CSL_CITATION { "citationItems" : [ { "id" : "ITEM-1", "itemData" : { "DOI" : "10.1093/bioinformatics/btp324", "ISBN" : "1367-4811 (Electronic)\\r1367-4803 (Linking)", "ISSN" : "13674803", "PMID" : "19451168", "abstract" : "MOTIVATION: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individuals.\\n\\nRESULTS: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package.\\n\\nAVAILABILITY: http://maq.sourceforge.net.", "author" : [ { "dropping-particle" : "", "family" : "Li", "given" : "Heng", "non-dropping-particle" : "", "parse-names" : false, "suffix" : "" }, { "dropping-particle" : "", "family" : "Durbin", "given" : "Richard", "non-dropping-particle" : "", "parse-names" : false, "suffix" : "" } ], "container-title" : "Bioinformatics", "id" : "ITEM-1", "issue" : "14", "issued" : { "date-parts" : [ [ "2009" ] ] }, "page" : "1754-1760", "title" : "Fast and accurate short read alignment with Burrows-Wheeler transform", "type" : "article-journal", "volume" : "25" }, "uris" : [ "http://www.mendeley.com/documents/?uuid=3998e4d8-b679-495c-a5e0-50a3271345f1" ] } ], "mendeley" : { "formattedCitation" : "(3)", "plainTextFormattedCitation" : "(3)", "previouslyFormattedCitation" : "(3)" }, "properties" : { "noteIndex" : 0 }, "schema" : "https://github.com/citation-style-language/schema/raw/master/csl-citation.json" }</w:instrText>
      </w:r>
      <w:r w:rsidR="00907EE7" w:rsidRPr="009E6F31">
        <w:rPr>
          <w:rFonts w:ascii="Arial" w:hAnsi="Arial" w:cs="Arial"/>
          <w:sz w:val="22"/>
          <w:szCs w:val="22"/>
        </w:rPr>
        <w:fldChar w:fldCharType="separate"/>
      </w:r>
      <w:r w:rsidR="00CF44C9" w:rsidRPr="009E6F31">
        <w:rPr>
          <w:rFonts w:ascii="Arial" w:hAnsi="Arial" w:cs="Arial"/>
          <w:noProof/>
          <w:sz w:val="22"/>
          <w:szCs w:val="22"/>
        </w:rPr>
        <w:t>(3)</w:t>
      </w:r>
      <w:r w:rsidR="00907EE7" w:rsidRPr="009E6F31">
        <w:rPr>
          <w:rFonts w:ascii="Arial" w:hAnsi="Arial" w:cs="Arial"/>
          <w:sz w:val="22"/>
          <w:szCs w:val="22"/>
        </w:rPr>
        <w:fldChar w:fldCharType="end"/>
      </w:r>
      <w:r w:rsidRPr="009E6F31">
        <w:rPr>
          <w:rFonts w:ascii="Arial" w:hAnsi="Arial" w:cs="Arial"/>
          <w:sz w:val="22"/>
          <w:szCs w:val="22"/>
        </w:rPr>
        <w:t xml:space="preserve">. A laboratory-developed algorithm was used for fusion transcript detection and annotation </w:t>
      </w:r>
      <w:r w:rsidR="00907EE7" w:rsidRPr="009E6F31">
        <w:rPr>
          <w:rFonts w:ascii="Arial" w:hAnsi="Arial" w:cs="Arial"/>
          <w:sz w:val="22"/>
          <w:szCs w:val="22"/>
        </w:rPr>
        <w:fldChar w:fldCharType="begin" w:fldLock="1"/>
      </w:r>
      <w:r w:rsidR="00FA467D" w:rsidRPr="009E6F31">
        <w:rPr>
          <w:rFonts w:ascii="Arial" w:hAnsi="Arial" w:cs="Arial"/>
          <w:sz w:val="22"/>
          <w:szCs w:val="22"/>
        </w:rPr>
        <w:instrText>ADDIN CSL_CITATION { "citationItems" : [ { "id" : "ITEM-1", "itemData" : { "DOI" : "10.1158/2159-8290.CD-17-0535", "ISSN" : "2159-8274", "PMID" : "29242214", "abstract" : "We sought to uncover novel genetic drivers of hormone-receptor positive (HR+) breast cancer, employing a targeted next-generation sequencing approach for detecting expressed gene rearrangements without prior knowledge of the fusion partners. We identified intergenic fusions involving driver genes including PIK3CA, AKT3, RAF1 and ESR1 in 14% (24/173) of unselected patients with advanced HR+ breast cancer. Fluorescence in situ hybridization (FISH) confirmed the corresponding chromosomal rearrangements in both primary and metastatic tumors. Expression of novel kinase fusions in non-transformed cells deregulates phosphoprotein signaling, cell proliferation and survival in 3-dimensional culture, while expression in HR+ breast cancer models modulates estrogen-dependent growth and confers hormonal therapy resistance in vitro and in vivo. Strikingly, shorter overall survival was observed in patients with rearrangement-positive versus -negative tumors. Correspondingly, fusions were uncommon (&lt;5%) among 300 patients presenting with primary HR+ breast cancer. Collectively, our findings identify expressed gene fusions as frequent and potentially actionable drivers in HR+ breast cancer.", "author" : [ { "dropping-particle" : "", "family" : "Matissek", "given" : "Karina J.", "non-dropping-particle" : "", "parse-names" : false, "suffix" : "" }, { "dropping-particle" : "", "family" : "Onozato", "given" : "Maristela L.", "non-dropping-particle" : "", "parse-names" : false, "suffix" : "" }, { "dropping-particle" : "", "family" : "Sun", "given" : "Sheng", "non-dropping-particle" : "", "parse-names" : false, "suffix" : "" }, { "dropping-particle" : "", "family" : "Zheng", "given" : "Zongli", "non-dropping-particle" : "", "parse-names" : false, "suffix" : "" }, { "dropping-particle" : "", "family" : "Schultz", "given" : "Andrew", "non-dropping-particle" : "", "parse-names" : false, "suffix" : "" }, { "dropping-particle" : "", "family" : "Lee", "given" : "Jesse", "non-dropping-particle" : "", "parse-names" : false, "suffix" : "" }, { "dropping-particle" : "", "family" : "Patel", "given" : "Kristofer", "non-dropping-particle" : "", "parse-names" : false, "suffix" : "" }, { "dropping-particle" : "", "family" : "Jerevall", "given" : "Piiha-Lotta", "non-dropping-particle" : "", "parse-names" : false, "suffix" : "" }, { "dropping-particle" : "V.", "family" : "Saladi", "given" : "Srinivas", "non-dropping-particle" : "", "parse-names" : false, "suffix" : "" }, { "dropping-particle" : "", "family" : "MacLeay", "given" : "Allison", "non-dropping-particle" : "", "parse-names" : false, "suffix" : "" }, { "dropping-particle" : "", "family" : "Tavallai", "given" : "Mehrad", "non-dropping-particle" : "", "parse-names" : false, "suffix" : "" }, { "dropping-particle" : "", "family" : "Badovinac-Crnjevic", "given" : "Tanja", "non-dropping-particle" : "", "parse-names" : false, "suffix" : "" }, { "dropping-particle" : "", "family" : "Barrios", "given" : "Carlos", "non-dropping-particle" : "", "parse-names" : false, "suffix" : "" }, { "dropping-particle" : "", "family" : "Be\u015fe", "given" : "Nuran", "non-dropping-particle" : "", "parse-names" : false, "suffix" : "" }, { "dropping-particle" : "", "family" : "Chan", "given" : "Arlene", "non-dropping-particle" : "", "parse-names" : false, "suffix" : "" }, { "dropping-particle" : "", "family" : "Chavarri-Guerra", "given" : "Yanin", "non-dropping-particle" : "", "parse-names" : false, "suffix" : "" }, { "dropping-particle" : "", "family" : "Debiasi", "given" : "Marcio", "non-dropping-particle" : "", "parse-names" : false, "suffix" : "" }, { "dropping-particle" : "", "family" : "Demirdogen", "given" : "Elif", "non-dropping-particle" : "", "parse-names" : false, "suffix" : "" }, { "dropping-particle" : "", "family" : "Egeli", "given" : "Unal", "non-dropping-particle" : "", "parse-names" : false, "suffix" : "" }, { "dropping-particle" : "", "family" : "G\u00f6kg\u00f6z", "given" : "Sehsuvar", "non-dropping-particle" : "", "parse-names" : false, "suffix" : "" }, { "dropping-particle" : "", "family" : "Gomez", "given" : "Henry", "non-dropping-particle" : "", "parse-names" : false, "suffix" : "" }, { "dropping-particle" : "", "family" : "Liedke", "given" : "Pedro", "non-dropping-particle" : "", "parse-names" : false, "suffix" : "" }, { "dropping-particle" : "", "family" : "Tasdelen", "given" : "Ismet", "non-dropping-particle" : "", "parse-names" : false, "suffix" : "" }, { "dropping-particle" : "", "family" : "Tolunay", "given" : "Sahsine", "non-dropping-particle" : "", "parse-names" : false, "suffix" : "" }, { "dropping-particle" : "", "family" : "Werutsky", "given" : "Gustavo", "non-dropping-particle" : "", "parse-names" : false, "suffix" : "" }, { "dropping-particle" : "", "family" : "Louis", "given" : "Jessica", "non-dropping-particle" : "St.", "parse-names" : false, "suffix" : "" }, { "dropping-particle" : "", "family" : "Horick", "given" : "Nora", "non-dropping-particle" : "", "parse-names" : false, "suffix" : "" }, { "dropping-particle" : "", "family" : "Finkelstein", "given" : "Dianne M.", "non-dropping-particle" : "", "parse-names" : false, "suffix" : "" }, { "dropping-particle" : "", "family" : "Le", "given" : "Long Phi", "non-dropping-particle" : "", "parse-names" : false, "suffix" : "" }, { "dropping-particle" : "", "family" : "Bardia", "given" : "Aditya", "non-dropping-particle" : "", "parse-names" : false, "suffix" : "" }, { "dropping-particle" : "", "family" : "Goss", "given" : "Paul E.", "non-dropping-particle" : "", "parse-names" : false, "suffix" : "" }, { "dropping-particle" : "", "family" : "Sgroi", "given" : "Dennis C.", "non-dropping-particle" : "", "parse-names" : false, "suffix" : "" }, { "dropping-particle" : "", "family" : "Iafrate", "given" : "A. John", "non-dropping-particle" : "", "parse-names" : false, "suffix" : "" }, { "dropping-particle" : "", "family" : "Ellisen", "given" : "Leif W.", "non-dropping-particle" : "", "parse-names" : false, "suffix" : "" } ], "container-title" : "Cancer Discovery", "id" : "ITEM-1", "issue" : "3", "issued" : { "date-parts" : [ [ "2018" ] ] }, "page" : "336-353", "title" : "Expressed Gene Fusions as Frequent Drivers of Poor Outcomes in Hormone Receptor Positive Breast Cancer", "type" : "article-journal", "volume" : "8" }, "uris" : [ "http://www.mendeley.com/documents/?uuid=5569abaa-6b88-434d-82a4-e9605adaff31" ] } ], "mendeley" : { "formattedCitation" : "(2)", "plainTextFormattedCitation" : "(2)", "previouslyFormattedCitation" : "(2)" }, "properties" : { "noteIndex" : 0 }, "schema" : "https://github.com/citation-style-language/schema/raw/master/csl-citation.json" }</w:instrText>
      </w:r>
      <w:r w:rsidR="00907EE7" w:rsidRPr="009E6F31">
        <w:rPr>
          <w:rFonts w:ascii="Arial" w:hAnsi="Arial" w:cs="Arial"/>
          <w:sz w:val="22"/>
          <w:szCs w:val="22"/>
        </w:rPr>
        <w:fldChar w:fldCharType="separate"/>
      </w:r>
      <w:r w:rsidR="00CF44C9" w:rsidRPr="009E6F31">
        <w:rPr>
          <w:rFonts w:ascii="Arial" w:hAnsi="Arial" w:cs="Arial"/>
          <w:noProof/>
          <w:sz w:val="22"/>
          <w:szCs w:val="22"/>
        </w:rPr>
        <w:t>(2)</w:t>
      </w:r>
      <w:r w:rsidR="00907EE7" w:rsidRPr="009E6F31">
        <w:rPr>
          <w:rFonts w:ascii="Arial" w:hAnsi="Arial" w:cs="Arial"/>
          <w:sz w:val="22"/>
          <w:szCs w:val="22"/>
        </w:rPr>
        <w:fldChar w:fldCharType="end"/>
      </w:r>
      <w:r w:rsidRPr="009E6F31">
        <w:rPr>
          <w:rFonts w:ascii="Arial" w:hAnsi="Arial" w:cs="Arial"/>
          <w:sz w:val="22"/>
          <w:szCs w:val="22"/>
        </w:rPr>
        <w:t>. The integrity of the input nucleic acid and the technical performance of the assay were assessed with a qualitative reverse transcription qPCR assay and assessing the DNA/RNA content in the sequencing results. The assay is validated for samples showing 5% or higher tumor cellularity.</w:t>
      </w:r>
    </w:p>
    <w:p w14:paraId="0CD4257F" w14:textId="77777777" w:rsidR="0082258A" w:rsidRPr="009E6F31" w:rsidRDefault="0082258A" w:rsidP="00A80396">
      <w:pPr>
        <w:spacing w:after="240" w:line="276" w:lineRule="auto"/>
        <w:jc w:val="both"/>
        <w:rPr>
          <w:rFonts w:ascii="Arial" w:hAnsi="Arial" w:cs="Arial"/>
          <w:b/>
          <w:sz w:val="22"/>
          <w:szCs w:val="22"/>
        </w:rPr>
      </w:pPr>
      <w:r w:rsidRPr="009E6F31">
        <w:rPr>
          <w:rFonts w:ascii="Arial" w:hAnsi="Arial" w:cs="Arial"/>
          <w:b/>
          <w:sz w:val="22"/>
          <w:szCs w:val="22"/>
        </w:rPr>
        <w:t>Cell Culture</w:t>
      </w:r>
    </w:p>
    <w:p w14:paraId="7664EA85" w14:textId="52D4CCC1" w:rsidR="0082258A" w:rsidRPr="009E6F31" w:rsidRDefault="0082258A" w:rsidP="00A80396">
      <w:pPr>
        <w:spacing w:after="240" w:line="276" w:lineRule="auto"/>
        <w:jc w:val="both"/>
        <w:rPr>
          <w:rFonts w:ascii="Arial" w:hAnsi="Arial" w:cs="Arial"/>
          <w:sz w:val="22"/>
          <w:szCs w:val="22"/>
        </w:rPr>
      </w:pPr>
      <w:r w:rsidRPr="009E6F31">
        <w:rPr>
          <w:rFonts w:ascii="Arial" w:hAnsi="Arial" w:cs="Arial"/>
          <w:sz w:val="22"/>
          <w:szCs w:val="22"/>
        </w:rPr>
        <w:t xml:space="preserve">293T and TC-797 </w:t>
      </w:r>
      <w:r w:rsidR="003E7C59" w:rsidRPr="009E6F31">
        <w:rPr>
          <w:rFonts w:ascii="Arial" w:hAnsi="Arial" w:cs="Arial"/>
          <w:sz w:val="22"/>
          <w:szCs w:val="22"/>
        </w:rPr>
        <w:fldChar w:fldCharType="begin" w:fldLock="1"/>
      </w:r>
      <w:r w:rsidR="003E7C59" w:rsidRPr="009E6F31">
        <w:rPr>
          <w:rFonts w:ascii="Arial" w:hAnsi="Arial" w:cs="Arial"/>
          <w:sz w:val="22"/>
          <w:szCs w:val="22"/>
        </w:rPr>
        <w:instrText>ADDIN CSL_CITATION { "citationItems" : [ { "id" : "ITEM-1", "itemData" : { "abstract" : "Thymic carcinoma is a rare epithelial neoplasm of the thymus. The presence of a specific chromosomal abnormality may augment diagnosis and therapeutic stratification. We report a 15-year-old boy diagnosed with thymic carcinoma who presented with a large anterior mediastinal mass, pleural effusion, and bone metastasis. The pleural fluid, cytology, bony lesions, and bone marrow were examined and chromosomal studies were performed. Histologic and immunohistochemical studies confirmed a poorly differentiated squamous cell type of thymic carcinoma. The karyotype of the pleural fluid at the time of diagnosis revealed a complex three-way translocation t(11;15;19)(p15;q12;p13.3). The constitutional karyotype was 46,XY. Five months after diagnosis, a bone marrow aspirate demonstrated tetraploidy with all translocation chromosomes in duplicate, as well as an unbalanced rearrangement involving chromosome 1: 92,XXYY,t(11;15;19)(p15;q12;p13.3)\u00d72[15]/92,XXYY,idem,add(1)(qter)[5]. Despite aggressive multiagent chemotherapy, the patient\u2019s condition progressed with bone marrow disease and he died 6 months after diagnosis. Several case reports of a similar chromosomal abnormality have been reported for thymic carcinoma in young patients with poor outcome. This karyotypic abnormality appears to mark a cohort of patients with thymic carcinoma who have a poor prognosis despite aggressive chemotherapy.", "author" : [ { "dropping-particle" : "", "family" : "Toretsky", "given" : "Jeffrey A.", "non-dropping-particle" : "", "parse-names" : false, "suffix" : "" }, { "dropping-particle" : "", "family" : "Jenson", "given" : "James", "non-dropping-particle" : "", "parse-names" : false, "suffix" : "" }, { "dropping-particle" : "", "family" : "Sun", "given" : "Chen-Chih", "non-dropping-particle" : "", "parse-names" : false, "suffix" : "" }, { "dropping-particle" : "", "family" : "Eskenazi", "given" : "Allen E.", "non-dropping-particle" : "", "parse-names" : false, "suffix" : "" }, { "dropping-particle" : "", "family" : "Campbell", "given" : "Andrew", "non-dropping-particle" : "", "parse-names" : false, "suffix" : "" }, { "dropping-particle" : "", "family" : "Hunger", "given" : "Stephen P.", "non-dropping-particle" : "", "parse-names" : false, "suffix" : "" }, { "dropping-particle" : "", "family" : "Caires", "given" : "Aimee", "non-dropping-particle" : "", "parse-names" : false, "suffix" : "" }, { "dropping-particle" : "", "family" : "Frantz", "given" : "Christopher", "non-dropping-particle" : "", "parse-names" : false, "suffix" : "" }, { "dropping-particle" : "", "family" : "Hill", "given" : "J Laurance", "non-dropping-particle" : "", "parse-names" : false, "suffix" : "" }, { "dropping-particle" : "", "family" : "Stamberg", "given" : "Judith", "non-dropping-particle" : "", "parse-names" : false, "suffix" : "" } ], "container-title" : "American Journal of Clinical Oncology", "id" : "ITEM-1", "issue" : "3", "issued" : { "date-parts" : [ [ "2003" ] ] }, "page" : "300-306", "title" : "Translocation ( 11 ; 15 ; 19 ): a Highly Specific Chromosome Rearrangement Associated With Poorly Differentiated Thymic Carcinoma in Young Patients", "type" : "article-journal", "volume" : "26" }, "uris" : [ "http://www.mendeley.com/documents/?uuid=a74169cc-ce2d-46ab-ae74-b56617157c39" ] } ], "mendeley" : { "formattedCitation" : "(4)", "plainTextFormattedCitation" : "(4)", "previouslyFormattedCitation" : "(4)" }, "properties" : { "noteIndex" : 0 }, "schema" : "https://github.com/citation-style-language/schema/raw/master/csl-citation.json" }</w:instrText>
      </w:r>
      <w:r w:rsidR="003E7C59" w:rsidRPr="009E6F31">
        <w:rPr>
          <w:rFonts w:ascii="Arial" w:hAnsi="Arial" w:cs="Arial"/>
          <w:sz w:val="22"/>
          <w:szCs w:val="22"/>
        </w:rPr>
        <w:fldChar w:fldCharType="separate"/>
      </w:r>
      <w:r w:rsidR="003E7C59" w:rsidRPr="009E6F31">
        <w:rPr>
          <w:rFonts w:ascii="Arial" w:hAnsi="Arial" w:cs="Arial"/>
          <w:noProof/>
          <w:sz w:val="22"/>
          <w:szCs w:val="22"/>
        </w:rPr>
        <w:t>(4)</w:t>
      </w:r>
      <w:r w:rsidR="003E7C59" w:rsidRPr="009E6F31">
        <w:rPr>
          <w:rFonts w:ascii="Arial" w:hAnsi="Arial" w:cs="Arial"/>
          <w:sz w:val="22"/>
          <w:szCs w:val="22"/>
        </w:rPr>
        <w:fldChar w:fldCharType="end"/>
      </w:r>
      <w:r w:rsidRPr="009E6F31">
        <w:rPr>
          <w:rFonts w:ascii="Arial" w:hAnsi="Arial" w:cs="Arial"/>
          <w:sz w:val="22"/>
          <w:szCs w:val="22"/>
        </w:rPr>
        <w:t xml:space="preserve"> cell lines were cultured in monolayer in DMEM (Invitrogen) supplemented with 1x Penicillin Streptomycin (Hyclone, South Logan, UT), 1x Glutamax (Gibco), and 10% (v/v) Bovine Growth Serum (BGS) (Hyclone). </w:t>
      </w:r>
      <w:r w:rsidR="008B034B" w:rsidRPr="009E6F31">
        <w:rPr>
          <w:rFonts w:ascii="Arial" w:hAnsi="Arial" w:cs="Arial"/>
          <w:sz w:val="22"/>
          <w:szCs w:val="22"/>
        </w:rPr>
        <w:t xml:space="preserve">The </w:t>
      </w:r>
      <w:r w:rsidRPr="009E6F31">
        <w:rPr>
          <w:rFonts w:ascii="Arial" w:hAnsi="Arial" w:cs="Arial"/>
          <w:sz w:val="22"/>
          <w:szCs w:val="22"/>
        </w:rPr>
        <w:t xml:space="preserve">PER-403 </w:t>
      </w:r>
      <w:r w:rsidR="003E7C59" w:rsidRPr="009E6F31">
        <w:rPr>
          <w:rFonts w:ascii="Arial" w:hAnsi="Arial" w:cs="Arial"/>
          <w:sz w:val="22"/>
          <w:szCs w:val="22"/>
        </w:rPr>
        <w:fldChar w:fldCharType="begin" w:fldLock="1"/>
      </w:r>
      <w:r w:rsidR="003E7C59" w:rsidRPr="009E6F31">
        <w:rPr>
          <w:rFonts w:ascii="Arial" w:hAnsi="Arial" w:cs="Arial"/>
          <w:sz w:val="22"/>
          <w:szCs w:val="22"/>
        </w:rPr>
        <w:instrText>ADDIN CSL_CITATION { "citationItems" : [ { "id" : "ITEM-1", "itemData" : { "author" : [ { "dropping-particle" : "", "family" : "Kees", "given" : "UR", "non-dropping-particle" : "", "parse-names" : false, "suffix" : "" }, { "dropping-particle" : "", "family" : "Mulcahy", "given" : "MT", "non-dropping-particle" : "", "parse-names" : false, "suffix" : "" }, { "dropping-particle" : "", "family" : "Willoughby", "given" : "ML", "non-dropping-particle" : "", "parse-names" : false, "suffix" : "" } ], "container-title" : "The American Journal of Pediatric Hematology/Oncology", "id" : "ITEM-1", "issue" : "4", "issued" : { "date-parts" : [ [ "1991" ] ] }, "page" : "459-646", "title" : "Intrathoracic carcinoma in an 11-year-old girl showing a translocation t(15;19).", "type" : "article-journal", "volume" : "13" }, "uris" : [ "http://www.mendeley.com/documents/?uuid=16a658b5-a954-419c-8026-38a07a8b865a" ] } ], "mendeley" : { "formattedCitation" : "(5)", "plainTextFormattedCitation" : "(5)", "previouslyFormattedCitation" : "(5)" }, "properties" : { "noteIndex" : 0 }, "schema" : "https://github.com/citation-style-language/schema/raw/master/csl-citation.json" }</w:instrText>
      </w:r>
      <w:r w:rsidR="003E7C59" w:rsidRPr="009E6F31">
        <w:rPr>
          <w:rFonts w:ascii="Arial" w:hAnsi="Arial" w:cs="Arial"/>
          <w:sz w:val="22"/>
          <w:szCs w:val="22"/>
        </w:rPr>
        <w:fldChar w:fldCharType="separate"/>
      </w:r>
      <w:r w:rsidR="003E7C59" w:rsidRPr="009E6F31">
        <w:rPr>
          <w:rFonts w:ascii="Arial" w:hAnsi="Arial" w:cs="Arial"/>
          <w:noProof/>
          <w:sz w:val="22"/>
          <w:szCs w:val="22"/>
        </w:rPr>
        <w:t>(5)</w:t>
      </w:r>
      <w:r w:rsidR="003E7C59" w:rsidRPr="009E6F31">
        <w:rPr>
          <w:rFonts w:ascii="Arial" w:hAnsi="Arial" w:cs="Arial"/>
          <w:sz w:val="22"/>
          <w:szCs w:val="22"/>
        </w:rPr>
        <w:fldChar w:fldCharType="end"/>
      </w:r>
      <w:r w:rsidRPr="009E6F31">
        <w:rPr>
          <w:rFonts w:ascii="Arial" w:hAnsi="Arial" w:cs="Arial"/>
          <w:sz w:val="22"/>
          <w:szCs w:val="22"/>
        </w:rPr>
        <w:t xml:space="preserve"> cell line was cultured in the above </w:t>
      </w:r>
      <w:r w:rsidR="008B034B" w:rsidRPr="009E6F31">
        <w:rPr>
          <w:rFonts w:ascii="Arial" w:hAnsi="Arial" w:cs="Arial"/>
          <w:sz w:val="22"/>
          <w:szCs w:val="22"/>
        </w:rPr>
        <w:t>media</w:t>
      </w:r>
      <w:r w:rsidRPr="009E6F31">
        <w:rPr>
          <w:rFonts w:ascii="Arial" w:hAnsi="Arial" w:cs="Arial"/>
          <w:sz w:val="22"/>
          <w:szCs w:val="22"/>
        </w:rPr>
        <w:t xml:space="preserve"> except with 20% (v/v) Fetal Bovine Serum (FBS) (Hyclone) instead of BGS. 797TRex-</w:t>
      </w:r>
      <w:r w:rsidR="008B034B" w:rsidRPr="009E6F31">
        <w:rPr>
          <w:rFonts w:ascii="Arial" w:hAnsi="Arial" w:cs="Arial"/>
          <w:sz w:val="22"/>
          <w:szCs w:val="22"/>
        </w:rPr>
        <w:t>FLAG</w:t>
      </w:r>
      <w:r w:rsidRPr="009E6F31">
        <w:rPr>
          <w:rFonts w:ascii="Arial" w:hAnsi="Arial" w:cs="Arial"/>
          <w:sz w:val="22"/>
          <w:szCs w:val="22"/>
        </w:rPr>
        <w:t>-BRD4-NUT-HA and U2OSTRex-</w:t>
      </w:r>
      <w:r w:rsidR="008B034B" w:rsidRPr="009E6F31">
        <w:rPr>
          <w:rFonts w:ascii="Arial" w:hAnsi="Arial" w:cs="Arial"/>
          <w:sz w:val="22"/>
          <w:szCs w:val="22"/>
        </w:rPr>
        <w:t>FLAG</w:t>
      </w:r>
      <w:r w:rsidRPr="009E6F31">
        <w:rPr>
          <w:rFonts w:ascii="Arial" w:hAnsi="Arial" w:cs="Arial"/>
          <w:sz w:val="22"/>
          <w:szCs w:val="22"/>
        </w:rPr>
        <w:t xml:space="preserve">-BRD4-NUT were created as previously described </w:t>
      </w:r>
      <w:r w:rsidR="003E7C59" w:rsidRPr="009E6F31">
        <w:rPr>
          <w:rFonts w:ascii="Arial" w:hAnsi="Arial" w:cs="Arial"/>
          <w:sz w:val="22"/>
          <w:szCs w:val="22"/>
        </w:rPr>
        <w:lastRenderedPageBreak/>
        <w:fldChar w:fldCharType="begin" w:fldLock="1"/>
      </w:r>
      <w:r w:rsidR="007C1789" w:rsidRPr="009E6F31">
        <w:rPr>
          <w:rFonts w:ascii="Arial" w:hAnsi="Arial" w:cs="Arial"/>
          <w:sz w:val="22"/>
          <w:szCs w:val="22"/>
        </w:rPr>
        <w:instrText>ADDIN CSL_CITATION { "citationItems" : [ { "id" : "ITEM-1", "itemData" : { "DOI" : "10.1101/gad.267583.115.7", "author" : [ { "dropping-particle" : "", "family" : "Alekseyenko", "given" : "Artyom a", "non-dropping-particle" : "", "parse-names" : false, "suffix" : "" }, { "dropping-particle" : "", "family" : "Walsh", "given" : "Erica M", "non-dropping-particle" : "", "parse-names" : false, "suffix" : "" }, { "dropping-particle" : "", "family" : "Wang", "given" : "Xin", "non-dropping-particle" : "", "parse-names" : false, "suffix" : "" }, { "dropping-particle" : "", "family" : "Grayson", "given" : "Adlai R", "non-dropping-particle" : "", "parse-names" : false, "suffix" : "" }, { "dropping-particle" : "", "family" : "Hsi", "given" : "Peter T", "non-dropping-particle" : "", "parse-names" : false, "suffix" : "" }, { "dropping-particle" : "V", "family" : "Kharchenko", "given" : "Peter", "non-dropping-particle" : "", "parse-names" : false, "suffix" : "" }, { "dropping-particle" : "", "family" : "Kuroda", "given" : "Mitzi I", "non-dropping-particle" : "", "parse-names" : false, "suffix" : "" }, { "dropping-particle" : "", "family" : "French", "given" : "Christopher a", "non-dropping-particle" : "", "parse-names" : false, "suffix" : "" } ], "container-title" : "Genes and Development", "id" : "ITEM-1", "issued" : { "date-parts" : [ [ "2015" ] ] }, "page" : "1507-1523", "title" : "The oncogenic BRD4-NUT chromatin regulator drives aberrant transcription within large topological domains", "type" : "article-journal", "volume" : "29" }, "uris" : [ "http://www.mendeley.com/documents/?uuid=c8b4992d-72a6-4560-b852-9a05551852e4" ] } ], "mendeley" : { "formattedCitation" : "(6)", "plainTextFormattedCitation" : "(6)", "previouslyFormattedCitation" : "(6)" }, "properties" : { "noteIndex" : 0 }, "schema" : "https://github.com/citation-style-language/schema/raw/master/csl-citation.json" }</w:instrText>
      </w:r>
      <w:r w:rsidR="003E7C59" w:rsidRPr="009E6F31">
        <w:rPr>
          <w:rFonts w:ascii="Arial" w:hAnsi="Arial" w:cs="Arial"/>
          <w:sz w:val="22"/>
          <w:szCs w:val="22"/>
        </w:rPr>
        <w:fldChar w:fldCharType="separate"/>
      </w:r>
      <w:r w:rsidR="003E7C59" w:rsidRPr="009E6F31">
        <w:rPr>
          <w:rFonts w:ascii="Arial" w:hAnsi="Arial" w:cs="Arial"/>
          <w:noProof/>
          <w:sz w:val="22"/>
          <w:szCs w:val="22"/>
        </w:rPr>
        <w:t>(6)</w:t>
      </w:r>
      <w:r w:rsidR="003E7C59" w:rsidRPr="009E6F31">
        <w:rPr>
          <w:rFonts w:ascii="Arial" w:hAnsi="Arial" w:cs="Arial"/>
          <w:sz w:val="22"/>
          <w:szCs w:val="22"/>
        </w:rPr>
        <w:fldChar w:fldCharType="end"/>
      </w:r>
      <w:r w:rsidRPr="009E6F31">
        <w:rPr>
          <w:rFonts w:ascii="Arial" w:hAnsi="Arial" w:cs="Arial"/>
          <w:sz w:val="22"/>
          <w:szCs w:val="22"/>
        </w:rPr>
        <w:t xml:space="preserve"> and were maintained in the above described conditions except with 10%</w:t>
      </w:r>
      <w:r w:rsidR="00CA4781" w:rsidRPr="009E6F31">
        <w:rPr>
          <w:rFonts w:ascii="Arial" w:hAnsi="Arial" w:cs="Arial"/>
          <w:sz w:val="22"/>
          <w:szCs w:val="22"/>
        </w:rPr>
        <w:t xml:space="preserve"> (v/v)</w:t>
      </w:r>
      <w:r w:rsidR="005A4626" w:rsidRPr="009E6F31">
        <w:rPr>
          <w:rFonts w:ascii="Arial" w:hAnsi="Arial" w:cs="Arial"/>
          <w:sz w:val="22"/>
          <w:szCs w:val="22"/>
        </w:rPr>
        <w:t xml:space="preserve"> tetracycline-free</w:t>
      </w:r>
      <w:r w:rsidRPr="009E6F31">
        <w:rPr>
          <w:rFonts w:ascii="Arial" w:hAnsi="Arial" w:cs="Arial"/>
          <w:sz w:val="22"/>
          <w:szCs w:val="22"/>
        </w:rPr>
        <w:t xml:space="preserve"> FBS (Hyclone) instead of BGS.</w:t>
      </w:r>
      <w:r w:rsidR="0040283A" w:rsidRPr="009E6F31">
        <w:rPr>
          <w:rFonts w:ascii="Arial" w:hAnsi="Arial" w:cs="Arial"/>
          <w:sz w:val="22"/>
          <w:szCs w:val="22"/>
        </w:rPr>
        <w:t xml:space="preserve"> FLAG-BRD4-NUT-HA or FLAG-BRD4-NUT expression was induced by 1 µg/ml tetracycline treatment.</w:t>
      </w:r>
      <w:r w:rsidRPr="009E6F31">
        <w:rPr>
          <w:rFonts w:ascii="Arial" w:hAnsi="Arial" w:cs="Arial"/>
          <w:sz w:val="22"/>
          <w:szCs w:val="22"/>
        </w:rPr>
        <w:t xml:space="preserve"> </w:t>
      </w:r>
      <w:r w:rsidR="003E7C59" w:rsidRPr="009E6F31">
        <w:rPr>
          <w:rFonts w:ascii="Arial" w:hAnsi="Arial" w:cs="Arial"/>
          <w:sz w:val="22"/>
          <w:szCs w:val="22"/>
        </w:rPr>
        <w:t xml:space="preserve">Generation </w:t>
      </w:r>
      <w:r w:rsidR="005A4626" w:rsidRPr="009E6F31">
        <w:rPr>
          <w:rFonts w:ascii="Arial" w:hAnsi="Arial" w:cs="Arial"/>
          <w:sz w:val="22"/>
          <w:szCs w:val="22"/>
        </w:rPr>
        <w:t xml:space="preserve">of </w:t>
      </w:r>
      <w:r w:rsidR="003E7C59" w:rsidRPr="009E6F31">
        <w:rPr>
          <w:rFonts w:ascii="Arial" w:hAnsi="Arial" w:cs="Arial"/>
          <w:sz w:val="22"/>
          <w:szCs w:val="22"/>
        </w:rPr>
        <w:t>and culture condition</w:t>
      </w:r>
      <w:r w:rsidR="005A4626" w:rsidRPr="009E6F31">
        <w:rPr>
          <w:rFonts w:ascii="Arial" w:hAnsi="Arial" w:cs="Arial"/>
          <w:sz w:val="22"/>
          <w:szCs w:val="22"/>
        </w:rPr>
        <w:t>s</w:t>
      </w:r>
      <w:r w:rsidR="003E7C59" w:rsidRPr="009E6F31">
        <w:rPr>
          <w:rFonts w:ascii="Arial" w:hAnsi="Arial" w:cs="Arial"/>
          <w:sz w:val="22"/>
          <w:szCs w:val="22"/>
        </w:rPr>
        <w:t xml:space="preserve"> of </w:t>
      </w:r>
      <w:r w:rsidR="005A4626" w:rsidRPr="009E6F31">
        <w:rPr>
          <w:rFonts w:ascii="Arial" w:hAnsi="Arial" w:cs="Arial"/>
          <w:sz w:val="22"/>
          <w:szCs w:val="22"/>
        </w:rPr>
        <w:t xml:space="preserve">the </w:t>
      </w:r>
      <w:r w:rsidRPr="009E6F31">
        <w:rPr>
          <w:rFonts w:ascii="Arial" w:hAnsi="Arial" w:cs="Arial"/>
          <w:sz w:val="22"/>
          <w:szCs w:val="22"/>
        </w:rPr>
        <w:t xml:space="preserve">797-ZNF532-NBioTAP </w:t>
      </w:r>
      <w:r w:rsidR="005A4626" w:rsidRPr="009E6F31">
        <w:rPr>
          <w:rFonts w:ascii="Arial" w:hAnsi="Arial" w:cs="Arial"/>
          <w:sz w:val="22"/>
          <w:szCs w:val="22"/>
        </w:rPr>
        <w:t>derivative</w:t>
      </w:r>
      <w:r w:rsidRPr="009E6F31">
        <w:rPr>
          <w:rFonts w:ascii="Arial" w:hAnsi="Arial" w:cs="Arial"/>
          <w:sz w:val="22"/>
          <w:szCs w:val="22"/>
        </w:rPr>
        <w:t xml:space="preserve"> is described </w:t>
      </w:r>
      <w:r w:rsidR="005A4626" w:rsidRPr="009E6F31">
        <w:rPr>
          <w:rFonts w:ascii="Arial" w:hAnsi="Arial" w:cs="Arial"/>
          <w:sz w:val="22"/>
          <w:szCs w:val="22"/>
        </w:rPr>
        <w:t>below</w:t>
      </w:r>
      <w:r w:rsidRPr="009E6F31">
        <w:rPr>
          <w:rFonts w:ascii="Arial" w:hAnsi="Arial" w:cs="Arial"/>
          <w:sz w:val="22"/>
          <w:szCs w:val="22"/>
        </w:rPr>
        <w:t>.</w:t>
      </w:r>
    </w:p>
    <w:p w14:paraId="0EC9A9E1" w14:textId="3D80F419" w:rsidR="005A4C63" w:rsidRPr="009E6F31" w:rsidRDefault="0017376B" w:rsidP="00A80396">
      <w:pPr>
        <w:spacing w:after="240"/>
        <w:jc w:val="both"/>
        <w:outlineLvl w:val="0"/>
        <w:rPr>
          <w:rFonts w:ascii="Arial" w:hAnsi="Arial" w:cs="Arial"/>
          <w:b/>
          <w:sz w:val="22"/>
          <w:szCs w:val="22"/>
        </w:rPr>
      </w:pPr>
      <w:r w:rsidRPr="009E6F31">
        <w:rPr>
          <w:rFonts w:ascii="Arial" w:hAnsi="Arial" w:cs="Arial"/>
          <w:b/>
          <w:sz w:val="22"/>
          <w:szCs w:val="22"/>
        </w:rPr>
        <w:t>RT-/RT-qPCR</w:t>
      </w:r>
    </w:p>
    <w:p w14:paraId="7E6ECF18" w14:textId="428664F0" w:rsidR="00422C1E" w:rsidRPr="009E6F31" w:rsidRDefault="005A4C63" w:rsidP="00A80396">
      <w:pPr>
        <w:spacing w:after="240"/>
        <w:jc w:val="both"/>
        <w:rPr>
          <w:rFonts w:ascii="Arial" w:hAnsi="Arial" w:cs="Arial"/>
          <w:sz w:val="22"/>
          <w:szCs w:val="22"/>
        </w:rPr>
      </w:pPr>
      <w:r w:rsidRPr="009E6F31">
        <w:rPr>
          <w:rFonts w:ascii="Arial" w:hAnsi="Arial" w:cs="Arial"/>
          <w:sz w:val="22"/>
          <w:szCs w:val="22"/>
        </w:rPr>
        <w:t>Nested RT-PCR was performed using total nucleic acid sample purified for the Archer® FusionPlex® as a template. Control template RNA was isolated from NC cell line TC-797 using RNeasy Mini Kit (Qiagen, Mansfield, MA) following the manufacturer’s instructions. cDNA was synthesized from both templates using Superscript IV reverse transcriptase (Invitrogen, Carlsbad, CA) and random hexamers. The Nested PCR was performed using Ex Taq DNA Polymerase (Takara Bio Inc., Japan)</w:t>
      </w:r>
      <w:r w:rsidR="000E4900" w:rsidRPr="009E6F31">
        <w:rPr>
          <w:rFonts w:ascii="Arial" w:hAnsi="Arial" w:cs="Arial"/>
          <w:sz w:val="22"/>
          <w:szCs w:val="22"/>
        </w:rPr>
        <w:t xml:space="preserve">. </w:t>
      </w:r>
      <w:r w:rsidR="00FF4972" w:rsidRPr="009E6F31">
        <w:rPr>
          <w:rFonts w:ascii="Arial" w:hAnsi="Arial" w:cs="Arial"/>
          <w:sz w:val="22"/>
          <w:szCs w:val="22"/>
        </w:rPr>
        <w:t>P</w:t>
      </w:r>
      <w:r w:rsidR="007556CB" w:rsidRPr="009E6F31">
        <w:rPr>
          <w:rFonts w:ascii="Arial" w:hAnsi="Arial" w:cs="Arial"/>
          <w:sz w:val="22"/>
          <w:szCs w:val="22"/>
        </w:rPr>
        <w:t>rimer</w:t>
      </w:r>
      <w:r w:rsidR="00FF4972" w:rsidRPr="009E6F31">
        <w:rPr>
          <w:rFonts w:ascii="Arial" w:hAnsi="Arial" w:cs="Arial"/>
          <w:sz w:val="22"/>
          <w:szCs w:val="22"/>
        </w:rPr>
        <w:t>s</w:t>
      </w:r>
      <w:r w:rsidR="007556CB" w:rsidRPr="009E6F31">
        <w:rPr>
          <w:rFonts w:ascii="Arial" w:hAnsi="Arial" w:cs="Arial"/>
          <w:sz w:val="22"/>
          <w:szCs w:val="22"/>
        </w:rPr>
        <w:t xml:space="preserve"> </w:t>
      </w:r>
      <w:r w:rsidR="00FF4972" w:rsidRPr="009E6F31">
        <w:rPr>
          <w:rFonts w:ascii="Arial" w:hAnsi="Arial" w:cs="Arial"/>
          <w:sz w:val="22"/>
          <w:szCs w:val="22"/>
        </w:rPr>
        <w:t xml:space="preserve">used in the first-round of PCR </w:t>
      </w:r>
      <w:r w:rsidR="007556CB" w:rsidRPr="009E6F31">
        <w:rPr>
          <w:rFonts w:ascii="Arial" w:hAnsi="Arial" w:cs="Arial"/>
          <w:sz w:val="22"/>
          <w:szCs w:val="22"/>
        </w:rPr>
        <w:t xml:space="preserve">were as following: </w:t>
      </w:r>
      <w:r w:rsidR="00C079EA" w:rsidRPr="009E6F31">
        <w:rPr>
          <w:rFonts w:ascii="Arial" w:hAnsi="Arial" w:cs="Arial"/>
          <w:sz w:val="22"/>
          <w:szCs w:val="22"/>
        </w:rPr>
        <w:t>ZNF592_3551FF GAAACCCTGATTTGAGCCAGAC, NUT_567R GTTGGTGGGAGAAAGGGAAGTG</w:t>
      </w:r>
      <w:r w:rsidR="007556CB" w:rsidRPr="009E6F31">
        <w:rPr>
          <w:rFonts w:ascii="Arial" w:hAnsi="Arial" w:cs="Arial"/>
          <w:sz w:val="22"/>
          <w:szCs w:val="22"/>
        </w:rPr>
        <w:t xml:space="preserve">. </w:t>
      </w:r>
      <w:r w:rsidR="00C079EA" w:rsidRPr="009E6F31">
        <w:rPr>
          <w:rFonts w:ascii="Arial" w:hAnsi="Arial" w:cs="Arial"/>
          <w:sz w:val="22"/>
          <w:szCs w:val="22"/>
        </w:rPr>
        <w:t>The second-round PCR was performed using the following primers: ZNF592_3576F CAAAGTGAAACCTCCGGGTG, NUT_527R CGGCACTAGGTTTCATGCTC, ZNF592_3564F GAGCCAGACGTCCAAAGTGAA, NUT_527R2 CGGCACTAGGTTTCATGCTCA, ZNF592_3571F ACGTCCAAAGTGAAACCTCCG, NUT_526R GGCACTAGGTTTCATGCTCA.</w:t>
      </w:r>
    </w:p>
    <w:p w14:paraId="7C0BD429" w14:textId="25F863D8" w:rsidR="00C079EA" w:rsidRPr="009E6F31" w:rsidRDefault="000E4900" w:rsidP="00A80396">
      <w:pPr>
        <w:spacing w:after="240" w:line="276" w:lineRule="auto"/>
        <w:jc w:val="both"/>
        <w:rPr>
          <w:rFonts w:ascii="Arial" w:hAnsi="Arial" w:cs="Arial"/>
          <w:sz w:val="22"/>
          <w:szCs w:val="22"/>
        </w:rPr>
      </w:pPr>
      <w:r w:rsidRPr="009E6F31">
        <w:rPr>
          <w:rFonts w:ascii="Arial" w:hAnsi="Arial" w:cs="Arial"/>
          <w:sz w:val="22"/>
          <w:szCs w:val="22"/>
        </w:rPr>
        <w:t xml:space="preserve">RT-qPCR was performed to analyze </w:t>
      </w:r>
      <w:r w:rsidR="00FA2510" w:rsidRPr="009E6F31">
        <w:rPr>
          <w:rFonts w:ascii="Arial" w:hAnsi="Arial" w:cs="Arial"/>
          <w:sz w:val="22"/>
          <w:szCs w:val="22"/>
        </w:rPr>
        <w:t xml:space="preserve">an </w:t>
      </w:r>
      <w:r w:rsidRPr="009E6F31">
        <w:rPr>
          <w:rFonts w:ascii="Arial" w:hAnsi="Arial" w:cs="Arial"/>
          <w:sz w:val="22"/>
          <w:szCs w:val="22"/>
        </w:rPr>
        <w:t xml:space="preserve">established 797-ZNF532-NBioTAP cell </w:t>
      </w:r>
      <w:r w:rsidR="006570DF" w:rsidRPr="009E6F31">
        <w:rPr>
          <w:rFonts w:ascii="Arial" w:hAnsi="Arial" w:cs="Arial"/>
          <w:sz w:val="22"/>
          <w:szCs w:val="22"/>
        </w:rPr>
        <w:t>l</w:t>
      </w:r>
      <w:r w:rsidRPr="009E6F31">
        <w:rPr>
          <w:rFonts w:ascii="Arial" w:hAnsi="Arial" w:cs="Arial"/>
          <w:sz w:val="22"/>
          <w:szCs w:val="22"/>
        </w:rPr>
        <w:t>ine as following</w:t>
      </w:r>
      <w:r w:rsidR="00FA2510" w:rsidRPr="009E6F31">
        <w:rPr>
          <w:rFonts w:ascii="Arial" w:hAnsi="Arial" w:cs="Arial"/>
          <w:sz w:val="22"/>
          <w:szCs w:val="22"/>
        </w:rPr>
        <w:t xml:space="preserve">: </w:t>
      </w:r>
      <w:r w:rsidRPr="009E6F31">
        <w:rPr>
          <w:rFonts w:ascii="Arial" w:hAnsi="Arial" w:cs="Arial"/>
          <w:sz w:val="22"/>
          <w:szCs w:val="22"/>
        </w:rPr>
        <w:t xml:space="preserve">RNA was purified from TC-797 or 797-ZNF532-NBioTAP </w:t>
      </w:r>
      <w:r w:rsidR="00FA2510" w:rsidRPr="009E6F31">
        <w:rPr>
          <w:rFonts w:ascii="Arial" w:hAnsi="Arial" w:cs="Arial"/>
          <w:sz w:val="22"/>
          <w:szCs w:val="22"/>
        </w:rPr>
        <w:t xml:space="preserve">cells </w:t>
      </w:r>
      <w:r w:rsidRPr="009E6F31">
        <w:rPr>
          <w:rFonts w:ascii="Arial" w:hAnsi="Arial" w:cs="Arial"/>
          <w:sz w:val="22"/>
          <w:szCs w:val="22"/>
        </w:rPr>
        <w:t xml:space="preserve">using Rneasy Mini Kit (Qiagen), </w:t>
      </w:r>
      <w:r w:rsidR="0040283A" w:rsidRPr="009E6F31">
        <w:rPr>
          <w:rFonts w:ascii="Arial" w:hAnsi="Arial" w:cs="Arial"/>
          <w:sz w:val="22"/>
          <w:szCs w:val="22"/>
        </w:rPr>
        <w:t>and cDNA</w:t>
      </w:r>
      <w:r w:rsidR="00E50C30" w:rsidRPr="009E6F31">
        <w:rPr>
          <w:rFonts w:ascii="Arial" w:hAnsi="Arial" w:cs="Arial"/>
          <w:sz w:val="22"/>
          <w:szCs w:val="22"/>
        </w:rPr>
        <w:t xml:space="preserve"> </w:t>
      </w:r>
      <w:r w:rsidR="00FF7D31" w:rsidRPr="009E6F31">
        <w:rPr>
          <w:rFonts w:ascii="Arial" w:hAnsi="Arial" w:cs="Arial"/>
          <w:sz w:val="22"/>
          <w:szCs w:val="22"/>
        </w:rPr>
        <w:t xml:space="preserve">was </w:t>
      </w:r>
      <w:r w:rsidR="00E50C30" w:rsidRPr="009E6F31">
        <w:rPr>
          <w:rFonts w:ascii="Arial" w:hAnsi="Arial" w:cs="Arial"/>
          <w:sz w:val="22"/>
          <w:szCs w:val="22"/>
        </w:rPr>
        <w:t>synthesized using iScript reverse transcript</w:t>
      </w:r>
      <w:r w:rsidR="00837408" w:rsidRPr="009E6F31">
        <w:rPr>
          <w:rFonts w:ascii="Arial" w:hAnsi="Arial" w:cs="Arial"/>
          <w:sz w:val="22"/>
          <w:szCs w:val="22"/>
        </w:rPr>
        <w:t>ion super</w:t>
      </w:r>
      <w:r w:rsidR="00E50C30" w:rsidRPr="009E6F31">
        <w:rPr>
          <w:rFonts w:ascii="Arial" w:hAnsi="Arial" w:cs="Arial"/>
          <w:sz w:val="22"/>
          <w:szCs w:val="22"/>
        </w:rPr>
        <w:t>mix (</w:t>
      </w:r>
      <w:r w:rsidR="00FF7D31" w:rsidRPr="009E6F31">
        <w:rPr>
          <w:rFonts w:ascii="Arial" w:hAnsi="Arial" w:cs="Arial"/>
          <w:sz w:val="22"/>
          <w:szCs w:val="22"/>
        </w:rPr>
        <w:t>Bio-Rad</w:t>
      </w:r>
      <w:r w:rsidRPr="009E6F31">
        <w:rPr>
          <w:rFonts w:ascii="Arial" w:hAnsi="Arial" w:cs="Arial"/>
          <w:sz w:val="22"/>
          <w:szCs w:val="22"/>
        </w:rPr>
        <w:t>, Hercules, CA</w:t>
      </w:r>
      <w:r w:rsidR="00E50C30" w:rsidRPr="009E6F31">
        <w:rPr>
          <w:rFonts w:ascii="Arial" w:hAnsi="Arial" w:cs="Arial"/>
          <w:sz w:val="22"/>
          <w:szCs w:val="22"/>
        </w:rPr>
        <w:t>)</w:t>
      </w:r>
      <w:r w:rsidR="00FF7D31" w:rsidRPr="009E6F31">
        <w:rPr>
          <w:rFonts w:ascii="Arial" w:hAnsi="Arial" w:cs="Arial"/>
          <w:sz w:val="22"/>
          <w:szCs w:val="22"/>
        </w:rPr>
        <w:t xml:space="preserve"> qPCR was performed </w:t>
      </w:r>
      <w:r w:rsidRPr="009E6F31">
        <w:rPr>
          <w:rFonts w:ascii="Arial" w:hAnsi="Arial" w:cs="Arial"/>
          <w:sz w:val="22"/>
          <w:szCs w:val="22"/>
        </w:rPr>
        <w:t>using iQ SYBR Green Supermix (Bio-Rad)</w:t>
      </w:r>
      <w:r w:rsidR="00FF7D31" w:rsidRPr="009E6F31">
        <w:rPr>
          <w:rFonts w:ascii="Arial" w:hAnsi="Arial" w:cs="Arial"/>
          <w:sz w:val="22"/>
          <w:szCs w:val="22"/>
        </w:rPr>
        <w:t>.</w:t>
      </w:r>
      <w:r w:rsidR="00415CF1" w:rsidRPr="009E6F31">
        <w:rPr>
          <w:rFonts w:ascii="Arial" w:hAnsi="Arial" w:cs="Arial"/>
          <w:sz w:val="22"/>
          <w:szCs w:val="22"/>
        </w:rPr>
        <w:t xml:space="preserve"> </w:t>
      </w:r>
      <w:r w:rsidR="00D95355" w:rsidRPr="009E6F31">
        <w:rPr>
          <w:rFonts w:ascii="Arial" w:hAnsi="Arial" w:cs="Arial"/>
          <w:sz w:val="22"/>
          <w:szCs w:val="22"/>
        </w:rPr>
        <w:t>Data shown are mean</w:t>
      </w:r>
      <w:r w:rsidR="00F90A82" w:rsidRPr="009E6F31">
        <w:rPr>
          <w:rFonts w:ascii="Arial" w:hAnsi="Arial" w:cs="Arial"/>
          <w:sz w:val="22"/>
          <w:szCs w:val="22"/>
        </w:rPr>
        <w:t xml:space="preserve"> values</w:t>
      </w:r>
      <w:r w:rsidR="00D95355" w:rsidRPr="009E6F31">
        <w:rPr>
          <w:rFonts w:ascii="Arial" w:hAnsi="Arial" w:cs="Arial"/>
          <w:sz w:val="22"/>
          <w:szCs w:val="22"/>
        </w:rPr>
        <w:t xml:space="preserve"> ± standard deviation</w:t>
      </w:r>
      <w:r w:rsidR="00F90A82" w:rsidRPr="009E6F31">
        <w:rPr>
          <w:rFonts w:ascii="Arial" w:hAnsi="Arial" w:cs="Arial"/>
          <w:sz w:val="22"/>
          <w:szCs w:val="22"/>
        </w:rPr>
        <w:t>s</w:t>
      </w:r>
      <w:r w:rsidR="00D95355" w:rsidRPr="009E6F31">
        <w:rPr>
          <w:rFonts w:ascii="Arial" w:hAnsi="Arial" w:cs="Arial"/>
          <w:sz w:val="22"/>
          <w:szCs w:val="22"/>
        </w:rPr>
        <w:t xml:space="preserve"> from three biological replicates. </w:t>
      </w:r>
      <w:r w:rsidR="00415CF1" w:rsidRPr="009E6F31">
        <w:rPr>
          <w:rFonts w:ascii="Arial" w:hAnsi="Arial" w:cs="Arial"/>
          <w:sz w:val="22"/>
          <w:szCs w:val="22"/>
        </w:rPr>
        <w:t>Statistic</w:t>
      </w:r>
      <w:r w:rsidR="00D95355" w:rsidRPr="009E6F31">
        <w:rPr>
          <w:rFonts w:ascii="Arial" w:hAnsi="Arial" w:cs="Arial"/>
          <w:sz w:val="22"/>
          <w:szCs w:val="22"/>
        </w:rPr>
        <w:t>al significance was determined by two-tailed Student’s t test</w:t>
      </w:r>
      <w:r w:rsidR="00F90A82" w:rsidRPr="009E6F31">
        <w:rPr>
          <w:rFonts w:ascii="Arial" w:hAnsi="Arial" w:cs="Arial"/>
          <w:sz w:val="22"/>
          <w:szCs w:val="22"/>
        </w:rPr>
        <w:t xml:space="preserve"> with significance cutoff of p </w:t>
      </w:r>
      <w:r w:rsidR="00D95355" w:rsidRPr="009E6F31">
        <w:rPr>
          <w:rFonts w:ascii="Arial" w:hAnsi="Arial" w:cs="Arial"/>
          <w:sz w:val="22"/>
          <w:szCs w:val="22"/>
        </w:rPr>
        <w:t>&lt;</w:t>
      </w:r>
      <w:r w:rsidR="00F90A82" w:rsidRPr="009E6F31">
        <w:rPr>
          <w:rFonts w:ascii="Arial" w:hAnsi="Arial" w:cs="Arial"/>
          <w:sz w:val="22"/>
          <w:szCs w:val="22"/>
        </w:rPr>
        <w:t xml:space="preserve"> </w:t>
      </w:r>
      <w:r w:rsidR="00D95355" w:rsidRPr="009E6F31">
        <w:rPr>
          <w:rFonts w:ascii="Arial" w:hAnsi="Arial" w:cs="Arial"/>
          <w:sz w:val="22"/>
          <w:szCs w:val="22"/>
        </w:rPr>
        <w:t>0.01</w:t>
      </w:r>
      <w:r w:rsidR="00415CF1" w:rsidRPr="009E6F31">
        <w:rPr>
          <w:rFonts w:ascii="Arial" w:hAnsi="Arial" w:cs="Arial"/>
          <w:sz w:val="22"/>
          <w:szCs w:val="22"/>
        </w:rPr>
        <w:t>.</w:t>
      </w:r>
    </w:p>
    <w:p w14:paraId="0C0C7123" w14:textId="77777777" w:rsidR="007556CB" w:rsidRPr="009E6F31" w:rsidRDefault="007556CB" w:rsidP="00A80396">
      <w:pPr>
        <w:spacing w:after="240" w:line="276" w:lineRule="auto"/>
        <w:jc w:val="both"/>
        <w:rPr>
          <w:rFonts w:ascii="Arial" w:hAnsi="Arial" w:cs="Arial"/>
          <w:b/>
          <w:sz w:val="22"/>
          <w:szCs w:val="22"/>
        </w:rPr>
      </w:pPr>
      <w:r w:rsidRPr="009E6F31">
        <w:rPr>
          <w:rFonts w:ascii="Arial" w:hAnsi="Arial" w:cs="Arial"/>
          <w:b/>
          <w:sz w:val="22"/>
          <w:szCs w:val="22"/>
        </w:rPr>
        <w:t>Antibodies</w:t>
      </w:r>
    </w:p>
    <w:p w14:paraId="0333E2ED" w14:textId="398659D6" w:rsidR="00C079EA" w:rsidRPr="00A80396" w:rsidRDefault="005B0737" w:rsidP="00A80396">
      <w:pPr>
        <w:spacing w:after="240" w:line="276" w:lineRule="auto"/>
        <w:jc w:val="both"/>
        <w:rPr>
          <w:rFonts w:ascii="Arial" w:hAnsi="Arial" w:cs="Arial"/>
          <w:sz w:val="22"/>
          <w:szCs w:val="22"/>
        </w:rPr>
      </w:pPr>
      <w:r w:rsidRPr="009E6F31">
        <w:rPr>
          <w:rFonts w:ascii="Arial" w:hAnsi="Arial" w:cs="Arial"/>
          <w:sz w:val="22"/>
          <w:szCs w:val="22"/>
        </w:rPr>
        <w:t>Primary a</w:t>
      </w:r>
      <w:r w:rsidR="007556CB" w:rsidRPr="009E6F31">
        <w:rPr>
          <w:rFonts w:ascii="Arial" w:hAnsi="Arial" w:cs="Arial"/>
          <w:sz w:val="22"/>
          <w:szCs w:val="22"/>
        </w:rPr>
        <w:t>ntibodies used for western blot</w:t>
      </w:r>
      <w:r w:rsidR="00FA2510" w:rsidRPr="009E6F31">
        <w:rPr>
          <w:rFonts w:ascii="Arial" w:hAnsi="Arial" w:cs="Arial"/>
          <w:sz w:val="22"/>
          <w:szCs w:val="22"/>
        </w:rPr>
        <w:t>s</w:t>
      </w:r>
      <w:r w:rsidR="007556CB" w:rsidRPr="009E6F31">
        <w:rPr>
          <w:rFonts w:ascii="Arial" w:hAnsi="Arial" w:cs="Arial"/>
          <w:sz w:val="22"/>
          <w:szCs w:val="22"/>
        </w:rPr>
        <w:t xml:space="preserve"> </w:t>
      </w:r>
      <w:r w:rsidR="00FA2510" w:rsidRPr="009E6F31">
        <w:rPr>
          <w:rFonts w:ascii="Arial" w:hAnsi="Arial" w:cs="Arial"/>
          <w:sz w:val="22"/>
          <w:szCs w:val="22"/>
        </w:rPr>
        <w:t xml:space="preserve">were </w:t>
      </w:r>
      <w:r w:rsidR="007556CB" w:rsidRPr="009E6F31">
        <w:rPr>
          <w:rFonts w:ascii="Arial" w:hAnsi="Arial" w:cs="Arial"/>
          <w:sz w:val="22"/>
          <w:szCs w:val="22"/>
        </w:rPr>
        <w:t xml:space="preserve">as </w:t>
      </w:r>
      <w:r w:rsidR="00FA2510" w:rsidRPr="009E6F31">
        <w:rPr>
          <w:rFonts w:ascii="Arial" w:hAnsi="Arial" w:cs="Arial"/>
          <w:sz w:val="22"/>
          <w:szCs w:val="22"/>
        </w:rPr>
        <w:t>follows</w:t>
      </w:r>
      <w:r w:rsidR="007556CB" w:rsidRPr="009E6F31">
        <w:rPr>
          <w:rFonts w:ascii="Arial" w:hAnsi="Arial" w:cs="Arial"/>
          <w:sz w:val="22"/>
          <w:szCs w:val="22"/>
        </w:rPr>
        <w:t xml:space="preserve">: </w:t>
      </w:r>
      <w:r w:rsidR="00C079EA" w:rsidRPr="009E6F31">
        <w:rPr>
          <w:rFonts w:ascii="Arial" w:hAnsi="Arial" w:cs="Arial"/>
          <w:sz w:val="22"/>
          <w:szCs w:val="22"/>
        </w:rPr>
        <w:t>anti-ZNF592 (1:1000 dilution, A301-530A, Bethyl Laboratories, Montgomery, TX)</w:t>
      </w:r>
      <w:r w:rsidR="000A46EE" w:rsidRPr="009E6F31">
        <w:rPr>
          <w:rFonts w:ascii="Arial" w:hAnsi="Arial" w:cs="Arial"/>
          <w:sz w:val="22"/>
          <w:szCs w:val="22"/>
        </w:rPr>
        <w:t>,</w:t>
      </w:r>
      <w:r w:rsidR="00C079EA" w:rsidRPr="009E6F31">
        <w:rPr>
          <w:rFonts w:ascii="Arial" w:hAnsi="Arial" w:cs="Arial"/>
          <w:sz w:val="22"/>
          <w:szCs w:val="22"/>
        </w:rPr>
        <w:t xml:space="preserve"> </w:t>
      </w:r>
      <w:r w:rsidR="00F01703" w:rsidRPr="009E6F31">
        <w:rPr>
          <w:rFonts w:ascii="Arial" w:hAnsi="Arial" w:cs="Arial"/>
          <w:sz w:val="22"/>
          <w:szCs w:val="22"/>
        </w:rPr>
        <w:t xml:space="preserve">anti-NUT c52B1 (1:1000 dilution, Cat #3625, Cell Signaling Technologies, Danvers, MA), anti-ZMYND8 (1:5000 dilution, A302-089A, Bethyl Laboratories), </w:t>
      </w:r>
      <w:r w:rsidR="00C079EA" w:rsidRPr="009E6F31">
        <w:rPr>
          <w:rFonts w:ascii="Arial" w:hAnsi="Arial" w:cs="Arial"/>
          <w:sz w:val="22"/>
          <w:szCs w:val="22"/>
        </w:rPr>
        <w:t>anti-Tubulin clone B-5-1-2 (</w:t>
      </w:r>
      <w:r w:rsidR="00FF7D31" w:rsidRPr="009E6F31">
        <w:rPr>
          <w:rFonts w:ascii="Arial" w:hAnsi="Arial" w:cs="Arial"/>
          <w:sz w:val="22"/>
          <w:szCs w:val="22"/>
        </w:rPr>
        <w:t>1:</w:t>
      </w:r>
      <w:r w:rsidR="00C079EA" w:rsidRPr="009E6F31">
        <w:rPr>
          <w:rFonts w:ascii="Arial" w:hAnsi="Arial" w:cs="Arial"/>
          <w:sz w:val="22"/>
          <w:szCs w:val="22"/>
        </w:rPr>
        <w:t>10000 dilution, T6074, Sigma Aldrich, St Louis, MO)</w:t>
      </w:r>
      <w:r w:rsidRPr="009E6F31">
        <w:rPr>
          <w:rFonts w:ascii="Arial" w:hAnsi="Arial" w:cs="Arial"/>
          <w:sz w:val="22"/>
          <w:szCs w:val="22"/>
        </w:rPr>
        <w:t>, Peroxidase Anti-Peroxidase (PAP) Soluble Complex antibody produced in rabbit (1:1000 dilution, P1291, Sigma Aldrich)</w:t>
      </w:r>
      <w:r w:rsidR="00C079EA" w:rsidRPr="009E6F31">
        <w:rPr>
          <w:rFonts w:ascii="Arial" w:hAnsi="Arial" w:cs="Arial"/>
          <w:sz w:val="22"/>
          <w:szCs w:val="22"/>
        </w:rPr>
        <w:t xml:space="preserve">. </w:t>
      </w:r>
      <w:r w:rsidRPr="009E6F31">
        <w:rPr>
          <w:rFonts w:ascii="Arial" w:hAnsi="Arial" w:cs="Arial"/>
          <w:sz w:val="22"/>
          <w:szCs w:val="22"/>
        </w:rPr>
        <w:t xml:space="preserve">The secondary antibodies used are as </w:t>
      </w:r>
      <w:r w:rsidR="00FA2510" w:rsidRPr="009E6F31">
        <w:rPr>
          <w:rFonts w:ascii="Arial" w:hAnsi="Arial" w:cs="Arial"/>
          <w:sz w:val="22"/>
          <w:szCs w:val="22"/>
        </w:rPr>
        <w:t>follows</w:t>
      </w:r>
      <w:r w:rsidRPr="009E6F31">
        <w:rPr>
          <w:rFonts w:ascii="Arial" w:hAnsi="Arial" w:cs="Arial"/>
          <w:sz w:val="22"/>
          <w:szCs w:val="22"/>
        </w:rPr>
        <w:t>: Anti-r</w:t>
      </w:r>
      <w:r w:rsidR="00250BB0" w:rsidRPr="009E6F31">
        <w:rPr>
          <w:rFonts w:ascii="Arial" w:hAnsi="Arial" w:cs="Arial"/>
          <w:sz w:val="22"/>
          <w:szCs w:val="22"/>
        </w:rPr>
        <w:t>abbit IgG</w:t>
      </w:r>
      <w:r w:rsidRPr="009E6F31">
        <w:rPr>
          <w:rFonts w:ascii="Arial" w:hAnsi="Arial" w:cs="Arial"/>
          <w:sz w:val="22"/>
          <w:szCs w:val="22"/>
        </w:rPr>
        <w:t xml:space="preserve"> HRP-linked Antibody (1:1000 dilution, </w:t>
      </w:r>
      <w:r w:rsidR="00250BB0" w:rsidRPr="009E6F31">
        <w:rPr>
          <w:rFonts w:ascii="Arial" w:hAnsi="Arial" w:cs="Arial"/>
          <w:sz w:val="22"/>
          <w:szCs w:val="22"/>
        </w:rPr>
        <w:t xml:space="preserve">#7074, </w:t>
      </w:r>
      <w:r w:rsidRPr="009E6F31">
        <w:rPr>
          <w:rFonts w:ascii="Arial" w:hAnsi="Arial" w:cs="Arial"/>
          <w:sz w:val="22"/>
          <w:szCs w:val="22"/>
        </w:rPr>
        <w:t>Cell Signaling Technology)</w:t>
      </w:r>
      <w:r w:rsidR="00250BB0" w:rsidRPr="009E6F31">
        <w:rPr>
          <w:rFonts w:ascii="Arial" w:hAnsi="Arial" w:cs="Arial"/>
          <w:sz w:val="22"/>
          <w:szCs w:val="22"/>
        </w:rPr>
        <w:t>, Polyclonal Anti-Mouse Immunoglobulin (1:20000 dilution, 0260, Dako/Agilent, Santa Clara, CA)</w:t>
      </w:r>
      <w:r w:rsidRPr="009E6F31">
        <w:rPr>
          <w:rFonts w:ascii="Arial" w:hAnsi="Arial" w:cs="Arial"/>
          <w:sz w:val="22"/>
          <w:szCs w:val="22"/>
        </w:rPr>
        <w:t xml:space="preserve">. </w:t>
      </w:r>
      <w:r w:rsidR="00C079EA" w:rsidRPr="009E6F31">
        <w:rPr>
          <w:rFonts w:ascii="Arial" w:hAnsi="Arial" w:cs="Arial"/>
          <w:sz w:val="22"/>
          <w:szCs w:val="22"/>
        </w:rPr>
        <w:t>The blots were visualized by Pierce ECL Plus Western blotting substrate (Thermo Fisher Scientific).</w:t>
      </w:r>
      <w:r w:rsidR="00FF4972" w:rsidRPr="009E6F31">
        <w:rPr>
          <w:rFonts w:ascii="Arial" w:hAnsi="Arial" w:cs="Arial"/>
          <w:sz w:val="22"/>
          <w:szCs w:val="22"/>
        </w:rPr>
        <w:t xml:space="preserve"> </w:t>
      </w:r>
      <w:r w:rsidR="00937761" w:rsidRPr="009E6F31">
        <w:rPr>
          <w:rFonts w:ascii="Arial" w:hAnsi="Arial" w:cs="Arial"/>
          <w:sz w:val="22"/>
          <w:szCs w:val="22"/>
        </w:rPr>
        <w:t xml:space="preserve">Primary antibodies used for the immunofluorescence on FFPE </w:t>
      </w:r>
      <w:r w:rsidR="00F90A82" w:rsidRPr="009E6F31">
        <w:rPr>
          <w:rFonts w:ascii="Arial" w:hAnsi="Arial" w:cs="Arial"/>
          <w:sz w:val="22"/>
          <w:szCs w:val="22"/>
        </w:rPr>
        <w:t xml:space="preserve">were </w:t>
      </w:r>
      <w:r w:rsidR="00937761" w:rsidRPr="009E6F31">
        <w:rPr>
          <w:rFonts w:ascii="Arial" w:hAnsi="Arial" w:cs="Arial"/>
          <w:sz w:val="22"/>
          <w:szCs w:val="22"/>
        </w:rPr>
        <w:t xml:space="preserve">as </w:t>
      </w:r>
      <w:r w:rsidR="00F90A82" w:rsidRPr="009E6F31">
        <w:rPr>
          <w:rFonts w:ascii="Arial" w:hAnsi="Arial" w:cs="Arial"/>
          <w:sz w:val="22"/>
          <w:szCs w:val="22"/>
        </w:rPr>
        <w:t>follows</w:t>
      </w:r>
      <w:r w:rsidR="00937761" w:rsidRPr="009E6F31">
        <w:rPr>
          <w:rFonts w:ascii="Arial" w:hAnsi="Arial" w:cs="Arial"/>
          <w:sz w:val="22"/>
          <w:szCs w:val="22"/>
        </w:rPr>
        <w:t>: anti-NUT c52B1 (1:200 dilution, Cat #3625, Cell Signaling Technologies), anti-H3K27ac MABI0309 (1:200 dilution, Cat#39685, Active Motif, Carlsbad, CA).</w:t>
      </w:r>
      <w:r w:rsidR="00F90A82" w:rsidRPr="009E6F31">
        <w:rPr>
          <w:rFonts w:ascii="Arial" w:hAnsi="Arial" w:cs="Arial"/>
          <w:sz w:val="22"/>
          <w:szCs w:val="22"/>
        </w:rPr>
        <w:t xml:space="preserve"> </w:t>
      </w:r>
      <w:r w:rsidR="00937761" w:rsidRPr="009E6F31">
        <w:rPr>
          <w:rFonts w:ascii="Arial" w:hAnsi="Arial" w:cs="Arial"/>
          <w:sz w:val="22"/>
          <w:szCs w:val="22"/>
        </w:rPr>
        <w:t xml:space="preserve">Antibodies used for immunofluorescence </w:t>
      </w:r>
      <w:r w:rsidR="00FA2510" w:rsidRPr="009E6F31">
        <w:rPr>
          <w:rFonts w:ascii="Arial" w:hAnsi="Arial" w:cs="Arial"/>
          <w:sz w:val="22"/>
          <w:szCs w:val="22"/>
        </w:rPr>
        <w:t xml:space="preserve">of </w:t>
      </w:r>
      <w:r w:rsidR="00937761" w:rsidRPr="009E6F31">
        <w:rPr>
          <w:rFonts w:ascii="Arial" w:hAnsi="Arial" w:cs="Arial"/>
          <w:sz w:val="22"/>
          <w:szCs w:val="22"/>
        </w:rPr>
        <w:t xml:space="preserve">cultured cells are as </w:t>
      </w:r>
      <w:r w:rsidR="00FA2510" w:rsidRPr="009E6F31">
        <w:rPr>
          <w:rFonts w:ascii="Arial" w:hAnsi="Arial" w:cs="Arial"/>
          <w:sz w:val="22"/>
          <w:szCs w:val="22"/>
        </w:rPr>
        <w:t>follows</w:t>
      </w:r>
      <w:r w:rsidR="00937761" w:rsidRPr="009E6F31">
        <w:rPr>
          <w:rFonts w:ascii="Arial" w:hAnsi="Arial" w:cs="Arial"/>
          <w:sz w:val="22"/>
          <w:szCs w:val="22"/>
        </w:rPr>
        <w:t>: anti-NUT c52B1 (1:1000 dilution, Cat #3625, Cell Signaling Technologies), anti-ZNF592 (1:1000 dilution, Bethyl Laboratories), anti-ZNF532 (1:1000 dilution, A303-329A, Bethyl Laboratories), anti-ZMYND8 (1:2000 dilution, A302-089A, Bethyl Laboratories), anti-HA clone 16B12 (1:10000 dilution, Cat # 901501, BioLegend, San Diego, CA). Secondary antibodies were anti-rabbit Alexa Fluor 488, anti-rabbit Alexa Fluor 594, anti-mouse Alexa Fluor 488 (Invitrogen).</w:t>
      </w:r>
    </w:p>
    <w:p w14:paraId="20905702" w14:textId="1C9E6394" w:rsidR="006E432E" w:rsidRPr="009E6F31" w:rsidRDefault="006E432E" w:rsidP="00A80396">
      <w:pPr>
        <w:spacing w:after="240" w:line="276" w:lineRule="auto"/>
        <w:jc w:val="both"/>
        <w:rPr>
          <w:rFonts w:ascii="Arial" w:hAnsi="Arial" w:cs="Arial"/>
          <w:b/>
          <w:sz w:val="22"/>
          <w:szCs w:val="22"/>
        </w:rPr>
      </w:pPr>
      <w:r w:rsidRPr="009E6F31">
        <w:rPr>
          <w:rFonts w:ascii="Arial" w:hAnsi="Arial" w:cs="Arial"/>
          <w:b/>
          <w:sz w:val="22"/>
          <w:szCs w:val="22"/>
        </w:rPr>
        <w:lastRenderedPageBreak/>
        <w:t>siRNA</w:t>
      </w:r>
    </w:p>
    <w:p w14:paraId="77ADFAD0" w14:textId="65CC8E34" w:rsidR="009573DB" w:rsidRPr="009E6F31" w:rsidRDefault="009573DB" w:rsidP="00A80396">
      <w:pPr>
        <w:spacing w:after="240" w:line="276" w:lineRule="auto"/>
        <w:jc w:val="both"/>
        <w:rPr>
          <w:rFonts w:ascii="Arial" w:hAnsi="Arial" w:cs="Arial"/>
          <w:sz w:val="22"/>
          <w:szCs w:val="22"/>
        </w:rPr>
      </w:pPr>
      <w:r w:rsidRPr="009E6F31">
        <w:rPr>
          <w:rFonts w:ascii="Arial" w:hAnsi="Arial" w:cs="Arial"/>
          <w:sz w:val="22"/>
          <w:szCs w:val="22"/>
        </w:rPr>
        <w:t>The following siRNA were purchased from Dharmacon (Lafayette, CO)</w:t>
      </w:r>
      <w:r w:rsidR="00FF4972" w:rsidRPr="009E6F31">
        <w:rPr>
          <w:rFonts w:ascii="Arial" w:hAnsi="Arial" w:cs="Arial"/>
          <w:sz w:val="22"/>
          <w:szCs w:val="22"/>
        </w:rPr>
        <w:t xml:space="preserve"> and transfected at </w:t>
      </w:r>
      <w:r w:rsidR="004B24E6" w:rsidRPr="009E6F31">
        <w:rPr>
          <w:rFonts w:ascii="Arial" w:hAnsi="Arial" w:cs="Arial"/>
          <w:sz w:val="22"/>
          <w:szCs w:val="22"/>
        </w:rPr>
        <w:t xml:space="preserve">a </w:t>
      </w:r>
      <w:r w:rsidR="00FF4972" w:rsidRPr="009E6F31">
        <w:rPr>
          <w:rFonts w:ascii="Arial" w:hAnsi="Arial" w:cs="Arial"/>
          <w:sz w:val="22"/>
          <w:szCs w:val="22"/>
        </w:rPr>
        <w:t>final concentration of 50 nM</w:t>
      </w:r>
      <w:r w:rsidRPr="009E6F31">
        <w:rPr>
          <w:rFonts w:ascii="Arial" w:hAnsi="Arial" w:cs="Arial"/>
          <w:sz w:val="22"/>
          <w:szCs w:val="22"/>
        </w:rPr>
        <w:t>: siZNF592-1 (cat. no. D020790-1) CCUCAAACCUCCAGGCAUA, siZNF592-2 (cat. no. D020790-3) GCGGAGAAAGACCACAUUA</w:t>
      </w:r>
      <w:r w:rsidR="008274D0" w:rsidRPr="009E6F31">
        <w:rPr>
          <w:rFonts w:ascii="Arial" w:hAnsi="Arial" w:cs="Arial"/>
          <w:sz w:val="22"/>
          <w:szCs w:val="22"/>
        </w:rPr>
        <w:t>, siCTRL (control) ON-TARGET plus siRNA #1 (Dharmacon; cat no. D-001810-01-20)</w:t>
      </w:r>
      <w:r w:rsidRPr="009E6F31">
        <w:rPr>
          <w:rFonts w:ascii="Arial" w:hAnsi="Arial" w:cs="Arial"/>
          <w:sz w:val="22"/>
          <w:szCs w:val="22"/>
        </w:rPr>
        <w:t>. The following siRNA targeting the BioTAP tag was purchased from Integrated DNA Technologies (IDT) (Redwood City, CA)</w:t>
      </w:r>
      <w:r w:rsidR="008274D0" w:rsidRPr="009E6F31">
        <w:rPr>
          <w:rFonts w:ascii="Arial" w:hAnsi="Arial" w:cs="Arial"/>
          <w:sz w:val="22"/>
          <w:szCs w:val="22"/>
        </w:rPr>
        <w:t xml:space="preserve"> and transfected at final concentration of 10 nM</w:t>
      </w:r>
      <w:r w:rsidRPr="009E6F31">
        <w:rPr>
          <w:rFonts w:ascii="Arial" w:hAnsi="Arial" w:cs="Arial"/>
          <w:sz w:val="22"/>
          <w:szCs w:val="22"/>
        </w:rPr>
        <w:t>: siBioTAP (cat. no. CD.Ri.22448.13.8) GUAGACGCGAAUUGUGAUAUACCTA (positive strand), UAGGUAUAUCACAAUUCGCGUCUACUU (negative strand). siCTRL (control</w:t>
      </w:r>
      <w:r w:rsidR="00AC4058" w:rsidRPr="009E6F31">
        <w:rPr>
          <w:rFonts w:ascii="Arial" w:hAnsi="Arial" w:cs="Arial"/>
          <w:sz w:val="22"/>
          <w:szCs w:val="22"/>
        </w:rPr>
        <w:t>), ON</w:t>
      </w:r>
      <w:r w:rsidRPr="009E6F31">
        <w:rPr>
          <w:rFonts w:ascii="Arial" w:hAnsi="Arial" w:cs="Arial"/>
          <w:sz w:val="22"/>
          <w:szCs w:val="22"/>
        </w:rPr>
        <w:t>-TARGET plus siRNA #1 (Dharmacon; cat no. D-001810-01-20) was purchased from Dharmacon.</w:t>
      </w:r>
    </w:p>
    <w:p w14:paraId="687BE9C2" w14:textId="364EC353" w:rsidR="00274210" w:rsidRPr="009E6F31" w:rsidRDefault="00274210" w:rsidP="00A80396">
      <w:pPr>
        <w:spacing w:after="240" w:line="276" w:lineRule="auto"/>
        <w:jc w:val="both"/>
        <w:outlineLvl w:val="0"/>
        <w:rPr>
          <w:rFonts w:ascii="Arial" w:hAnsi="Arial" w:cs="Arial"/>
          <w:b/>
          <w:sz w:val="22"/>
          <w:szCs w:val="22"/>
        </w:rPr>
      </w:pPr>
      <w:r w:rsidRPr="009E6F31">
        <w:rPr>
          <w:rFonts w:ascii="Arial" w:hAnsi="Arial" w:cs="Arial"/>
          <w:b/>
          <w:sz w:val="22"/>
          <w:szCs w:val="22"/>
        </w:rPr>
        <w:t>Generation of N-BioTAP-ZNF532 797 cells using CRISPR/C</w:t>
      </w:r>
      <w:r w:rsidR="00661BDB">
        <w:rPr>
          <w:rFonts w:ascii="Arial" w:hAnsi="Arial" w:cs="Arial"/>
          <w:b/>
          <w:sz w:val="22"/>
          <w:szCs w:val="22"/>
        </w:rPr>
        <w:t>as</w:t>
      </w:r>
      <w:r w:rsidRPr="009E6F31">
        <w:rPr>
          <w:rFonts w:ascii="Arial" w:hAnsi="Arial" w:cs="Arial"/>
          <w:b/>
          <w:sz w:val="22"/>
          <w:szCs w:val="22"/>
        </w:rPr>
        <w:t>9</w:t>
      </w:r>
    </w:p>
    <w:p w14:paraId="3336E1D3" w14:textId="6C096933" w:rsidR="00F90A82" w:rsidRPr="00A80396" w:rsidRDefault="00274210" w:rsidP="00A80396">
      <w:pPr>
        <w:spacing w:after="240" w:line="276" w:lineRule="auto"/>
        <w:jc w:val="both"/>
        <w:rPr>
          <w:rFonts w:ascii="Arial" w:hAnsi="Arial" w:cs="Arial"/>
          <w:sz w:val="22"/>
          <w:szCs w:val="22"/>
        </w:rPr>
      </w:pPr>
      <w:r w:rsidRPr="009E6F31">
        <w:rPr>
          <w:rFonts w:ascii="Arial" w:hAnsi="Arial" w:cs="Arial"/>
          <w:sz w:val="22"/>
          <w:szCs w:val="22"/>
        </w:rPr>
        <w:t xml:space="preserve">A pAAV vector was designed to insert the Blasti-P2A-N-BioTAP cassette into exon 4 of </w:t>
      </w:r>
      <w:r w:rsidRPr="009E6F31">
        <w:rPr>
          <w:rFonts w:ascii="Arial" w:hAnsi="Arial" w:cs="Arial"/>
          <w:i/>
          <w:sz w:val="22"/>
          <w:szCs w:val="22"/>
        </w:rPr>
        <w:t>ZNF532</w:t>
      </w:r>
      <w:r w:rsidRPr="009E6F31">
        <w:rPr>
          <w:rFonts w:ascii="Arial" w:hAnsi="Arial" w:cs="Arial"/>
          <w:sz w:val="22"/>
          <w:szCs w:val="22"/>
        </w:rPr>
        <w:t xml:space="preserve"> as follows. A 5’-ZNF532-Blasti-P2A-N-BioTAP-3’ZNF532 DNA cassette (sequence available upon request) was synthesized as a gene block fragment (IDT) and introduced into the NheI/BamHI restriction sites of pAAV-MCS2 (Addgene, plasmid 46954) by Gibson assembly (New England Biolab, Ipswich, MA). The pAAV-nEFCas9 (Addgene, plasmid 87115) was used to express Cas9, and the pAAV-tagBFP U6-gRNA expression vector (gift from Tim Martin at Harvard Medical School) was used to express a gRNA targeting the start codon of </w:t>
      </w:r>
      <w:r w:rsidRPr="009E6F31">
        <w:rPr>
          <w:rFonts w:ascii="Arial" w:hAnsi="Arial" w:cs="Arial"/>
          <w:i/>
          <w:sz w:val="22"/>
          <w:szCs w:val="22"/>
        </w:rPr>
        <w:t>ZNF532</w:t>
      </w:r>
      <w:r w:rsidRPr="009E6F31">
        <w:rPr>
          <w:rFonts w:ascii="Arial" w:hAnsi="Arial" w:cs="Arial"/>
          <w:sz w:val="22"/>
          <w:szCs w:val="22"/>
        </w:rPr>
        <w:t xml:space="preserve"> (GCTCAAATTAATGACCATGG). Recombinant AAV2 was packaged in 293T cells using pHelper and pRC2-mi342 plasmids (Clontech Laboratories, Mountain View, CA) as described </w:t>
      </w:r>
      <w:r w:rsidR="00907EE7" w:rsidRPr="009E6F31">
        <w:rPr>
          <w:rFonts w:ascii="Arial" w:hAnsi="Arial" w:cs="Arial"/>
          <w:sz w:val="22"/>
          <w:szCs w:val="22"/>
        </w:rPr>
        <w:fldChar w:fldCharType="begin" w:fldLock="1"/>
      </w:r>
      <w:r w:rsidR="007C1789" w:rsidRPr="009E6F31">
        <w:rPr>
          <w:rFonts w:ascii="Arial" w:hAnsi="Arial" w:cs="Arial"/>
          <w:sz w:val="22"/>
          <w:szCs w:val="22"/>
        </w:rPr>
        <w:instrText>ADDIN CSL_CITATION { "citationItems" : [ { "id" : "ITEM-1", "itemData" : { "DOI" : "10.1016/j.celrep.2017.06.061", "ISSN" : "22111247", "PMID" : "28700943", "abstract" : "Activating mutations in the KRAS oncogene are highly prevalent in tumors, especially those of the colon, lung, and pancreas. To better understand the genetic dependencies that K-Ras mutant cells rely upon for their growth, we employed whole-genome CRISPR loss-of-function screens in two isogenic pairs of cell lines. Since loss of essential genes is uniformly toxic in CRISPR-based screens, we also developed a small hairpin RNA (shRNA) library targeting essential genes. These approaches uncovered a large set of proteins whose loss results in the selective reduction of K-Ras mutant cell growth. Pathway analysis revealed that many of these genes function in the mitochondria. For validation, we generated isogenic pairs of cell lines using CRISPR-based genome engineering, which confirmed the dependency of K-Ras mutant cells on these mitochondrial pathways. Finally, we found that mitochondrial inhibitors reduce the growth of K-Ras mutant tumors in vivo, aiding in the advancement of strategies to target K-Ras-driven malignancy.", "author" : [ { "dropping-particle" : "", "family" : "Martin", "given" : "Timothy D.", "non-dropping-particle" : "", "parse-names" : false, "suffix" : "" }, { "dropping-particle" : "", "family" : "Cook", "given" : "Danielle R.", "non-dropping-particle" : "", "parse-names" : false, "suffix" : "" }, { "dropping-particle" : "", "family" : "Choi", "given" : "Mei Yuk", "non-dropping-particle" : "", "parse-names" : false, "suffix" : "" }, { "dropping-particle" : "", "family" : "Li", "given" : "Mamie Z.", "non-dropping-particle" : "", "parse-names" : false, "suffix" : "" }, { "dropping-particle" : "", "family" : "Haigis", "given" : "Kevin M.", "non-dropping-particle" : "", "parse-names" : false, "suffix" : "" }, { "dropping-particle" : "", "family" : "Elledge", "given" : "Stephen J.", "non-dropping-particle" : "", "parse-names" : false, "suffix" : "" } ], "container-title" : "Cell Reports", "id" : "ITEM-1", "issue" : "2", "issued" : { "date-parts" : [ [ "2017" ] ] }, "page" : "427-438", "publisher" : "ElsevierCompany.", "title" : "A Role for Mitochondrial Translation in Promotion of Viability in K-Ras Mutant Cells", "type" : "article-journal", "volume" : "20" }, "uris" : [ "http://www.mendeley.com/documents/?uuid=35522604-3baa-4e52-ab17-58db3b6ebac6" ] } ], "mendeley" : { "formattedCitation" : "(7)", "plainTextFormattedCitation" : "(7)", "previouslyFormattedCitation" : "(7)" }, "properties" : { "noteIndex" : 0 }, "schema" : "https://github.com/citation-style-language/schema/raw/master/csl-citation.json" }</w:instrText>
      </w:r>
      <w:r w:rsidR="00907EE7" w:rsidRPr="009E6F31">
        <w:rPr>
          <w:rFonts w:ascii="Arial" w:hAnsi="Arial" w:cs="Arial"/>
          <w:sz w:val="22"/>
          <w:szCs w:val="22"/>
        </w:rPr>
        <w:fldChar w:fldCharType="separate"/>
      </w:r>
      <w:r w:rsidR="003E7C59" w:rsidRPr="009E6F31">
        <w:rPr>
          <w:rFonts w:ascii="Arial" w:hAnsi="Arial" w:cs="Arial"/>
          <w:noProof/>
          <w:sz w:val="22"/>
          <w:szCs w:val="22"/>
        </w:rPr>
        <w:t>(7)</w:t>
      </w:r>
      <w:r w:rsidR="00907EE7" w:rsidRPr="009E6F31">
        <w:rPr>
          <w:rFonts w:ascii="Arial" w:hAnsi="Arial" w:cs="Arial"/>
          <w:sz w:val="22"/>
          <w:szCs w:val="22"/>
        </w:rPr>
        <w:fldChar w:fldCharType="end"/>
      </w:r>
      <w:r w:rsidRPr="009E6F31">
        <w:rPr>
          <w:rFonts w:ascii="Arial" w:hAnsi="Arial" w:cs="Arial"/>
          <w:sz w:val="22"/>
          <w:szCs w:val="22"/>
        </w:rPr>
        <w:t>. 3 days after transfection, cells were harvested and AAV2 was isolated using AAVpro Extraction Solution (Clontech). Two million 797 cells were infected with 30ul of each adeno</w:t>
      </w:r>
      <w:bookmarkStart w:id="0" w:name="_GoBack"/>
      <w:bookmarkEnd w:id="0"/>
      <w:r w:rsidRPr="009E6F31">
        <w:rPr>
          <w:rFonts w:ascii="Arial" w:hAnsi="Arial" w:cs="Arial"/>
          <w:sz w:val="22"/>
          <w:szCs w:val="22"/>
        </w:rPr>
        <w:t xml:space="preserve">-associated virus (AAV2). Following 1 week of culture post-AAV infection, cells were selected with 7.5ug/ml Blasticidin (Invitrogen). Surviving cells were re-plated and single-cell clones were isolated and expanded, and genotyping PCR and sequencing were performed to check for proper integration of the Blasti-P2A-N-BioTAP cassette in the </w:t>
      </w:r>
      <w:r w:rsidRPr="009E6F31">
        <w:rPr>
          <w:rFonts w:ascii="Arial" w:hAnsi="Arial" w:cs="Arial"/>
          <w:i/>
          <w:sz w:val="22"/>
          <w:szCs w:val="22"/>
        </w:rPr>
        <w:t>ZNF532</w:t>
      </w:r>
      <w:r w:rsidRPr="009E6F31">
        <w:rPr>
          <w:rFonts w:ascii="Arial" w:hAnsi="Arial" w:cs="Arial"/>
          <w:sz w:val="22"/>
          <w:szCs w:val="22"/>
        </w:rPr>
        <w:t xml:space="preserve"> locus. Homozygosity of the Blasti-P2A-N-BioTAP cassette insertion was </w:t>
      </w:r>
      <w:r w:rsidR="004B24E6" w:rsidRPr="009E6F31">
        <w:rPr>
          <w:rFonts w:ascii="Arial" w:hAnsi="Arial" w:cs="Arial"/>
          <w:sz w:val="22"/>
          <w:szCs w:val="22"/>
        </w:rPr>
        <w:t xml:space="preserve">determined </w:t>
      </w:r>
      <w:r w:rsidRPr="009E6F31">
        <w:rPr>
          <w:rFonts w:ascii="Arial" w:hAnsi="Arial" w:cs="Arial"/>
          <w:sz w:val="22"/>
          <w:szCs w:val="22"/>
        </w:rPr>
        <w:t xml:space="preserve">by absence of the wildtype 597bp and presence of </w:t>
      </w:r>
      <w:r w:rsidR="004B24E6" w:rsidRPr="009E6F31">
        <w:rPr>
          <w:rFonts w:ascii="Arial" w:hAnsi="Arial" w:cs="Arial"/>
          <w:sz w:val="22"/>
          <w:szCs w:val="22"/>
        </w:rPr>
        <w:t xml:space="preserve">the </w:t>
      </w:r>
      <w:r w:rsidRPr="009E6F31">
        <w:rPr>
          <w:rFonts w:ascii="Arial" w:hAnsi="Arial" w:cs="Arial"/>
          <w:sz w:val="22"/>
          <w:szCs w:val="22"/>
        </w:rPr>
        <w:t>larger 1578bp PCR fragment</w:t>
      </w:r>
      <w:r w:rsidR="004B24E6" w:rsidRPr="009E6F31">
        <w:rPr>
          <w:rFonts w:ascii="Arial" w:hAnsi="Arial" w:cs="Arial"/>
          <w:sz w:val="22"/>
          <w:szCs w:val="22"/>
        </w:rPr>
        <w:t xml:space="preserve"> (as in</w:t>
      </w:r>
      <w:r w:rsidR="00775236" w:rsidRPr="009E6F31">
        <w:rPr>
          <w:rFonts w:ascii="Arial" w:hAnsi="Arial" w:cs="Arial"/>
          <w:sz w:val="22"/>
          <w:szCs w:val="22"/>
        </w:rPr>
        <w:t xml:space="preserve"> Fig. S3A</w:t>
      </w:r>
      <w:r w:rsidR="004B24E6" w:rsidRPr="009E6F31">
        <w:rPr>
          <w:rFonts w:ascii="Arial" w:hAnsi="Arial" w:cs="Arial"/>
          <w:sz w:val="22"/>
          <w:szCs w:val="22"/>
        </w:rPr>
        <w:t>)</w:t>
      </w:r>
      <w:r w:rsidRPr="009E6F31">
        <w:rPr>
          <w:rFonts w:ascii="Arial" w:hAnsi="Arial" w:cs="Arial"/>
          <w:sz w:val="22"/>
          <w:szCs w:val="22"/>
        </w:rPr>
        <w:t xml:space="preserve">, using the following PCR primers: (NgenZNF532_(1S) 5'-TCAGAGTTTCGTAGTTACCGT-3' and NgenZNF532_(1A) 5'-CCTCAATCTTCTCGTCGTCAT-3'). </w:t>
      </w:r>
    </w:p>
    <w:p w14:paraId="204C7EF8" w14:textId="35766317" w:rsidR="003E7C59" w:rsidRPr="009E6F31" w:rsidRDefault="00F66196" w:rsidP="00A80396">
      <w:pPr>
        <w:spacing w:after="240" w:line="276" w:lineRule="auto"/>
        <w:jc w:val="both"/>
        <w:rPr>
          <w:rFonts w:ascii="Arial" w:hAnsi="Arial" w:cs="Arial"/>
          <w:b/>
          <w:sz w:val="22"/>
          <w:szCs w:val="22"/>
        </w:rPr>
      </w:pPr>
      <w:r w:rsidRPr="009E6F31">
        <w:rPr>
          <w:rFonts w:ascii="Arial" w:hAnsi="Arial" w:cs="Arial"/>
          <w:b/>
          <w:sz w:val="22"/>
          <w:szCs w:val="22"/>
        </w:rPr>
        <w:t xml:space="preserve">Immunofluorescence and </w:t>
      </w:r>
      <w:r w:rsidR="00093E07" w:rsidRPr="009E6F31">
        <w:rPr>
          <w:rFonts w:ascii="Arial" w:hAnsi="Arial" w:cs="Arial"/>
          <w:b/>
          <w:sz w:val="22"/>
          <w:szCs w:val="22"/>
        </w:rPr>
        <w:t>q</w:t>
      </w:r>
      <w:r w:rsidR="003E7C59" w:rsidRPr="009E6F31">
        <w:rPr>
          <w:rFonts w:ascii="Arial" w:hAnsi="Arial" w:cs="Arial"/>
          <w:b/>
          <w:sz w:val="22"/>
          <w:szCs w:val="22"/>
        </w:rPr>
        <w:t>uantification of ZNF592/ZMYND8 foci</w:t>
      </w:r>
    </w:p>
    <w:p w14:paraId="37FC69DD" w14:textId="1BFD7E4F" w:rsidR="00F81A4E" w:rsidRPr="009E6F31" w:rsidRDefault="00F66196" w:rsidP="00A80396">
      <w:pPr>
        <w:spacing w:after="240" w:line="276" w:lineRule="auto"/>
        <w:jc w:val="both"/>
        <w:rPr>
          <w:rFonts w:ascii="Arial" w:hAnsi="Arial" w:cs="Arial"/>
          <w:sz w:val="22"/>
          <w:szCs w:val="22"/>
        </w:rPr>
      </w:pPr>
      <w:r w:rsidRPr="009E6F31">
        <w:rPr>
          <w:rFonts w:ascii="Arial" w:hAnsi="Arial" w:cs="Arial"/>
          <w:sz w:val="22"/>
          <w:szCs w:val="22"/>
        </w:rPr>
        <w:t xml:space="preserve">797TRex-FLAG-BRD4-NUT-HA cells </w:t>
      </w:r>
      <w:r w:rsidR="00093E07" w:rsidRPr="009E6F31">
        <w:rPr>
          <w:rFonts w:ascii="Arial" w:hAnsi="Arial" w:cs="Arial"/>
          <w:sz w:val="22"/>
          <w:szCs w:val="22"/>
        </w:rPr>
        <w:t xml:space="preserve">and </w:t>
      </w:r>
      <w:r w:rsidR="003E7C59" w:rsidRPr="009E6F31">
        <w:rPr>
          <w:rFonts w:ascii="Arial" w:hAnsi="Arial" w:cs="Arial"/>
          <w:sz w:val="22"/>
          <w:szCs w:val="22"/>
        </w:rPr>
        <w:t>U2OSTRex-</w:t>
      </w:r>
      <w:r w:rsidR="008B034B" w:rsidRPr="009E6F31">
        <w:rPr>
          <w:rFonts w:ascii="Arial" w:hAnsi="Arial" w:cs="Arial"/>
          <w:sz w:val="22"/>
          <w:szCs w:val="22"/>
        </w:rPr>
        <w:t>FLAG</w:t>
      </w:r>
      <w:r w:rsidR="003E7C59" w:rsidRPr="009E6F31">
        <w:rPr>
          <w:rFonts w:ascii="Arial" w:hAnsi="Arial" w:cs="Arial"/>
          <w:sz w:val="22"/>
          <w:szCs w:val="22"/>
        </w:rPr>
        <w:t>-BRD4-NUT cells were treated for 36</w:t>
      </w:r>
      <w:r w:rsidR="007C1789" w:rsidRPr="009E6F31">
        <w:rPr>
          <w:rFonts w:ascii="Arial" w:hAnsi="Arial" w:cs="Arial"/>
          <w:sz w:val="22"/>
          <w:szCs w:val="22"/>
        </w:rPr>
        <w:t xml:space="preserve"> </w:t>
      </w:r>
      <w:r w:rsidR="003E7C59" w:rsidRPr="009E6F31">
        <w:rPr>
          <w:rFonts w:ascii="Arial" w:hAnsi="Arial" w:cs="Arial"/>
          <w:sz w:val="22"/>
          <w:szCs w:val="22"/>
        </w:rPr>
        <w:t>h</w:t>
      </w:r>
      <w:r w:rsidR="007C1789" w:rsidRPr="009E6F31">
        <w:rPr>
          <w:rFonts w:ascii="Arial" w:hAnsi="Arial" w:cs="Arial"/>
          <w:sz w:val="22"/>
          <w:szCs w:val="22"/>
        </w:rPr>
        <w:t>ours</w:t>
      </w:r>
      <w:r w:rsidR="003E7C59" w:rsidRPr="009E6F31">
        <w:rPr>
          <w:rFonts w:ascii="Arial" w:hAnsi="Arial" w:cs="Arial"/>
          <w:sz w:val="22"/>
          <w:szCs w:val="22"/>
        </w:rPr>
        <w:t xml:space="preserve"> with 1 µg/ml of tetracycline to induce </w:t>
      </w:r>
      <w:r w:rsidRPr="009E6F31">
        <w:rPr>
          <w:rFonts w:ascii="Arial" w:hAnsi="Arial" w:cs="Arial"/>
          <w:sz w:val="22"/>
          <w:szCs w:val="22"/>
        </w:rPr>
        <w:t xml:space="preserve">FLAG-BRD4-NUT-HA or </w:t>
      </w:r>
      <w:r w:rsidR="008B034B" w:rsidRPr="009E6F31">
        <w:rPr>
          <w:rFonts w:ascii="Arial" w:hAnsi="Arial" w:cs="Arial"/>
          <w:sz w:val="22"/>
          <w:szCs w:val="22"/>
        </w:rPr>
        <w:t>FLAG</w:t>
      </w:r>
      <w:r w:rsidR="003E7C59" w:rsidRPr="009E6F31">
        <w:rPr>
          <w:rFonts w:ascii="Arial" w:hAnsi="Arial" w:cs="Arial"/>
          <w:sz w:val="22"/>
          <w:szCs w:val="22"/>
        </w:rPr>
        <w:t xml:space="preserve">-BRD4-NUT </w:t>
      </w:r>
      <w:r w:rsidR="007C1789" w:rsidRPr="009E6F31">
        <w:rPr>
          <w:rFonts w:ascii="Arial" w:hAnsi="Arial" w:cs="Arial"/>
          <w:sz w:val="22"/>
          <w:szCs w:val="22"/>
        </w:rPr>
        <w:t xml:space="preserve">expression. </w:t>
      </w:r>
      <w:r w:rsidR="006570DF" w:rsidRPr="009E6F31">
        <w:rPr>
          <w:rFonts w:ascii="Arial" w:hAnsi="Arial" w:cs="Arial"/>
          <w:sz w:val="22"/>
          <w:szCs w:val="22"/>
        </w:rPr>
        <w:t>Immunofluorescence</w:t>
      </w:r>
      <w:r w:rsidR="007C1789" w:rsidRPr="009E6F31">
        <w:rPr>
          <w:rFonts w:ascii="Arial" w:hAnsi="Arial" w:cs="Arial"/>
          <w:sz w:val="22"/>
          <w:szCs w:val="22"/>
        </w:rPr>
        <w:t xml:space="preserve"> was performed as described </w:t>
      </w:r>
      <w:r w:rsidR="007C1789" w:rsidRPr="009E6F31">
        <w:rPr>
          <w:rFonts w:ascii="Arial" w:hAnsi="Arial" w:cs="Arial"/>
          <w:sz w:val="22"/>
          <w:szCs w:val="22"/>
        </w:rPr>
        <w:fldChar w:fldCharType="begin" w:fldLock="1"/>
      </w:r>
      <w:r w:rsidR="007C1789" w:rsidRPr="009E6F31">
        <w:rPr>
          <w:rFonts w:ascii="Arial" w:hAnsi="Arial" w:cs="Arial"/>
          <w:sz w:val="22"/>
          <w:szCs w:val="22"/>
        </w:rPr>
        <w:instrText>ADDIN CSL_CITATION { "citationItems" : [ { "id" : "ITEM-1", "itemData" : { "DOI" : "10.1038/emboj.2010.176", "ISSN" : "1460-2075", "PMID" : "20676058", "abstract" : "In a subset of poorly differentiated and highly aggressive carcinoma, a chromosomal translocation, t(15;19)(q13;p13), results in an in-frame fusion of the double bromodomain protein, BRD4, with a testis-specific protein of unknown function, NUT (nuclear protein in testis). In this study, we show that, after binding to acetylated chromatin through BRD4 bromodomains, the NUT moiety of the fusion protein strongly interacts with and recruits p300, stimulates its catalytic activity, initiating cycles of BRD4-NUT/p300 recruitment and creating transcriptionally inactive hyperacetylated chromatin domains. Using a patient-derived cell line, we show that p300 sequestration into the BRD4-NUT foci is the principal oncogenic mechanism leading to p53 inactivation. Knockdown of BRD4-NUT released p300 and restored p53-dependent regulatory mechanisms leading to cell differentiation and apoptosis. This study demonstrates how the off-context activity of a testis-specific factor could markedly alter vital cellular functions and significantly contribute to malignant cell transformation.", "author" : [ { "dropping-particle" : "", "family" : "Reynoird", "given" : "Nicolas", "non-dropping-particle" : "", "parse-names" : false, "suffix" : "" }, { "dropping-particle" : "", "family" : "Schwartz", "given" : "Brian E", "non-dropping-particle" : "", "parse-names" : false, "suffix" : "" }, { "dropping-particle" : "", "family" : "Delvecchio", "given" : "Manuela", "non-dropping-particle" : "", "parse-names" : false, "suffix" : "" }, { "dropping-particle" : "", "family" : "Sadoul", "given" : "Karin", "non-dropping-particle" : "", "parse-names" : false, "suffix" : "" }, { "dropping-particle" : "", "family" : "Meyers", "given" : "David", "non-dropping-particle" : "", "parse-names" : false, "suffix" : "" }, { "dropping-particle" : "", "family" : "Mukherjee", "given" : "Chandrani", "non-dropping-particle" : "", "parse-names" : false, "suffix" : "" }, { "dropping-particle" : "", "family" : "Caron", "given" : "C\u00e9cile", "non-dropping-particle" : "", "parse-names" : false, "suffix" : "" }, { "dropping-particle" : "", "family" : "Kimura", "given" : "Hiroshi", "non-dropping-particle" : "", "parse-names" : false, "suffix" : "" }, { "dropping-particle" : "", "family" : "Rousseaux", "given" : "Sophie", "non-dropping-particle" : "", "parse-names" : false, "suffix" : "" }, { "dropping-particle" : "", "family" : "Cole", "given" : "Philip a", "non-dropping-particle" : "", "parse-names" : false, "suffix" : "" }, { "dropping-particle" : "", "family" : "Panne", "given" : "Daniel", "non-dropping-particle" : "", "parse-names" : false, "suffix" : "" }, { "dropping-particle" : "", "family" : "French", "given" : "Christopher a", "non-dropping-particle" : "", "parse-names" : false, "suffix" : "" }, { "dropping-particle" : "", "family" : "Khochbin", "given" : "Saadi", "non-dropping-particle" : "", "parse-names" : false, "suffix" : "" } ], "container-title" : "The EMBO journal", "id" : "ITEM-1", "issue" : "17", "issued" : { "date-parts" : [ [ "2010", "9", "1" ] ] }, "page" : "2943-52", "title" : "Oncogenesis by sequestration of CBP/p300 in transcriptionally inactive hyperacetylated chromatin domains.", "type" : "article-journal", "volume" : "29" }, "uris" : [ "http://www.mendeley.com/documents/?uuid=6f2fe660-4a0e-4704-a0e8-c9567e75af99" ] } ], "mendeley" : { "formattedCitation" : "(8)", "plainTextFormattedCitation" : "(8)" }, "properties" : { "noteIndex" : 0 }, "schema" : "https://github.com/citation-style-language/schema/raw/master/csl-citation.json" }</w:instrText>
      </w:r>
      <w:r w:rsidR="007C1789" w:rsidRPr="009E6F31">
        <w:rPr>
          <w:rFonts w:ascii="Arial" w:hAnsi="Arial" w:cs="Arial"/>
          <w:sz w:val="22"/>
          <w:szCs w:val="22"/>
        </w:rPr>
        <w:fldChar w:fldCharType="separate"/>
      </w:r>
      <w:r w:rsidR="007C1789" w:rsidRPr="009E6F31">
        <w:rPr>
          <w:rFonts w:ascii="Arial" w:hAnsi="Arial" w:cs="Arial"/>
          <w:noProof/>
          <w:sz w:val="22"/>
          <w:szCs w:val="22"/>
        </w:rPr>
        <w:t>(8)</w:t>
      </w:r>
      <w:r w:rsidR="007C1789" w:rsidRPr="009E6F31">
        <w:rPr>
          <w:rFonts w:ascii="Arial" w:hAnsi="Arial" w:cs="Arial"/>
          <w:sz w:val="22"/>
          <w:szCs w:val="22"/>
        </w:rPr>
        <w:fldChar w:fldCharType="end"/>
      </w:r>
      <w:r w:rsidR="000E3113" w:rsidRPr="009E6F31">
        <w:rPr>
          <w:rFonts w:ascii="Arial" w:hAnsi="Arial" w:cs="Arial"/>
          <w:sz w:val="22"/>
          <w:szCs w:val="22"/>
        </w:rPr>
        <w:t xml:space="preserve">. </w:t>
      </w:r>
      <w:r w:rsidR="00E50772" w:rsidRPr="00E50772">
        <w:rPr>
          <w:rFonts w:ascii="Arial" w:hAnsi="Arial" w:cs="Arial"/>
          <w:sz w:val="22"/>
          <w:szCs w:val="22"/>
        </w:rPr>
        <w:t xml:space="preserve">Image analysis was performed using ImageJ software. Nuclear boundaries were defined using the “Analyze Particles” function on DAPI stained images. Foci were identified and quantified by the “Find Maxima” function with a noise tolerance of 80 and “Measure” function. </w:t>
      </w:r>
      <w:r w:rsidR="007C1789" w:rsidRPr="009E6F31">
        <w:rPr>
          <w:rFonts w:ascii="Arial" w:hAnsi="Arial" w:cs="Arial"/>
          <w:sz w:val="22"/>
          <w:szCs w:val="22"/>
        </w:rPr>
        <w:t xml:space="preserve">Forty cells were counted in each experiment, and statistical significance was determined by two-tailed Student’s t test </w:t>
      </w:r>
      <w:r w:rsidR="000E3113" w:rsidRPr="009E6F31">
        <w:rPr>
          <w:rFonts w:ascii="Arial" w:hAnsi="Arial" w:cs="Arial"/>
          <w:sz w:val="22"/>
          <w:szCs w:val="22"/>
        </w:rPr>
        <w:t>with significance cutoff of p &lt; 0.01.</w:t>
      </w:r>
    </w:p>
    <w:p w14:paraId="70C16364" w14:textId="3F067348" w:rsidR="00F81A4E" w:rsidRPr="009E6F31" w:rsidRDefault="00F81A4E" w:rsidP="00A80396">
      <w:pPr>
        <w:spacing w:after="240" w:line="276" w:lineRule="auto"/>
        <w:jc w:val="both"/>
        <w:rPr>
          <w:rFonts w:ascii="Arial" w:hAnsi="Arial" w:cs="Arial"/>
          <w:b/>
          <w:sz w:val="22"/>
          <w:szCs w:val="22"/>
        </w:rPr>
      </w:pPr>
      <w:r w:rsidRPr="009E6F31">
        <w:rPr>
          <w:rFonts w:ascii="Arial" w:hAnsi="Arial" w:cs="Arial"/>
          <w:b/>
          <w:sz w:val="22"/>
          <w:szCs w:val="22"/>
        </w:rPr>
        <w:lastRenderedPageBreak/>
        <w:t>Imaging</w:t>
      </w:r>
    </w:p>
    <w:p w14:paraId="40AB2A93" w14:textId="3A1A396D" w:rsidR="006B1B46" w:rsidRPr="009E6F31" w:rsidRDefault="00F81A4E" w:rsidP="00A80396">
      <w:pPr>
        <w:spacing w:after="240" w:line="276" w:lineRule="auto"/>
        <w:jc w:val="both"/>
        <w:rPr>
          <w:rFonts w:ascii="Arial" w:hAnsi="Arial" w:cs="Arial"/>
          <w:sz w:val="22"/>
          <w:szCs w:val="22"/>
        </w:rPr>
      </w:pPr>
      <w:r w:rsidRPr="009E6F31">
        <w:rPr>
          <w:rFonts w:ascii="Arial" w:hAnsi="Arial" w:cs="Arial"/>
          <w:sz w:val="22"/>
          <w:szCs w:val="22"/>
        </w:rPr>
        <w:t>Images of all immunofluorescence and dual-color FISH (</w:t>
      </w:r>
      <w:r w:rsidRPr="007C13A6">
        <w:rPr>
          <w:rFonts w:ascii="Arial" w:hAnsi="Arial" w:cs="Arial"/>
          <w:i/>
          <w:sz w:val="22"/>
          <w:szCs w:val="22"/>
        </w:rPr>
        <w:t>BRD3-NUT</w:t>
      </w:r>
      <w:r w:rsidRPr="009E6F31">
        <w:rPr>
          <w:rFonts w:ascii="Arial" w:hAnsi="Arial" w:cs="Arial"/>
          <w:sz w:val="22"/>
          <w:szCs w:val="22"/>
        </w:rPr>
        <w:t xml:space="preserve"> fusion, </w:t>
      </w:r>
      <w:r w:rsidRPr="007C13A6">
        <w:rPr>
          <w:rFonts w:ascii="Arial" w:hAnsi="Arial" w:cs="Arial"/>
          <w:i/>
          <w:sz w:val="22"/>
          <w:szCs w:val="22"/>
        </w:rPr>
        <w:t>NSD3</w:t>
      </w:r>
      <w:r w:rsidRPr="009E6F31">
        <w:rPr>
          <w:rFonts w:ascii="Arial" w:hAnsi="Arial" w:cs="Arial"/>
          <w:sz w:val="22"/>
          <w:szCs w:val="22"/>
        </w:rPr>
        <w:t xml:space="preserve"> split-apart, </w:t>
      </w:r>
      <w:r w:rsidRPr="007C13A6">
        <w:rPr>
          <w:rFonts w:ascii="Arial" w:hAnsi="Arial" w:cs="Arial"/>
          <w:i/>
          <w:sz w:val="22"/>
          <w:szCs w:val="22"/>
        </w:rPr>
        <w:t>ZNF532</w:t>
      </w:r>
      <w:r w:rsidRPr="009E6F31">
        <w:rPr>
          <w:rFonts w:ascii="Arial" w:hAnsi="Arial" w:cs="Arial"/>
          <w:sz w:val="22"/>
          <w:szCs w:val="22"/>
        </w:rPr>
        <w:t xml:space="preserve"> split-apart) were taken using a SPOT RT3 camera mounted on a Nikon Eclipse E600 microscope using SPOT 5.0 software. Image of Dual-color FISH fusion assay of </w:t>
      </w:r>
      <w:r w:rsidRPr="007C13A6">
        <w:rPr>
          <w:rFonts w:ascii="Arial" w:hAnsi="Arial" w:cs="Arial"/>
          <w:i/>
          <w:sz w:val="22"/>
          <w:szCs w:val="22"/>
        </w:rPr>
        <w:t>BRD4-NUT</w:t>
      </w:r>
      <w:r w:rsidRPr="009E6F31">
        <w:rPr>
          <w:rFonts w:ascii="Arial" w:hAnsi="Arial" w:cs="Arial"/>
          <w:sz w:val="22"/>
          <w:szCs w:val="22"/>
        </w:rPr>
        <w:t xml:space="preserve"> was taken in the Center for Advanced Molecular Diagnostics at Brigham and Women’s Hospital. </w:t>
      </w:r>
    </w:p>
    <w:p w14:paraId="209BDB88" w14:textId="429A6A82" w:rsidR="006B1B46" w:rsidRPr="009E6F31" w:rsidRDefault="006B1B46" w:rsidP="00A80396">
      <w:pPr>
        <w:spacing w:after="240" w:line="276" w:lineRule="auto"/>
        <w:jc w:val="both"/>
        <w:rPr>
          <w:rFonts w:ascii="Arial" w:hAnsi="Arial" w:cs="Arial"/>
          <w:b/>
          <w:sz w:val="22"/>
          <w:szCs w:val="22"/>
        </w:rPr>
      </w:pPr>
      <w:r w:rsidRPr="009E6F31">
        <w:rPr>
          <w:rFonts w:ascii="Arial" w:hAnsi="Arial" w:cs="Arial"/>
          <w:b/>
          <w:sz w:val="22"/>
          <w:szCs w:val="22"/>
        </w:rPr>
        <w:t>References</w:t>
      </w:r>
    </w:p>
    <w:p w14:paraId="34E84DA7" w14:textId="44EA712E" w:rsidR="007C1789" w:rsidRPr="009E6F31" w:rsidRDefault="00FA467D" w:rsidP="00A80396">
      <w:pPr>
        <w:widowControl w:val="0"/>
        <w:autoSpaceDE w:val="0"/>
        <w:autoSpaceDN w:val="0"/>
        <w:adjustRightInd w:val="0"/>
        <w:spacing w:after="240"/>
        <w:ind w:left="640" w:hanging="640"/>
        <w:jc w:val="both"/>
        <w:rPr>
          <w:rFonts w:ascii="Arial" w:hAnsi="Arial" w:cs="Arial"/>
          <w:noProof/>
          <w:sz w:val="22"/>
        </w:rPr>
      </w:pPr>
      <w:r w:rsidRPr="009E6F31">
        <w:rPr>
          <w:rFonts w:ascii="Arial" w:hAnsi="Arial" w:cs="Arial"/>
          <w:sz w:val="22"/>
          <w:szCs w:val="22"/>
        </w:rPr>
        <w:fldChar w:fldCharType="begin" w:fldLock="1"/>
      </w:r>
      <w:r w:rsidRPr="009E6F31">
        <w:rPr>
          <w:rFonts w:ascii="Arial" w:hAnsi="Arial" w:cs="Arial"/>
          <w:sz w:val="22"/>
          <w:szCs w:val="22"/>
        </w:rPr>
        <w:instrText xml:space="preserve">ADDIN Mendeley Bibliography CSL_BIBLIOGRAPHY </w:instrText>
      </w:r>
      <w:r w:rsidRPr="009E6F31">
        <w:rPr>
          <w:rFonts w:ascii="Arial" w:hAnsi="Arial" w:cs="Arial"/>
          <w:sz w:val="22"/>
          <w:szCs w:val="22"/>
        </w:rPr>
        <w:fldChar w:fldCharType="separate"/>
      </w:r>
      <w:r w:rsidR="007C1789" w:rsidRPr="009E6F31">
        <w:rPr>
          <w:rFonts w:ascii="Arial" w:hAnsi="Arial" w:cs="Arial"/>
          <w:noProof/>
          <w:sz w:val="22"/>
        </w:rPr>
        <w:t xml:space="preserve">1. </w:t>
      </w:r>
      <w:r w:rsidR="007C1789" w:rsidRPr="009E6F31">
        <w:rPr>
          <w:rFonts w:ascii="Arial" w:hAnsi="Arial" w:cs="Arial"/>
          <w:noProof/>
          <w:sz w:val="22"/>
        </w:rPr>
        <w:tab/>
        <w:t>Zheng Z, Liebers M, Zhelyazkova B, Cao Y, Panditi D, Lynch KD, et al. Anchored multiplex PCR for targeted next-generation sequencing. Nat Med. 2014;20:1479–84.</w:t>
      </w:r>
    </w:p>
    <w:p w14:paraId="4EF7D742" w14:textId="5D38D1F7" w:rsidR="007C1789" w:rsidRPr="009E6F31" w:rsidRDefault="007C1789" w:rsidP="00A80396">
      <w:pPr>
        <w:widowControl w:val="0"/>
        <w:autoSpaceDE w:val="0"/>
        <w:autoSpaceDN w:val="0"/>
        <w:adjustRightInd w:val="0"/>
        <w:spacing w:after="240"/>
        <w:ind w:left="640" w:hanging="640"/>
        <w:jc w:val="both"/>
        <w:rPr>
          <w:rFonts w:ascii="Arial" w:hAnsi="Arial" w:cs="Arial"/>
          <w:noProof/>
          <w:sz w:val="22"/>
        </w:rPr>
      </w:pPr>
      <w:r w:rsidRPr="009E6F31">
        <w:rPr>
          <w:rFonts w:ascii="Arial" w:hAnsi="Arial" w:cs="Arial"/>
          <w:noProof/>
          <w:sz w:val="22"/>
        </w:rPr>
        <w:t xml:space="preserve">2. </w:t>
      </w:r>
      <w:r w:rsidRPr="009E6F31">
        <w:rPr>
          <w:rFonts w:ascii="Arial" w:hAnsi="Arial" w:cs="Arial"/>
          <w:noProof/>
          <w:sz w:val="22"/>
        </w:rPr>
        <w:tab/>
        <w:t xml:space="preserve">Matissek KJ, Onozato ML, Sun S, Zheng Z, Schultz A, Lee J, et al. Expressed Gene Fusions as Frequent Drivers of Poor Outcomes in Hormone Receptor Positive Breast Cancer. Cancer Discov. 2018;8:336–53. </w:t>
      </w:r>
    </w:p>
    <w:p w14:paraId="1509E5C8" w14:textId="77777777" w:rsidR="007C1789" w:rsidRPr="009E6F31" w:rsidRDefault="007C1789" w:rsidP="00A80396">
      <w:pPr>
        <w:widowControl w:val="0"/>
        <w:autoSpaceDE w:val="0"/>
        <w:autoSpaceDN w:val="0"/>
        <w:adjustRightInd w:val="0"/>
        <w:spacing w:after="240"/>
        <w:ind w:left="640" w:hanging="640"/>
        <w:jc w:val="both"/>
        <w:rPr>
          <w:rFonts w:ascii="Arial" w:hAnsi="Arial" w:cs="Arial"/>
          <w:noProof/>
          <w:sz w:val="22"/>
        </w:rPr>
      </w:pPr>
      <w:r w:rsidRPr="009E6F31">
        <w:rPr>
          <w:rFonts w:ascii="Arial" w:hAnsi="Arial" w:cs="Arial"/>
          <w:noProof/>
          <w:sz w:val="22"/>
        </w:rPr>
        <w:t xml:space="preserve">3. </w:t>
      </w:r>
      <w:r w:rsidRPr="009E6F31">
        <w:rPr>
          <w:rFonts w:ascii="Arial" w:hAnsi="Arial" w:cs="Arial"/>
          <w:noProof/>
          <w:sz w:val="22"/>
        </w:rPr>
        <w:tab/>
        <w:t xml:space="preserve">Li H, Durbin R. Fast and accurate short read alignment with Burrows-Wheeler transform. Bioinformatics. 2009;25:1754–60. </w:t>
      </w:r>
    </w:p>
    <w:p w14:paraId="37C0E53A" w14:textId="0EA5C23A" w:rsidR="007C1789" w:rsidRPr="009E6F31" w:rsidRDefault="007C1789" w:rsidP="00A80396">
      <w:pPr>
        <w:widowControl w:val="0"/>
        <w:autoSpaceDE w:val="0"/>
        <w:autoSpaceDN w:val="0"/>
        <w:adjustRightInd w:val="0"/>
        <w:spacing w:after="240"/>
        <w:ind w:left="640" w:hanging="640"/>
        <w:jc w:val="both"/>
        <w:rPr>
          <w:rFonts w:ascii="Arial" w:hAnsi="Arial" w:cs="Arial"/>
          <w:noProof/>
          <w:sz w:val="22"/>
        </w:rPr>
      </w:pPr>
      <w:r w:rsidRPr="009E6F31">
        <w:rPr>
          <w:rFonts w:ascii="Arial" w:hAnsi="Arial" w:cs="Arial"/>
          <w:noProof/>
          <w:sz w:val="22"/>
        </w:rPr>
        <w:t xml:space="preserve">4. </w:t>
      </w:r>
      <w:r w:rsidRPr="009E6F31">
        <w:rPr>
          <w:rFonts w:ascii="Arial" w:hAnsi="Arial" w:cs="Arial"/>
          <w:noProof/>
          <w:sz w:val="22"/>
        </w:rPr>
        <w:tab/>
        <w:t xml:space="preserve">Toretsky JA, Jenson J, Sun C-C, Eskenazi AE, Campbell A, Hunger SP, et al. Translocation ( 11 ; 15 ; 19 ): a Highly Specific Chromosome Rearrangement Associated With Poorly Differentiated Thymic Carcinoma in Young Patients. Am J Clin Oncol. 2003;26:300–6. </w:t>
      </w:r>
    </w:p>
    <w:p w14:paraId="7E26A50E" w14:textId="77777777" w:rsidR="007C1789" w:rsidRPr="009E6F31" w:rsidRDefault="007C1789" w:rsidP="00A80396">
      <w:pPr>
        <w:widowControl w:val="0"/>
        <w:autoSpaceDE w:val="0"/>
        <w:autoSpaceDN w:val="0"/>
        <w:adjustRightInd w:val="0"/>
        <w:spacing w:after="240"/>
        <w:ind w:left="640" w:hanging="640"/>
        <w:jc w:val="both"/>
        <w:rPr>
          <w:rFonts w:ascii="Arial" w:hAnsi="Arial" w:cs="Arial"/>
          <w:noProof/>
          <w:sz w:val="22"/>
        </w:rPr>
      </w:pPr>
      <w:r w:rsidRPr="009E6F31">
        <w:rPr>
          <w:rFonts w:ascii="Arial" w:hAnsi="Arial" w:cs="Arial"/>
          <w:noProof/>
          <w:sz w:val="22"/>
        </w:rPr>
        <w:t xml:space="preserve">5. </w:t>
      </w:r>
      <w:r w:rsidRPr="009E6F31">
        <w:rPr>
          <w:rFonts w:ascii="Arial" w:hAnsi="Arial" w:cs="Arial"/>
          <w:noProof/>
          <w:sz w:val="22"/>
        </w:rPr>
        <w:tab/>
        <w:t xml:space="preserve">Kees U, Mulcahy M, Willoughby M. Intrathoracic carcinoma in an 11-year-old girl showing a translocation t(15;19). Am J Pediatr Hematol Oncol. 1991;13:459–646. </w:t>
      </w:r>
    </w:p>
    <w:p w14:paraId="2B96F2C3" w14:textId="3D88CDBF" w:rsidR="007C1789" w:rsidRPr="009E6F31" w:rsidRDefault="007C1789" w:rsidP="00A80396">
      <w:pPr>
        <w:widowControl w:val="0"/>
        <w:autoSpaceDE w:val="0"/>
        <w:autoSpaceDN w:val="0"/>
        <w:adjustRightInd w:val="0"/>
        <w:spacing w:after="240"/>
        <w:ind w:left="640" w:hanging="640"/>
        <w:jc w:val="both"/>
        <w:rPr>
          <w:rFonts w:ascii="Arial" w:hAnsi="Arial" w:cs="Arial"/>
          <w:noProof/>
          <w:sz w:val="22"/>
        </w:rPr>
      </w:pPr>
      <w:r w:rsidRPr="009E6F31">
        <w:rPr>
          <w:rFonts w:ascii="Arial" w:hAnsi="Arial" w:cs="Arial"/>
          <w:noProof/>
          <w:sz w:val="22"/>
        </w:rPr>
        <w:t xml:space="preserve">6. </w:t>
      </w:r>
      <w:r w:rsidRPr="009E6F31">
        <w:rPr>
          <w:rFonts w:ascii="Arial" w:hAnsi="Arial" w:cs="Arial"/>
          <w:noProof/>
          <w:sz w:val="22"/>
        </w:rPr>
        <w:tab/>
        <w:t>Alekseyenko A</w:t>
      </w:r>
      <w:r w:rsidR="00465848" w:rsidRPr="009E6F31">
        <w:rPr>
          <w:rFonts w:ascii="Arial" w:hAnsi="Arial" w:cs="Arial"/>
          <w:noProof/>
          <w:sz w:val="22"/>
        </w:rPr>
        <w:t>A</w:t>
      </w:r>
      <w:r w:rsidRPr="009E6F31">
        <w:rPr>
          <w:rFonts w:ascii="Arial" w:hAnsi="Arial" w:cs="Arial"/>
          <w:noProof/>
          <w:sz w:val="22"/>
        </w:rPr>
        <w:t xml:space="preserve">, Walsh EM, Wang X, Grayson AR, Hsi PT, Kharchenko PV, et al. The oncogenic BRD4-NUT chromatin regulator drives aberrant transcription within large topological domains. Genes Dev. 2015;29:1507–23. </w:t>
      </w:r>
    </w:p>
    <w:p w14:paraId="58EBF33D" w14:textId="63F28BD6" w:rsidR="007C1789" w:rsidRPr="009E6F31" w:rsidRDefault="007C1789" w:rsidP="00A80396">
      <w:pPr>
        <w:widowControl w:val="0"/>
        <w:autoSpaceDE w:val="0"/>
        <w:autoSpaceDN w:val="0"/>
        <w:adjustRightInd w:val="0"/>
        <w:spacing w:after="240"/>
        <w:ind w:left="640" w:hanging="640"/>
        <w:jc w:val="both"/>
        <w:rPr>
          <w:rFonts w:ascii="Arial" w:hAnsi="Arial" w:cs="Arial"/>
          <w:noProof/>
          <w:sz w:val="22"/>
        </w:rPr>
      </w:pPr>
      <w:r w:rsidRPr="009E6F31">
        <w:rPr>
          <w:rFonts w:ascii="Arial" w:hAnsi="Arial" w:cs="Arial"/>
          <w:noProof/>
          <w:sz w:val="22"/>
        </w:rPr>
        <w:t xml:space="preserve">7. </w:t>
      </w:r>
      <w:r w:rsidRPr="009E6F31">
        <w:rPr>
          <w:rFonts w:ascii="Arial" w:hAnsi="Arial" w:cs="Arial"/>
          <w:noProof/>
          <w:sz w:val="22"/>
        </w:rPr>
        <w:tab/>
        <w:t>Martin TD, Cook DR, Choi MY, Li MZ, Haigis KM, Elledge SJ. A Role for Mitochondrial Translation in Promotion of Viability in K-Ras Mutant Cells. Cell Rep. ElsevierCompany.; 2017;20:427–38.</w:t>
      </w:r>
    </w:p>
    <w:p w14:paraId="6EDF412D" w14:textId="23CE49B6" w:rsidR="007C1789" w:rsidRPr="009E6F31" w:rsidRDefault="007C1789" w:rsidP="00A80396">
      <w:pPr>
        <w:widowControl w:val="0"/>
        <w:autoSpaceDE w:val="0"/>
        <w:autoSpaceDN w:val="0"/>
        <w:adjustRightInd w:val="0"/>
        <w:spacing w:after="240"/>
        <w:ind w:left="640" w:hanging="640"/>
        <w:jc w:val="both"/>
        <w:rPr>
          <w:rFonts w:ascii="Arial" w:hAnsi="Arial" w:cs="Arial"/>
          <w:noProof/>
          <w:sz w:val="22"/>
        </w:rPr>
      </w:pPr>
      <w:r w:rsidRPr="009E6F31">
        <w:rPr>
          <w:rFonts w:ascii="Arial" w:hAnsi="Arial" w:cs="Arial"/>
          <w:noProof/>
          <w:sz w:val="22"/>
        </w:rPr>
        <w:t xml:space="preserve">8. </w:t>
      </w:r>
      <w:r w:rsidRPr="009E6F31">
        <w:rPr>
          <w:rFonts w:ascii="Arial" w:hAnsi="Arial" w:cs="Arial"/>
          <w:noProof/>
          <w:sz w:val="22"/>
        </w:rPr>
        <w:tab/>
        <w:t>Reynoird N, Schwartz BE, Delvecchio M, Sadoul K, Meyers D, Mukherjee C, et al. Oncogenesis by sequestration of CBP/p300 in transcriptionally inactive hyperacetylated chromatin domains. EMBO J. 2010;29:2943–52.</w:t>
      </w:r>
    </w:p>
    <w:p w14:paraId="07820330" w14:textId="66D65053" w:rsidR="00831070" w:rsidRPr="005D1BB8" w:rsidRDefault="00FA467D" w:rsidP="00A80396">
      <w:pPr>
        <w:spacing w:after="240" w:line="276" w:lineRule="auto"/>
        <w:jc w:val="both"/>
        <w:rPr>
          <w:sz w:val="22"/>
          <w:szCs w:val="22"/>
        </w:rPr>
      </w:pPr>
      <w:r w:rsidRPr="009E6F31">
        <w:rPr>
          <w:rFonts w:ascii="Arial" w:hAnsi="Arial" w:cs="Arial"/>
          <w:sz w:val="22"/>
          <w:szCs w:val="22"/>
        </w:rPr>
        <w:fldChar w:fldCharType="end"/>
      </w:r>
    </w:p>
    <w:sectPr w:rsidR="00831070" w:rsidRPr="005D1BB8" w:rsidSect="006A66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921CE" w14:textId="77777777" w:rsidR="00661BDB" w:rsidRDefault="00661BDB" w:rsidP="00661BDB">
      <w:r>
        <w:separator/>
      </w:r>
    </w:p>
  </w:endnote>
  <w:endnote w:type="continuationSeparator" w:id="0">
    <w:p w14:paraId="3AE161EF" w14:textId="77777777" w:rsidR="00661BDB" w:rsidRDefault="00661BDB" w:rsidP="0066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1AEA" w14:textId="77777777" w:rsidR="00661BDB" w:rsidRDefault="00661BDB" w:rsidP="00661BDB">
      <w:r>
        <w:separator/>
      </w:r>
    </w:p>
  </w:footnote>
  <w:footnote w:type="continuationSeparator" w:id="0">
    <w:p w14:paraId="38F331E7" w14:textId="77777777" w:rsidR="00661BDB" w:rsidRDefault="00661BDB" w:rsidP="00661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EA"/>
    <w:rsid w:val="00073F8E"/>
    <w:rsid w:val="00093E07"/>
    <w:rsid w:val="000A46EE"/>
    <w:rsid w:val="000C79D4"/>
    <w:rsid w:val="000E3113"/>
    <w:rsid w:val="000E4900"/>
    <w:rsid w:val="0017376B"/>
    <w:rsid w:val="00185E7F"/>
    <w:rsid w:val="00250BB0"/>
    <w:rsid w:val="002644B5"/>
    <w:rsid w:val="00274210"/>
    <w:rsid w:val="002F7A3B"/>
    <w:rsid w:val="003A3690"/>
    <w:rsid w:val="003E7C59"/>
    <w:rsid w:val="0040283A"/>
    <w:rsid w:val="00415CF1"/>
    <w:rsid w:val="00416D25"/>
    <w:rsid w:val="00465848"/>
    <w:rsid w:val="004865D9"/>
    <w:rsid w:val="004B24E6"/>
    <w:rsid w:val="004D201B"/>
    <w:rsid w:val="004D7797"/>
    <w:rsid w:val="00521F37"/>
    <w:rsid w:val="005A4626"/>
    <w:rsid w:val="005A4692"/>
    <w:rsid w:val="005A4C63"/>
    <w:rsid w:val="005B0737"/>
    <w:rsid w:val="005B7C3B"/>
    <w:rsid w:val="005D1BB8"/>
    <w:rsid w:val="00651212"/>
    <w:rsid w:val="00653D3D"/>
    <w:rsid w:val="006570DF"/>
    <w:rsid w:val="00661BDB"/>
    <w:rsid w:val="006A6690"/>
    <w:rsid w:val="006B1B46"/>
    <w:rsid w:val="006E432E"/>
    <w:rsid w:val="007556CB"/>
    <w:rsid w:val="00775236"/>
    <w:rsid w:val="007C13A6"/>
    <w:rsid w:val="007C1789"/>
    <w:rsid w:val="0082258A"/>
    <w:rsid w:val="008274D0"/>
    <w:rsid w:val="00831070"/>
    <w:rsid w:val="00837408"/>
    <w:rsid w:val="0087578F"/>
    <w:rsid w:val="00876CB3"/>
    <w:rsid w:val="008B034B"/>
    <w:rsid w:val="00907EE7"/>
    <w:rsid w:val="00937761"/>
    <w:rsid w:val="00955B6D"/>
    <w:rsid w:val="009573DB"/>
    <w:rsid w:val="009B1B88"/>
    <w:rsid w:val="009D475D"/>
    <w:rsid w:val="009E09C1"/>
    <w:rsid w:val="009E6F31"/>
    <w:rsid w:val="00A80396"/>
    <w:rsid w:val="00AC4058"/>
    <w:rsid w:val="00AC6B37"/>
    <w:rsid w:val="00B50067"/>
    <w:rsid w:val="00BB48E5"/>
    <w:rsid w:val="00BF19F2"/>
    <w:rsid w:val="00C079EA"/>
    <w:rsid w:val="00CA2DA8"/>
    <w:rsid w:val="00CA4781"/>
    <w:rsid w:val="00CF44C9"/>
    <w:rsid w:val="00D95355"/>
    <w:rsid w:val="00E50772"/>
    <w:rsid w:val="00E50C30"/>
    <w:rsid w:val="00EC4E18"/>
    <w:rsid w:val="00F01703"/>
    <w:rsid w:val="00F53322"/>
    <w:rsid w:val="00F66196"/>
    <w:rsid w:val="00F668FF"/>
    <w:rsid w:val="00F81A4E"/>
    <w:rsid w:val="00F90A82"/>
    <w:rsid w:val="00F9311F"/>
    <w:rsid w:val="00FA2510"/>
    <w:rsid w:val="00FA467D"/>
    <w:rsid w:val="00FF4972"/>
    <w:rsid w:val="00FF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BB25"/>
  <w14:defaultImageDpi w14:val="32767"/>
  <w15:chartTrackingRefBased/>
  <w15:docId w15:val="{675B16EA-80A7-F54C-9630-25ADC049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9EA"/>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079EA"/>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274210"/>
    <w:rPr>
      <w:sz w:val="16"/>
      <w:szCs w:val="16"/>
    </w:rPr>
  </w:style>
  <w:style w:type="paragraph" w:styleId="CommentText">
    <w:name w:val="annotation text"/>
    <w:basedOn w:val="Normal"/>
    <w:link w:val="CommentTextChar"/>
    <w:uiPriority w:val="99"/>
    <w:semiHidden/>
    <w:unhideWhenUsed/>
    <w:rsid w:val="00274210"/>
    <w:pPr>
      <w:spacing w:after="200"/>
    </w:pPr>
    <w:rPr>
      <w:sz w:val="20"/>
      <w:szCs w:val="20"/>
    </w:rPr>
  </w:style>
  <w:style w:type="character" w:customStyle="1" w:styleId="CommentTextChar">
    <w:name w:val="Comment Text Char"/>
    <w:basedOn w:val="DefaultParagraphFont"/>
    <w:link w:val="CommentText"/>
    <w:uiPriority w:val="99"/>
    <w:semiHidden/>
    <w:rsid w:val="00274210"/>
    <w:rPr>
      <w:sz w:val="20"/>
      <w:szCs w:val="20"/>
    </w:rPr>
  </w:style>
  <w:style w:type="paragraph" w:styleId="CommentSubject">
    <w:name w:val="annotation subject"/>
    <w:basedOn w:val="CommentText"/>
    <w:next w:val="CommentText"/>
    <w:link w:val="CommentSubjectChar"/>
    <w:uiPriority w:val="99"/>
    <w:semiHidden/>
    <w:unhideWhenUsed/>
    <w:rsid w:val="004B24E6"/>
    <w:pPr>
      <w:spacing w:after="0"/>
    </w:pPr>
    <w:rPr>
      <w:b/>
      <w:bCs/>
    </w:rPr>
  </w:style>
  <w:style w:type="character" w:customStyle="1" w:styleId="CommentSubjectChar">
    <w:name w:val="Comment Subject Char"/>
    <w:basedOn w:val="CommentTextChar"/>
    <w:link w:val="CommentSubject"/>
    <w:uiPriority w:val="99"/>
    <w:semiHidden/>
    <w:rsid w:val="004B24E6"/>
    <w:rPr>
      <w:b/>
      <w:bCs/>
      <w:sz w:val="20"/>
      <w:szCs w:val="20"/>
    </w:rPr>
  </w:style>
  <w:style w:type="paragraph" w:styleId="Revision">
    <w:name w:val="Revision"/>
    <w:hidden/>
    <w:uiPriority w:val="99"/>
    <w:semiHidden/>
    <w:rsid w:val="00775236"/>
  </w:style>
  <w:style w:type="paragraph" w:styleId="Header">
    <w:name w:val="header"/>
    <w:basedOn w:val="Normal"/>
    <w:link w:val="HeaderChar"/>
    <w:uiPriority w:val="99"/>
    <w:unhideWhenUsed/>
    <w:rsid w:val="00661BDB"/>
    <w:pPr>
      <w:tabs>
        <w:tab w:val="center" w:pos="4680"/>
        <w:tab w:val="right" w:pos="9360"/>
      </w:tabs>
    </w:pPr>
  </w:style>
  <w:style w:type="character" w:customStyle="1" w:styleId="HeaderChar">
    <w:name w:val="Header Char"/>
    <w:basedOn w:val="DefaultParagraphFont"/>
    <w:link w:val="Header"/>
    <w:uiPriority w:val="99"/>
    <w:rsid w:val="00661BDB"/>
  </w:style>
  <w:style w:type="paragraph" w:styleId="Footer">
    <w:name w:val="footer"/>
    <w:basedOn w:val="Normal"/>
    <w:link w:val="FooterChar"/>
    <w:uiPriority w:val="99"/>
    <w:unhideWhenUsed/>
    <w:rsid w:val="00661BDB"/>
    <w:pPr>
      <w:tabs>
        <w:tab w:val="center" w:pos="4680"/>
        <w:tab w:val="right" w:pos="9360"/>
      </w:tabs>
    </w:pPr>
  </w:style>
  <w:style w:type="character" w:customStyle="1" w:styleId="FooterChar">
    <w:name w:val="Footer Char"/>
    <w:basedOn w:val="DefaultParagraphFont"/>
    <w:link w:val="Footer"/>
    <w:uiPriority w:val="99"/>
    <w:rsid w:val="0066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5138-9F9E-45DB-A1F9-11D04BD7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6715</Words>
  <Characters>38277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Shiota</dc:creator>
  <cp:keywords/>
  <dc:description/>
  <cp:lastModifiedBy>Shiota, Hitoshi</cp:lastModifiedBy>
  <cp:revision>9</cp:revision>
  <dcterms:created xsi:type="dcterms:W3CDTF">2018-07-16T15:41:00Z</dcterms:created>
  <dcterms:modified xsi:type="dcterms:W3CDTF">2018-08-01T20:47:00Z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http://www.zotero.org/styles/american-association-for-cancer-research</vt:lpwstr>
  </property>
  <property fmtid="{D5CDD505-2E9C-101B-9397-08002B2CF9AE}" pid="3" name="Mendeley Recent Style Name 0_1">
    <vt:lpwstr>American Association for Cancer Research</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21753239-9b32-39df-9d81-5f53857acd57</vt:lpwstr>
  </property>
  <property fmtid="{D5CDD505-2E9C-101B-9397-08002B2CF9AE}" pid="24" name="Mendeley Citation Style_1">
    <vt:lpwstr>http://www.zotero.org/styles/american-association-for-cancer-research</vt:lpwstr>
  </property>
</Properties>
</file>