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6A" w:rsidRPr="007E4D6D" w:rsidRDefault="0014796A" w:rsidP="0014796A">
      <w:pPr>
        <w:pStyle w:val="Heading1"/>
      </w:pPr>
      <w:r w:rsidRPr="007E4D6D">
        <w:t>S</w:t>
      </w:r>
      <w:r w:rsidR="00935D8D">
        <w:t>upplemental Figure Legends</w:t>
      </w:r>
    </w:p>
    <w:p w:rsidR="0014796A" w:rsidRPr="00503081" w:rsidRDefault="0014796A" w:rsidP="0014796A">
      <w:pPr>
        <w:ind w:firstLine="0"/>
        <w:rPr>
          <w:rFonts w:ascii="Arial" w:hAnsi="Arial" w:cs="Arial"/>
        </w:rPr>
      </w:pPr>
      <w:r w:rsidRPr="00B83C41">
        <w:rPr>
          <w:rFonts w:ascii="Arial" w:hAnsi="Arial" w:cs="Arial"/>
          <w:b/>
        </w:rPr>
        <w:t xml:space="preserve">Figure S1.  </w:t>
      </w:r>
      <w:r w:rsidRPr="008F7127">
        <w:rPr>
          <w:rFonts w:ascii="Arial" w:hAnsi="Arial" w:cs="Arial"/>
        </w:rPr>
        <w:t>Integrin expression in breast tumors and breast cancer cell lines.</w:t>
      </w:r>
      <w:r w:rsidRPr="008F7127">
        <w:rPr>
          <w:rFonts w:ascii="Arial" w:hAnsi="Arial" w:cs="Arial"/>
          <w:b/>
        </w:rPr>
        <w:t xml:space="preserve"> </w:t>
      </w:r>
      <w:r w:rsidR="00541E58">
        <w:rPr>
          <w:rFonts w:ascii="Arial" w:hAnsi="Arial" w:cs="Arial"/>
          <w:b/>
        </w:rPr>
        <w:t>A,</w:t>
      </w:r>
      <w:r w:rsidRPr="008F7127">
        <w:rPr>
          <w:rFonts w:ascii="Arial" w:hAnsi="Arial" w:cs="Arial"/>
          <w:b/>
        </w:rPr>
        <w:t xml:space="preserve"> </w:t>
      </w:r>
      <w:r w:rsidRPr="008F7127">
        <w:rPr>
          <w:rFonts w:ascii="Arial" w:hAnsi="Arial" w:cs="Arial"/>
        </w:rPr>
        <w:t xml:space="preserve">Heat map of the mean-centered gene expression values of individual genes that comprise the hypoxia score using patient data from the TCGA Breast Cancer Data Set. Red = greater than median expression, Green = less than median expression. Each bar represents data from 1 of the 597 patients, which are rank-ordered according to the HIF signature score. </w:t>
      </w:r>
      <w:r w:rsidR="00541E58" w:rsidRPr="00541E58">
        <w:rPr>
          <w:rFonts w:ascii="Arial" w:hAnsi="Arial" w:cs="Arial"/>
          <w:b/>
        </w:rPr>
        <w:t>B</w:t>
      </w:r>
      <w:r w:rsidR="00541E58">
        <w:rPr>
          <w:rFonts w:ascii="Arial" w:hAnsi="Arial" w:cs="Arial"/>
        </w:rPr>
        <w:t>,</w:t>
      </w:r>
      <w:r w:rsidRPr="008F7127">
        <w:rPr>
          <w:rFonts w:ascii="Arial" w:hAnsi="Arial" w:cs="Arial"/>
        </w:rPr>
        <w:t xml:space="preserve"> RT-qPCR analysis of ITGA2, ITGA3, ITGA4, ITGA6</w:t>
      </w:r>
      <w:r w:rsidR="0006629A" w:rsidRPr="00503081">
        <w:rPr>
          <w:rFonts w:ascii="Arial" w:hAnsi="Arial" w:cs="Arial"/>
        </w:rPr>
        <w:t>, and P4HA1</w:t>
      </w:r>
      <w:r w:rsidRPr="00503081">
        <w:rPr>
          <w:rFonts w:ascii="Arial" w:hAnsi="Arial" w:cs="Arial"/>
        </w:rPr>
        <w:t xml:space="preserve"> levels in MCF10</w:t>
      </w:r>
      <w:r w:rsidR="004E2ABD" w:rsidRPr="00503081">
        <w:rPr>
          <w:rFonts w:ascii="Arial" w:hAnsi="Arial" w:cs="Arial"/>
        </w:rPr>
        <w:t>A</w:t>
      </w:r>
      <w:r w:rsidRPr="00503081">
        <w:rPr>
          <w:rFonts w:ascii="Arial" w:hAnsi="Arial" w:cs="Arial"/>
        </w:rPr>
        <w:t>, MCF-7, HCC1954, MDA-MB-231, or MDA-MB-435 cells exposed to 20% or 1% O</w:t>
      </w:r>
      <w:r w:rsidRPr="00503081">
        <w:rPr>
          <w:rFonts w:ascii="Arial" w:hAnsi="Arial" w:cs="Arial"/>
          <w:vertAlign w:val="subscript"/>
        </w:rPr>
        <w:t>2</w:t>
      </w:r>
      <w:r w:rsidRPr="00503081">
        <w:rPr>
          <w:rFonts w:ascii="Arial" w:hAnsi="Arial" w:cs="Arial"/>
        </w:rPr>
        <w:t xml:space="preserve"> conditions. Student’s t-test was utilized to test for significant difference in expression under 20% versus 1% O</w:t>
      </w:r>
      <w:r w:rsidRPr="00503081">
        <w:rPr>
          <w:rFonts w:ascii="Arial" w:hAnsi="Arial" w:cs="Arial"/>
          <w:vertAlign w:val="subscript"/>
        </w:rPr>
        <w:t>2</w:t>
      </w:r>
      <w:r w:rsidRPr="00503081">
        <w:rPr>
          <w:rFonts w:ascii="Arial" w:hAnsi="Arial" w:cs="Arial"/>
        </w:rPr>
        <w:t xml:space="preserve"> conditions. mean ± SEM, n = 3, ***</w:t>
      </w:r>
      <w:r w:rsidRPr="00503081">
        <w:rPr>
          <w:rFonts w:ascii="Arial" w:hAnsi="Arial" w:cs="Arial"/>
          <w:i/>
        </w:rPr>
        <w:t>P</w:t>
      </w:r>
      <w:r w:rsidRPr="00503081">
        <w:rPr>
          <w:rFonts w:ascii="Arial" w:hAnsi="Arial" w:cs="Arial"/>
        </w:rPr>
        <w:t xml:space="preserve"> &lt; 0.001, vs. NTC (one-way ANOVA). </w:t>
      </w:r>
    </w:p>
    <w:p w:rsidR="0014796A" w:rsidRPr="00503081" w:rsidRDefault="0014796A" w:rsidP="0014796A">
      <w:pPr>
        <w:ind w:firstLine="0"/>
        <w:rPr>
          <w:rFonts w:ascii="Arial" w:hAnsi="Arial" w:cs="Arial"/>
        </w:rPr>
      </w:pPr>
      <w:r w:rsidRPr="00503081">
        <w:rPr>
          <w:rFonts w:ascii="Arial" w:hAnsi="Arial" w:cs="Arial"/>
          <w:b/>
        </w:rPr>
        <w:t xml:space="preserve">Figure S2.  </w:t>
      </w:r>
      <w:r w:rsidRPr="00503081">
        <w:rPr>
          <w:rFonts w:ascii="Arial" w:hAnsi="Arial" w:cs="Arial"/>
        </w:rPr>
        <w:t>MCF-7 cells require HIF-1 and HIF-2 for cell surface expression of ITGA5.</w:t>
      </w:r>
      <w:r w:rsidRPr="00503081">
        <w:rPr>
          <w:rFonts w:ascii="Arial" w:hAnsi="Arial" w:cs="Arial"/>
          <w:b/>
        </w:rPr>
        <w:t xml:space="preserve"> </w:t>
      </w:r>
      <w:r w:rsidR="00541E58" w:rsidRPr="00503081">
        <w:rPr>
          <w:rFonts w:ascii="Arial" w:hAnsi="Arial" w:cs="Arial"/>
          <w:b/>
        </w:rPr>
        <w:t>A,</w:t>
      </w:r>
      <w:r w:rsidRPr="00503081">
        <w:rPr>
          <w:rFonts w:ascii="Arial" w:hAnsi="Arial" w:cs="Arial"/>
        </w:rPr>
        <w:t xml:space="preserve"> mRNA expression of ITGA5 in MCF-7 cells expressing an shRNA against NTC or HIF-1α (sh1α) or HIF-2α (sh2α) under 20% or 1% O</w:t>
      </w:r>
      <w:r w:rsidRPr="00503081">
        <w:rPr>
          <w:rFonts w:ascii="Arial" w:hAnsi="Arial" w:cs="Arial"/>
          <w:vertAlign w:val="subscript"/>
        </w:rPr>
        <w:t xml:space="preserve">2 </w:t>
      </w:r>
      <w:r w:rsidRPr="00503081">
        <w:rPr>
          <w:rFonts w:ascii="Arial" w:hAnsi="Arial" w:cs="Arial"/>
        </w:rPr>
        <w:t xml:space="preserve">conditions for 24 h. </w:t>
      </w:r>
      <w:r w:rsidR="00541E58" w:rsidRPr="00503081">
        <w:rPr>
          <w:rFonts w:ascii="Arial" w:hAnsi="Arial" w:cs="Arial"/>
          <w:b/>
        </w:rPr>
        <w:t>B,</w:t>
      </w:r>
      <w:r w:rsidRPr="00503081">
        <w:rPr>
          <w:rFonts w:ascii="Arial" w:hAnsi="Arial" w:cs="Arial"/>
        </w:rPr>
        <w:t xml:space="preserve"> Flow cytometric analysis of MCF-7 subclones for cell surface expression of ITGA5.</w:t>
      </w:r>
    </w:p>
    <w:p w:rsidR="0014796A" w:rsidRPr="00503081" w:rsidRDefault="0014796A" w:rsidP="0014796A">
      <w:pPr>
        <w:ind w:firstLine="0"/>
        <w:rPr>
          <w:rFonts w:ascii="Arial" w:hAnsi="Arial" w:cs="Arial"/>
          <w:color w:val="000000"/>
        </w:rPr>
      </w:pPr>
      <w:r w:rsidRPr="00503081">
        <w:rPr>
          <w:rFonts w:ascii="Arial" w:hAnsi="Arial" w:cs="Arial"/>
          <w:b/>
          <w:color w:val="000000"/>
        </w:rPr>
        <w:t xml:space="preserve">Figure S3. </w:t>
      </w:r>
      <w:r w:rsidRPr="00503081">
        <w:rPr>
          <w:rFonts w:ascii="Arial" w:hAnsi="Arial" w:cs="Arial"/>
          <w:color w:val="000000"/>
        </w:rPr>
        <w:t>Characterization of ITGA5 expression in MDA-MB-231 subclones.</w:t>
      </w:r>
      <w:r w:rsidRPr="00503081">
        <w:rPr>
          <w:rFonts w:ascii="Arial" w:hAnsi="Arial" w:cs="Arial"/>
          <w:b/>
          <w:color w:val="000000"/>
        </w:rPr>
        <w:t xml:space="preserve"> </w:t>
      </w:r>
      <w:r w:rsidR="00935D8D" w:rsidRPr="00503081">
        <w:rPr>
          <w:rFonts w:ascii="Arial" w:hAnsi="Arial" w:cs="Arial"/>
          <w:b/>
        </w:rPr>
        <w:t>A,</w:t>
      </w:r>
      <w:r w:rsidRPr="00503081">
        <w:rPr>
          <w:rFonts w:ascii="Arial" w:hAnsi="Arial" w:cs="Arial"/>
        </w:rPr>
        <w:t xml:space="preserve"> ITGA5 mRNA expression in control (NTC) or ITGA5 knockdown (shA5-1 and shA5-2) MDA-MB-231 subclones exposed to </w:t>
      </w:r>
      <w:r w:rsidRPr="00503081">
        <w:rPr>
          <w:rFonts w:ascii="Arial" w:hAnsi="Arial" w:cs="Arial"/>
          <w:color w:val="000000"/>
        </w:rPr>
        <w:t>20% or 1% O</w:t>
      </w:r>
      <w:r w:rsidRPr="00503081">
        <w:rPr>
          <w:rFonts w:ascii="Arial" w:hAnsi="Arial" w:cs="Arial"/>
          <w:color w:val="000000"/>
          <w:vertAlign w:val="subscript"/>
        </w:rPr>
        <w:t xml:space="preserve">2 </w:t>
      </w:r>
      <w:r w:rsidRPr="00503081">
        <w:rPr>
          <w:rFonts w:ascii="Arial" w:hAnsi="Arial" w:cs="Arial"/>
          <w:color w:val="000000"/>
        </w:rPr>
        <w:t xml:space="preserve">for 24 h. </w:t>
      </w:r>
      <w:r w:rsidR="00935D8D" w:rsidRPr="00503081">
        <w:rPr>
          <w:rFonts w:ascii="Arial" w:hAnsi="Arial" w:cs="Arial"/>
          <w:b/>
          <w:color w:val="000000"/>
        </w:rPr>
        <w:t>B,</w:t>
      </w:r>
      <w:r w:rsidRPr="00503081">
        <w:rPr>
          <w:rFonts w:ascii="Arial" w:hAnsi="Arial" w:cs="Arial"/>
          <w:color w:val="000000"/>
        </w:rPr>
        <w:t xml:space="preserve"> Immunoblot assay of lysates from </w:t>
      </w:r>
      <w:r w:rsidRPr="00503081">
        <w:rPr>
          <w:rFonts w:ascii="Arial" w:hAnsi="Arial" w:cs="Arial"/>
        </w:rPr>
        <w:t xml:space="preserve">control (NTC) or ITGA5 knockdown (shA5-1 and shA5-2) MDA-MB-231 subclones </w:t>
      </w:r>
      <w:r w:rsidRPr="00503081">
        <w:rPr>
          <w:rFonts w:ascii="Arial" w:hAnsi="Arial" w:cs="Arial"/>
        </w:rPr>
        <w:lastRenderedPageBreak/>
        <w:t xml:space="preserve">exposed to </w:t>
      </w:r>
      <w:r w:rsidRPr="00503081">
        <w:rPr>
          <w:rFonts w:ascii="Arial" w:hAnsi="Arial" w:cs="Arial"/>
          <w:color w:val="000000"/>
        </w:rPr>
        <w:t>20% or 1% O</w:t>
      </w:r>
      <w:r w:rsidRPr="00503081">
        <w:rPr>
          <w:rFonts w:ascii="Arial" w:hAnsi="Arial" w:cs="Arial"/>
          <w:color w:val="000000"/>
          <w:vertAlign w:val="subscript"/>
        </w:rPr>
        <w:t xml:space="preserve">2 </w:t>
      </w:r>
      <w:r w:rsidRPr="00503081">
        <w:rPr>
          <w:rFonts w:ascii="Arial" w:hAnsi="Arial" w:cs="Arial"/>
          <w:color w:val="000000"/>
        </w:rPr>
        <w:t xml:space="preserve">for 48 h. </w:t>
      </w:r>
      <w:r w:rsidR="00935D8D" w:rsidRPr="00503081">
        <w:rPr>
          <w:rFonts w:ascii="Arial" w:hAnsi="Arial" w:cs="Arial"/>
          <w:b/>
          <w:color w:val="000000"/>
        </w:rPr>
        <w:t xml:space="preserve">C, </w:t>
      </w:r>
      <w:r w:rsidRPr="00503081">
        <w:rPr>
          <w:rFonts w:ascii="Arial" w:hAnsi="Arial" w:cs="Arial"/>
          <w:color w:val="000000"/>
        </w:rPr>
        <w:t>Flow cytometric analysis of cell surface expression of ITGA5.</w:t>
      </w:r>
    </w:p>
    <w:p w:rsidR="0014796A" w:rsidRPr="00503081" w:rsidRDefault="0014796A" w:rsidP="0014796A">
      <w:pPr>
        <w:ind w:firstLine="0"/>
        <w:rPr>
          <w:rFonts w:ascii="Arial" w:hAnsi="Arial" w:cs="Arial"/>
          <w:color w:val="000000"/>
        </w:rPr>
      </w:pPr>
      <w:r w:rsidRPr="00503081">
        <w:rPr>
          <w:rFonts w:ascii="Arial" w:hAnsi="Arial" w:cs="Arial"/>
          <w:b/>
          <w:color w:val="000000"/>
        </w:rPr>
        <w:t xml:space="preserve">Figure S4. </w:t>
      </w:r>
      <w:r w:rsidRPr="00503081">
        <w:rPr>
          <w:rFonts w:ascii="Arial" w:hAnsi="Arial" w:cs="Arial"/>
          <w:color w:val="000000"/>
        </w:rPr>
        <w:t xml:space="preserve">Characterization of fibronectin-collagen gels. </w:t>
      </w:r>
      <w:r w:rsidR="00935D8D" w:rsidRPr="00503081">
        <w:rPr>
          <w:rFonts w:ascii="Arial" w:hAnsi="Arial" w:cs="Arial"/>
          <w:b/>
          <w:color w:val="000000"/>
        </w:rPr>
        <w:t xml:space="preserve">A, </w:t>
      </w:r>
      <w:r w:rsidRPr="00503081">
        <w:rPr>
          <w:rFonts w:ascii="Arial" w:hAnsi="Arial" w:cs="Arial"/>
          <w:color w:val="000000"/>
        </w:rPr>
        <w:t xml:space="preserve">Reflection confocal microscopy was utilized to examine the microstructure of 3D collagen gels incorporated with 0, 10, or 50 µg of fibronectin per mg of collagen. </w:t>
      </w:r>
      <w:r w:rsidR="00935D8D" w:rsidRPr="00503081">
        <w:rPr>
          <w:rFonts w:ascii="Arial" w:hAnsi="Arial" w:cs="Arial"/>
          <w:b/>
          <w:color w:val="000000"/>
        </w:rPr>
        <w:t>B,</w:t>
      </w:r>
      <w:r w:rsidRPr="00503081">
        <w:rPr>
          <w:rFonts w:ascii="Arial" w:hAnsi="Arial" w:cs="Arial"/>
          <w:color w:val="000000"/>
        </w:rPr>
        <w:t xml:space="preserve"> The area between fibers was quantified using image analysis in order to compare the pore size of the indicated 3D matrices. </w:t>
      </w:r>
      <w:r w:rsidR="00935D8D" w:rsidRPr="00503081">
        <w:rPr>
          <w:rFonts w:ascii="Arial" w:hAnsi="Arial" w:cs="Arial"/>
          <w:b/>
          <w:color w:val="000000"/>
        </w:rPr>
        <w:t>C,</w:t>
      </w:r>
      <w:r w:rsidR="00935D8D" w:rsidRPr="00503081">
        <w:rPr>
          <w:rFonts w:ascii="Arial" w:hAnsi="Arial" w:cs="Arial"/>
          <w:color w:val="000000"/>
        </w:rPr>
        <w:t xml:space="preserve"> MDA-MB-231 NTC or shITGA5-1 spheroids imaged at day 3 to assess invasion into the surrounding collagen-fibronectin matrix.</w:t>
      </w:r>
    </w:p>
    <w:p w:rsidR="0014796A" w:rsidRPr="00503081" w:rsidRDefault="0014796A" w:rsidP="0014796A">
      <w:pPr>
        <w:ind w:firstLine="0"/>
        <w:rPr>
          <w:rFonts w:ascii="Arial" w:hAnsi="Arial" w:cs="Arial"/>
        </w:rPr>
      </w:pPr>
      <w:r w:rsidRPr="00503081">
        <w:rPr>
          <w:rFonts w:ascii="Arial" w:hAnsi="Arial" w:cs="Arial"/>
          <w:b/>
          <w:color w:val="000000"/>
        </w:rPr>
        <w:t xml:space="preserve">Figure S5. </w:t>
      </w:r>
      <w:r w:rsidRPr="00503081">
        <w:rPr>
          <w:rFonts w:ascii="Arial" w:hAnsi="Arial" w:cs="Arial"/>
          <w:color w:val="000000"/>
        </w:rPr>
        <w:t>Growth and metastasis characteristics of MDA-MB-231 subclones.</w:t>
      </w:r>
      <w:r w:rsidRPr="00503081">
        <w:rPr>
          <w:rFonts w:ascii="Arial" w:hAnsi="Arial" w:cs="Arial"/>
          <w:b/>
          <w:color w:val="000000"/>
        </w:rPr>
        <w:t xml:space="preserve"> </w:t>
      </w:r>
      <w:r w:rsidR="00935D8D" w:rsidRPr="00503081">
        <w:rPr>
          <w:rFonts w:ascii="Arial" w:hAnsi="Arial" w:cs="Arial"/>
          <w:b/>
          <w:color w:val="000000"/>
        </w:rPr>
        <w:t>A,</w:t>
      </w:r>
      <w:r w:rsidRPr="00503081">
        <w:rPr>
          <w:rFonts w:ascii="Arial" w:hAnsi="Arial" w:cs="Arial"/>
          <w:color w:val="000000"/>
        </w:rPr>
        <w:t xml:space="preserve"> Growth kinetics of control (NTC) or ITGA5 knockdown (shA5-1 and shA5-2) subclone in vitro measured by a presto blue assay. </w:t>
      </w:r>
      <w:r w:rsidR="00935D8D" w:rsidRPr="00503081">
        <w:rPr>
          <w:rFonts w:ascii="Arial" w:hAnsi="Arial" w:cs="Arial"/>
          <w:b/>
          <w:color w:val="000000"/>
        </w:rPr>
        <w:t>B,</w:t>
      </w:r>
      <w:r w:rsidRPr="00503081">
        <w:rPr>
          <w:rFonts w:ascii="Arial" w:hAnsi="Arial" w:cs="Arial"/>
          <w:color w:val="000000"/>
        </w:rPr>
        <w:t xml:space="preserve"> Quantification of </w:t>
      </w:r>
      <w:r w:rsidRPr="00503081">
        <w:rPr>
          <w:rFonts w:ascii="Arial" w:hAnsi="Arial" w:cs="Arial"/>
        </w:rPr>
        <w:t>lymph node sections that were subjected to immunohistochemistry using an antibody specific for human vimentin in Figure 6d (mean ± SEM, n = 5, **</w:t>
      </w:r>
      <w:r w:rsidRPr="00503081">
        <w:rPr>
          <w:rStyle w:val="Emphasis"/>
          <w:rFonts w:ascii="Arial" w:hAnsi="Arial" w:cs="Arial"/>
        </w:rPr>
        <w:t>P</w:t>
      </w:r>
      <w:r w:rsidRPr="00503081">
        <w:rPr>
          <w:rFonts w:ascii="Arial" w:hAnsi="Arial" w:cs="Arial"/>
        </w:rPr>
        <w:t xml:space="preserve"> &lt; 0.01, vs. NTC, one-way ANOVA). </w:t>
      </w:r>
    </w:p>
    <w:p w:rsidR="0014796A" w:rsidRPr="00825862" w:rsidRDefault="0014796A" w:rsidP="0014796A">
      <w:pPr>
        <w:ind w:firstLine="0"/>
        <w:rPr>
          <w:rFonts w:ascii="Arial" w:hAnsi="Arial" w:cs="Arial"/>
        </w:rPr>
      </w:pPr>
      <w:r w:rsidRPr="00503081">
        <w:rPr>
          <w:rFonts w:ascii="Arial" w:hAnsi="Arial" w:cs="Arial"/>
          <w:b/>
          <w:color w:val="000000"/>
        </w:rPr>
        <w:t xml:space="preserve">Figure S6. </w:t>
      </w:r>
      <w:r w:rsidR="008001FD" w:rsidRPr="00503081">
        <w:rPr>
          <w:rFonts w:ascii="Arial" w:hAnsi="Arial" w:cs="Arial"/>
          <w:b/>
          <w:color w:val="000000"/>
        </w:rPr>
        <w:t xml:space="preserve">A, </w:t>
      </w:r>
      <w:r w:rsidRPr="00503081">
        <w:rPr>
          <w:rFonts w:ascii="Arial" w:hAnsi="Arial" w:cs="Arial"/>
          <w:color w:val="000000"/>
        </w:rPr>
        <w:t>Survival analysis based on ITGB1 expression.</w:t>
      </w:r>
      <w:r w:rsidRPr="00503081">
        <w:rPr>
          <w:rFonts w:ascii="Arial" w:hAnsi="Arial" w:cs="Arial"/>
        </w:rPr>
        <w:t xml:space="preserve"> Kaplan-Meier analysis of disease-specific survival of 1,881 breast cancer patients stratified by ITGB1 mRNA expression above the median level (High) or below the median level (Low) was performed using patient data obtained from the GOBO database.</w:t>
      </w:r>
      <w:r w:rsidR="008001FD" w:rsidRPr="00503081">
        <w:rPr>
          <w:rFonts w:ascii="Arial" w:hAnsi="Arial" w:cs="Arial"/>
        </w:rPr>
        <w:t xml:space="preserve"> </w:t>
      </w:r>
      <w:r w:rsidR="008001FD" w:rsidRPr="00503081">
        <w:rPr>
          <w:rFonts w:ascii="Arial" w:hAnsi="Arial" w:cs="Arial"/>
          <w:b/>
        </w:rPr>
        <w:t xml:space="preserve">B, </w:t>
      </w:r>
      <w:r w:rsidR="008001FD" w:rsidRPr="00503081">
        <w:rPr>
          <w:rFonts w:ascii="Arial" w:hAnsi="Arial" w:cs="Arial"/>
        </w:rPr>
        <w:t>The 1,881 breast cancer patients in the GOBO database were divided by estrogen receptor (ER) status (top) and LN status (bottom) and then stratified by ITGA5 mRNA expression above the median level (High) or below the median level (Low) for Kaplan Meier Analysis (n = number of patients in each group).</w:t>
      </w:r>
      <w:bookmarkStart w:id="0" w:name="_GoBack"/>
      <w:bookmarkEnd w:id="0"/>
    </w:p>
    <w:p w:rsidR="0014796A" w:rsidRPr="00277F18" w:rsidRDefault="0014796A" w:rsidP="0014796A">
      <w:pPr>
        <w:pStyle w:val="Heading1"/>
      </w:pPr>
    </w:p>
    <w:p w:rsidR="004B0427" w:rsidRDefault="004B0427"/>
    <w:sectPr w:rsidR="004B0427" w:rsidSect="00D93E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08" w:rsidRDefault="00F56F08">
      <w:pPr>
        <w:spacing w:after="0" w:line="240" w:lineRule="auto"/>
      </w:pPr>
      <w:r>
        <w:separator/>
      </w:r>
    </w:p>
  </w:endnote>
  <w:endnote w:type="continuationSeparator" w:id="0">
    <w:p w:rsidR="00F56F08" w:rsidRDefault="00F5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87499"/>
      <w:docPartObj>
        <w:docPartGallery w:val="Page Numbers (Bottom of Page)"/>
        <w:docPartUnique/>
      </w:docPartObj>
    </w:sdtPr>
    <w:sdtEndPr>
      <w:rPr>
        <w:noProof/>
      </w:rPr>
    </w:sdtEndPr>
    <w:sdtContent>
      <w:p w:rsidR="003B09FC" w:rsidRDefault="0014796A">
        <w:pPr>
          <w:pStyle w:val="Footer"/>
          <w:jc w:val="right"/>
        </w:pPr>
        <w:r>
          <w:fldChar w:fldCharType="begin"/>
        </w:r>
        <w:r>
          <w:instrText xml:space="preserve"> PAGE   \* MERGEFORMAT </w:instrText>
        </w:r>
        <w:r>
          <w:fldChar w:fldCharType="separate"/>
        </w:r>
        <w:r w:rsidR="00503081">
          <w:rPr>
            <w:noProof/>
          </w:rPr>
          <w:t>3</w:t>
        </w:r>
        <w:r>
          <w:rPr>
            <w:noProof/>
          </w:rPr>
          <w:fldChar w:fldCharType="end"/>
        </w:r>
      </w:p>
    </w:sdtContent>
  </w:sdt>
  <w:p w:rsidR="003B09FC" w:rsidRDefault="00503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08" w:rsidRDefault="00F56F08">
      <w:pPr>
        <w:spacing w:after="0" w:line="240" w:lineRule="auto"/>
      </w:pPr>
      <w:r>
        <w:separator/>
      </w:r>
    </w:p>
  </w:footnote>
  <w:footnote w:type="continuationSeparator" w:id="0">
    <w:p w:rsidR="00F56F08" w:rsidRDefault="00F56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6A"/>
    <w:rsid w:val="0006629A"/>
    <w:rsid w:val="000C4E9F"/>
    <w:rsid w:val="0014796A"/>
    <w:rsid w:val="00226668"/>
    <w:rsid w:val="0037585C"/>
    <w:rsid w:val="003C728B"/>
    <w:rsid w:val="004B0427"/>
    <w:rsid w:val="004E2ABD"/>
    <w:rsid w:val="00503081"/>
    <w:rsid w:val="00541E58"/>
    <w:rsid w:val="007C2246"/>
    <w:rsid w:val="008001FD"/>
    <w:rsid w:val="00935D8D"/>
    <w:rsid w:val="00B42F2D"/>
    <w:rsid w:val="00F5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A"/>
    <w:pPr>
      <w:spacing w:after="240" w:line="480" w:lineRule="auto"/>
      <w:ind w:firstLine="36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14796A"/>
    <w:pPr>
      <w:spacing w:before="600" w:after="0"/>
      <w:ind w:firstLine="0"/>
      <w:outlineLvl w:val="0"/>
    </w:pPr>
    <w:rPr>
      <w:rFonts w:ascii="Arial" w:eastAsiaTheme="majorEastAsia" w:hAnsi="Arial" w:cstheme="majorBidi"/>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6A"/>
    <w:rPr>
      <w:rFonts w:ascii="Arial" w:eastAsiaTheme="majorEastAsia" w:hAnsi="Arial" w:cstheme="majorBidi"/>
      <w:b/>
      <w:bCs/>
      <w:iCs/>
      <w:sz w:val="28"/>
      <w:szCs w:val="32"/>
    </w:rPr>
  </w:style>
  <w:style w:type="character" w:styleId="Emphasis">
    <w:name w:val="Emphasis"/>
    <w:uiPriority w:val="20"/>
    <w:qFormat/>
    <w:rsid w:val="0014796A"/>
    <w:rPr>
      <w:b/>
      <w:bCs/>
      <w:i/>
      <w:iCs/>
      <w:color w:val="auto"/>
    </w:rPr>
  </w:style>
  <w:style w:type="paragraph" w:styleId="Footer">
    <w:name w:val="footer"/>
    <w:basedOn w:val="Normal"/>
    <w:link w:val="FooterChar"/>
    <w:uiPriority w:val="99"/>
    <w:unhideWhenUsed/>
    <w:rsid w:val="0014796A"/>
    <w:pPr>
      <w:tabs>
        <w:tab w:val="center" w:pos="4680"/>
        <w:tab w:val="right" w:pos="9360"/>
      </w:tabs>
    </w:pPr>
  </w:style>
  <w:style w:type="character" w:customStyle="1" w:styleId="FooterChar">
    <w:name w:val="Footer Char"/>
    <w:basedOn w:val="DefaultParagraphFont"/>
    <w:link w:val="Footer"/>
    <w:uiPriority w:val="99"/>
    <w:rsid w:val="0014796A"/>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A"/>
    <w:pPr>
      <w:spacing w:after="240" w:line="480" w:lineRule="auto"/>
      <w:ind w:firstLine="36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14796A"/>
    <w:pPr>
      <w:spacing w:before="600" w:after="0"/>
      <w:ind w:firstLine="0"/>
      <w:outlineLvl w:val="0"/>
    </w:pPr>
    <w:rPr>
      <w:rFonts w:ascii="Arial" w:eastAsiaTheme="majorEastAsia" w:hAnsi="Arial" w:cstheme="majorBidi"/>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6A"/>
    <w:rPr>
      <w:rFonts w:ascii="Arial" w:eastAsiaTheme="majorEastAsia" w:hAnsi="Arial" w:cstheme="majorBidi"/>
      <w:b/>
      <w:bCs/>
      <w:iCs/>
      <w:sz w:val="28"/>
      <w:szCs w:val="32"/>
    </w:rPr>
  </w:style>
  <w:style w:type="character" w:styleId="Emphasis">
    <w:name w:val="Emphasis"/>
    <w:uiPriority w:val="20"/>
    <w:qFormat/>
    <w:rsid w:val="0014796A"/>
    <w:rPr>
      <w:b/>
      <w:bCs/>
      <w:i/>
      <w:iCs/>
      <w:color w:val="auto"/>
    </w:rPr>
  </w:style>
  <w:style w:type="paragraph" w:styleId="Footer">
    <w:name w:val="footer"/>
    <w:basedOn w:val="Normal"/>
    <w:link w:val="FooterChar"/>
    <w:uiPriority w:val="99"/>
    <w:unhideWhenUsed/>
    <w:rsid w:val="0014796A"/>
    <w:pPr>
      <w:tabs>
        <w:tab w:val="center" w:pos="4680"/>
        <w:tab w:val="right" w:pos="9360"/>
      </w:tabs>
    </w:pPr>
  </w:style>
  <w:style w:type="character" w:customStyle="1" w:styleId="FooterChar">
    <w:name w:val="Footer Char"/>
    <w:basedOn w:val="DefaultParagraphFont"/>
    <w:link w:val="Footer"/>
    <w:uiPriority w:val="99"/>
    <w:rsid w:val="0014796A"/>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dgilkes</dc:creator>
  <cp:lastModifiedBy>Quann, Karen</cp:lastModifiedBy>
  <cp:revision>2</cp:revision>
  <dcterms:created xsi:type="dcterms:W3CDTF">2017-02-03T16:44:00Z</dcterms:created>
  <dcterms:modified xsi:type="dcterms:W3CDTF">2017-02-03T16:44:00Z</dcterms:modified>
</cp:coreProperties>
</file>