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27" w:rsidRPr="004E6D27" w:rsidRDefault="004E6D27" w:rsidP="004E6D27">
      <w:pPr>
        <w:rPr>
          <w:b/>
        </w:rPr>
      </w:pPr>
      <w:r w:rsidRPr="004E6D27">
        <w:rPr>
          <w:b/>
        </w:rPr>
        <w:t>Supplementary Table 1(Table 1S):</w:t>
      </w:r>
    </w:p>
    <w:p w:rsidR="004E6D27" w:rsidRPr="004E6D27" w:rsidRDefault="004E6D27" w:rsidP="004E6D27">
      <w:pPr>
        <w:rPr>
          <w:lang w:val="en"/>
        </w:rPr>
      </w:pPr>
      <w:r w:rsidRPr="004E6D27">
        <w:rPr>
          <w:lang w:val="en"/>
        </w:rPr>
        <w:t>The primary antibodies used were: β-Actin (Cell Signaling, #5125s), β-arrestin-2 Antibody (</w:t>
      </w:r>
      <w:proofErr w:type="spellStart"/>
      <w:r w:rsidRPr="004E6D27">
        <w:rPr>
          <w:lang w:val="en"/>
        </w:rPr>
        <w:t>SantaCruz</w:t>
      </w:r>
      <w:proofErr w:type="spellEnd"/>
      <w:r w:rsidRPr="004E6D27">
        <w:rPr>
          <w:lang w:val="en"/>
        </w:rPr>
        <w:t xml:space="preserve"> Biotechnology, sc-13140), </w:t>
      </w:r>
      <w:proofErr w:type="spellStart"/>
      <w:r w:rsidRPr="004E6D27">
        <w:rPr>
          <w:lang w:val="en"/>
        </w:rPr>
        <w:t>Akt</w:t>
      </w:r>
      <w:proofErr w:type="spellEnd"/>
      <w:r w:rsidRPr="004E6D27">
        <w:rPr>
          <w:lang w:val="en"/>
        </w:rPr>
        <w:t xml:space="preserve"> Antibody (Cell Signaling, # 9272), </w:t>
      </w:r>
      <w:proofErr w:type="spellStart"/>
      <w:r w:rsidRPr="004E6D27">
        <w:rPr>
          <w:lang w:val="en"/>
        </w:rPr>
        <w:t>phospho-Akt</w:t>
      </w:r>
      <w:proofErr w:type="spellEnd"/>
      <w:r w:rsidRPr="004E6D27">
        <w:rPr>
          <w:lang w:val="en"/>
        </w:rPr>
        <w:t xml:space="preserve"> (pT308) (</w:t>
      </w:r>
      <w:proofErr w:type="spellStart"/>
      <w:r w:rsidRPr="004E6D27">
        <w:rPr>
          <w:lang w:val="en"/>
        </w:rPr>
        <w:t>epitomics</w:t>
      </w:r>
      <w:proofErr w:type="spellEnd"/>
      <w:r w:rsidRPr="004E6D27">
        <w:rPr>
          <w:lang w:val="en"/>
        </w:rPr>
        <w:t xml:space="preserve">, #2214-1), </w:t>
      </w:r>
      <w:proofErr w:type="spellStart"/>
      <w:r w:rsidRPr="004E6D27">
        <w:rPr>
          <w:lang w:val="en"/>
        </w:rPr>
        <w:t>phospho-Akt</w:t>
      </w:r>
      <w:proofErr w:type="spellEnd"/>
      <w:r w:rsidRPr="004E6D27">
        <w:rPr>
          <w:lang w:val="en"/>
        </w:rPr>
        <w:t xml:space="preserve"> (pS473) (</w:t>
      </w:r>
      <w:proofErr w:type="spellStart"/>
      <w:r w:rsidRPr="004E6D27">
        <w:rPr>
          <w:lang w:val="en"/>
        </w:rPr>
        <w:t>epitomics</w:t>
      </w:r>
      <w:proofErr w:type="spellEnd"/>
      <w:r w:rsidRPr="004E6D27">
        <w:rPr>
          <w:lang w:val="en"/>
        </w:rPr>
        <w:t xml:space="preserve">, #2118-1), </w:t>
      </w:r>
      <w:proofErr w:type="spellStart"/>
      <w:r w:rsidRPr="004E6D27">
        <w:rPr>
          <w:lang w:val="en"/>
        </w:rPr>
        <w:t>Cyclin</w:t>
      </w:r>
      <w:proofErr w:type="spellEnd"/>
      <w:r w:rsidRPr="004E6D27">
        <w:rPr>
          <w:lang w:val="en"/>
        </w:rPr>
        <w:t xml:space="preserve"> A (Cell Signaling, # 4656s), </w:t>
      </w:r>
      <w:proofErr w:type="spellStart"/>
      <w:r w:rsidRPr="004E6D27">
        <w:rPr>
          <w:lang w:val="en"/>
        </w:rPr>
        <w:t>Cyclin</w:t>
      </w:r>
      <w:proofErr w:type="spellEnd"/>
      <w:r w:rsidRPr="004E6D27">
        <w:rPr>
          <w:lang w:val="en"/>
        </w:rPr>
        <w:t xml:space="preserve"> D1 (</w:t>
      </w:r>
      <w:proofErr w:type="spellStart"/>
      <w:r w:rsidRPr="004E6D27">
        <w:rPr>
          <w:lang w:val="en"/>
        </w:rPr>
        <w:t>Abcam</w:t>
      </w:r>
      <w:proofErr w:type="spellEnd"/>
      <w:r w:rsidRPr="004E6D27">
        <w:rPr>
          <w:lang w:val="en"/>
        </w:rPr>
        <w:t>, ab 134175), CXCR7 Antibody (</w:t>
      </w:r>
      <w:proofErr w:type="spellStart"/>
      <w:r w:rsidRPr="004E6D27">
        <w:rPr>
          <w:lang w:val="en"/>
        </w:rPr>
        <w:t>Proteintech</w:t>
      </w:r>
      <w:proofErr w:type="spellEnd"/>
      <w:r w:rsidRPr="004E6D27">
        <w:rPr>
          <w:lang w:val="en"/>
        </w:rPr>
        <w:t xml:space="preserve">, 20423-1-AP, and customized Antibody from </w:t>
      </w:r>
      <w:proofErr w:type="spellStart"/>
      <w:r w:rsidRPr="004E6D27">
        <w:rPr>
          <w:lang w:val="en"/>
        </w:rPr>
        <w:t>Abmart</w:t>
      </w:r>
      <w:proofErr w:type="spellEnd"/>
      <w:r w:rsidRPr="004E6D27">
        <w:rPr>
          <w:lang w:val="en"/>
        </w:rPr>
        <w:t xml:space="preserve">, </w:t>
      </w:r>
      <w:proofErr w:type="spellStart"/>
      <w:r w:rsidRPr="004E6D27">
        <w:rPr>
          <w:lang w:val="en"/>
        </w:rPr>
        <w:t>GeneTech</w:t>
      </w:r>
      <w:proofErr w:type="spellEnd"/>
      <w:r w:rsidRPr="004E6D27">
        <w:rPr>
          <w:lang w:val="en"/>
        </w:rPr>
        <w:t xml:space="preserve">), EGFR Antibody (Cell Signaling, #2646), </w:t>
      </w:r>
      <w:proofErr w:type="spellStart"/>
      <w:r w:rsidRPr="004E6D27">
        <w:rPr>
          <w:lang w:val="en"/>
        </w:rPr>
        <w:t>phospho</w:t>
      </w:r>
      <w:proofErr w:type="spellEnd"/>
      <w:r w:rsidRPr="004E6D27">
        <w:rPr>
          <w:lang w:val="en"/>
        </w:rPr>
        <w:t>-EGFR (pY1110) (</w:t>
      </w:r>
      <w:proofErr w:type="spellStart"/>
      <w:r w:rsidRPr="004E6D27">
        <w:rPr>
          <w:lang w:val="en"/>
        </w:rPr>
        <w:t>Abcam</w:t>
      </w:r>
      <w:proofErr w:type="spellEnd"/>
      <w:r w:rsidRPr="004E6D27">
        <w:rPr>
          <w:lang w:val="en"/>
        </w:rPr>
        <w:t>, ab68470, ab47370),</w:t>
      </w:r>
      <w:r w:rsidRPr="004E6D27">
        <w:t xml:space="preserve"> </w:t>
      </w:r>
      <w:proofErr w:type="spellStart"/>
      <w:r w:rsidRPr="004E6D27">
        <w:rPr>
          <w:lang w:val="en"/>
        </w:rPr>
        <w:t>phospho</w:t>
      </w:r>
      <w:proofErr w:type="spellEnd"/>
      <w:r w:rsidRPr="004E6D27">
        <w:rPr>
          <w:lang w:val="en"/>
        </w:rPr>
        <w:t>-EGFR (pY1068) (</w:t>
      </w:r>
      <w:proofErr w:type="spellStart"/>
      <w:r w:rsidRPr="004E6D27">
        <w:rPr>
          <w:lang w:val="en"/>
        </w:rPr>
        <w:t>Epitomics</w:t>
      </w:r>
      <w:proofErr w:type="spellEnd"/>
      <w:r w:rsidRPr="004E6D27">
        <w:rPr>
          <w:lang w:val="en"/>
        </w:rPr>
        <w:t xml:space="preserve">, 1138-1), </w:t>
      </w:r>
      <w:proofErr w:type="spellStart"/>
      <w:r w:rsidRPr="004E6D27">
        <w:rPr>
          <w:lang w:val="en"/>
        </w:rPr>
        <w:t>Lamin</w:t>
      </w:r>
      <w:proofErr w:type="spellEnd"/>
      <w:r w:rsidRPr="004E6D27">
        <w:rPr>
          <w:lang w:val="en"/>
        </w:rPr>
        <w:t xml:space="preserve"> A/C (</w:t>
      </w:r>
      <w:proofErr w:type="spellStart"/>
      <w:r w:rsidRPr="004E6D27">
        <w:rPr>
          <w:lang w:val="en"/>
        </w:rPr>
        <w:t>epitomics</w:t>
      </w:r>
      <w:proofErr w:type="spellEnd"/>
      <w:r w:rsidRPr="004E6D27">
        <w:rPr>
          <w:lang w:val="en"/>
        </w:rPr>
        <w:t xml:space="preserve">, 2966-1), phospho-p44/42 MAPK (pERK1/2) (cell signaling, #9106s), p44/42 MAPK (cell signaling, #9102), </w:t>
      </w:r>
      <w:proofErr w:type="spellStart"/>
      <w:r w:rsidRPr="004E6D27">
        <w:rPr>
          <w:lang w:val="en"/>
        </w:rPr>
        <w:t>Src</w:t>
      </w:r>
      <w:proofErr w:type="spellEnd"/>
      <w:r w:rsidRPr="004E6D27">
        <w:rPr>
          <w:lang w:val="en"/>
        </w:rPr>
        <w:t xml:space="preserve"> Family (Tyr416) Antibody (Cell Signaling, #2108), </w:t>
      </w:r>
      <w:proofErr w:type="spellStart"/>
      <w:r w:rsidRPr="004E6D27">
        <w:rPr>
          <w:lang w:val="en"/>
        </w:rPr>
        <w:t>phospho-Src</w:t>
      </w:r>
      <w:proofErr w:type="spellEnd"/>
      <w:r w:rsidRPr="004E6D27">
        <w:rPr>
          <w:lang w:val="en"/>
        </w:rPr>
        <w:t xml:space="preserve"> Family (pY416) Antibody (Cell Signaling, #2101), ɑ-Tubulin Antibody (Cell Signaling, #2144). Blots were probed with a 1:10,000 dilution of an anti-rabbit or anti-mouse horseradish peroxidase-conjugated secondary antibody (Cell Signaling).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26"/>
        <w:gridCol w:w="1461"/>
        <w:gridCol w:w="3155"/>
      </w:tblGrid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Antibody to: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Source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Cat No. 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Fold dilution or (µg/ml)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AKT</w:t>
            </w:r>
          </w:p>
          <w:p w:rsidR="004E6D27" w:rsidRPr="004E6D27" w:rsidRDefault="004E6D27" w:rsidP="004E6D27">
            <w:r w:rsidRPr="004E6D27">
              <w:t>pAkt</w:t>
            </w:r>
            <w:r w:rsidRPr="004E6D27">
              <w:softHyphen/>
            </w:r>
            <w:r w:rsidRPr="004E6D27">
              <w:rPr>
                <w:vertAlign w:val="subscript"/>
              </w:rPr>
              <w:t>T308</w:t>
            </w:r>
            <w:r w:rsidRPr="004E6D27">
              <w:t xml:space="preserve"> </w:t>
            </w:r>
          </w:p>
          <w:p w:rsidR="004E6D27" w:rsidRPr="004E6D27" w:rsidRDefault="004E6D27" w:rsidP="004E6D27"/>
          <w:p w:rsidR="004E6D27" w:rsidRPr="004E6D27" w:rsidRDefault="004E6D27" w:rsidP="004E6D27">
            <w:r w:rsidRPr="004E6D27">
              <w:t>pAkt</w:t>
            </w:r>
            <w:r w:rsidRPr="004E6D27">
              <w:rPr>
                <w:vertAlign w:val="subscript"/>
              </w:rPr>
              <w:t>S473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Cell Signaling </w:t>
            </w:r>
            <w:proofErr w:type="spellStart"/>
            <w:r w:rsidRPr="004E6D27">
              <w:t>Inc</w:t>
            </w:r>
            <w:proofErr w:type="spellEnd"/>
            <w:r w:rsidRPr="004E6D27">
              <w:t xml:space="preserve"> </w:t>
            </w:r>
          </w:p>
          <w:p w:rsidR="004E6D27" w:rsidRPr="004E6D27" w:rsidRDefault="004E6D27" w:rsidP="004E6D27">
            <w:proofErr w:type="spellStart"/>
            <w:r w:rsidRPr="004E6D27">
              <w:t>Epitomics</w:t>
            </w:r>
            <w:proofErr w:type="spellEnd"/>
          </w:p>
          <w:p w:rsidR="004E6D27" w:rsidRPr="004E6D27" w:rsidRDefault="004E6D27" w:rsidP="004E6D27"/>
          <w:p w:rsidR="004E6D27" w:rsidRPr="004E6D27" w:rsidRDefault="004E6D27" w:rsidP="004E6D27">
            <w:proofErr w:type="spellStart"/>
            <w:r w:rsidRPr="004E6D27">
              <w:t>Epitomics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9272</w:t>
            </w:r>
          </w:p>
          <w:p w:rsidR="004E6D27" w:rsidRPr="004E6D27" w:rsidRDefault="004E6D27" w:rsidP="004E6D27">
            <w:r w:rsidRPr="004E6D27">
              <w:t>Epi-2214-1</w:t>
            </w:r>
          </w:p>
          <w:p w:rsidR="004E6D27" w:rsidRPr="004E6D27" w:rsidRDefault="004E6D27" w:rsidP="004E6D27"/>
          <w:p w:rsidR="004E6D27" w:rsidRPr="004E6D27" w:rsidRDefault="004E6D27" w:rsidP="004E6D27">
            <w:r w:rsidRPr="004E6D27">
              <w:t>EPI-2118-1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1:1000</w:t>
            </w:r>
          </w:p>
          <w:p w:rsidR="004E6D27" w:rsidRPr="004E6D27" w:rsidRDefault="004E6D27" w:rsidP="004E6D27">
            <w:r w:rsidRPr="004E6D27">
              <w:t>1:10,000</w:t>
            </w:r>
          </w:p>
          <w:p w:rsidR="004E6D27" w:rsidRPr="004E6D27" w:rsidRDefault="004E6D27" w:rsidP="004E6D27"/>
          <w:p w:rsidR="004E6D27" w:rsidRPr="004E6D27" w:rsidRDefault="004E6D27" w:rsidP="004E6D27">
            <w:r w:rsidRPr="004E6D27">
              <w:t>1:10,000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β-Actin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Cell Signaling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rPr>
                <w:lang w:val="en"/>
              </w:rPr>
              <w:t>5125s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1:10,000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β-AR2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Santa Cruz Biotech. 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Sc-13140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400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t>Cyclin</w:t>
            </w:r>
            <w:proofErr w:type="spellEnd"/>
            <w:r w:rsidRPr="004E6D27">
              <w:t xml:space="preserve"> D1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rPr>
                <w:lang w:val="en"/>
              </w:rPr>
              <w:t>Abcam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rPr>
                <w:lang w:val="en"/>
              </w:rPr>
              <w:t>ab 134175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1:10,000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CXCR7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t>Proteintech</w:t>
            </w:r>
            <w:proofErr w:type="spellEnd"/>
            <w:r w:rsidRPr="004E6D27">
              <w:t xml:space="preserve">, 20423-1-AP, and customized Antibody from </w:t>
            </w:r>
            <w:proofErr w:type="spellStart"/>
            <w:r w:rsidRPr="004E6D27">
              <w:t>Abmart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20423-1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1:5,000/ 1:1000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>EGFR</w:t>
            </w:r>
          </w:p>
          <w:p w:rsidR="004E6D27" w:rsidRPr="004E6D27" w:rsidRDefault="004E6D27" w:rsidP="004E6D27">
            <w:pPr>
              <w:rPr>
                <w:vertAlign w:val="subscript"/>
              </w:rPr>
            </w:pPr>
            <w:r w:rsidRPr="004E6D27">
              <w:t>pEGFR</w:t>
            </w:r>
            <w:r w:rsidRPr="004E6D27">
              <w:rPr>
                <w:vertAlign w:val="subscript"/>
              </w:rPr>
              <w:t>Y1110</w:t>
            </w:r>
          </w:p>
          <w:p w:rsidR="004E6D27" w:rsidRPr="004E6D27" w:rsidRDefault="004E6D27" w:rsidP="004E6D27">
            <w:pPr>
              <w:rPr>
                <w:vertAlign w:val="subscript"/>
              </w:rPr>
            </w:pPr>
            <w:r w:rsidRPr="004E6D27">
              <w:t>pEGFR</w:t>
            </w:r>
            <w:r w:rsidRPr="004E6D27">
              <w:rPr>
                <w:vertAlign w:val="subscript"/>
              </w:rPr>
              <w:t>Y1068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Cell Signaling, #2646</w:t>
            </w:r>
          </w:p>
          <w:p w:rsidR="004E6D27" w:rsidRPr="004E6D27" w:rsidRDefault="004E6D27" w:rsidP="004E6D27">
            <w:proofErr w:type="spellStart"/>
            <w:r w:rsidRPr="004E6D27">
              <w:t>Abcam</w:t>
            </w:r>
            <w:proofErr w:type="spellEnd"/>
            <w:r w:rsidRPr="004E6D27">
              <w:t>, ab68470, ab47370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2646</w:t>
            </w:r>
          </w:p>
          <w:p w:rsidR="004E6D27" w:rsidRPr="004E6D27" w:rsidRDefault="004E6D27" w:rsidP="004E6D27">
            <w:r w:rsidRPr="004E6D27">
              <w:t>Ab68470</w:t>
            </w:r>
          </w:p>
          <w:p w:rsidR="004E6D27" w:rsidRPr="004E6D27" w:rsidRDefault="004E6D27" w:rsidP="004E6D27">
            <w:r w:rsidRPr="004E6D27">
              <w:t>Ab47370</w:t>
            </w:r>
          </w:p>
          <w:p w:rsidR="004E6D27" w:rsidRPr="004E6D27" w:rsidRDefault="004E6D27" w:rsidP="004E6D27"/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5,000</w:t>
            </w:r>
          </w:p>
          <w:p w:rsidR="004E6D27" w:rsidRPr="004E6D27" w:rsidRDefault="004E6D27" w:rsidP="004E6D27">
            <w:r w:rsidRPr="004E6D27">
              <w:t>1: 5,000</w:t>
            </w:r>
          </w:p>
          <w:p w:rsidR="004E6D27" w:rsidRPr="004E6D27" w:rsidRDefault="004E6D27" w:rsidP="004E6D27">
            <w:r w:rsidRPr="004E6D27">
              <w:t>1: 3,000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ERK1/2 (MAPK p44/p42) </w:t>
            </w:r>
          </w:p>
          <w:p w:rsidR="004E6D27" w:rsidRPr="004E6D27" w:rsidRDefault="004E6D27" w:rsidP="004E6D27">
            <w:r w:rsidRPr="004E6D27">
              <w:t>Phospo-ERK1/2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Cell Signaling</w:t>
            </w:r>
          </w:p>
          <w:p w:rsidR="004E6D27" w:rsidRPr="004E6D27" w:rsidRDefault="004E6D27" w:rsidP="004E6D27">
            <w:r w:rsidRPr="004E6D27">
              <w:t>Cell Signaling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9106s</w:t>
            </w:r>
          </w:p>
          <w:p w:rsidR="004E6D27" w:rsidRPr="004E6D27" w:rsidRDefault="004E6D27" w:rsidP="004E6D27">
            <w:r w:rsidRPr="004E6D27">
              <w:t>9102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5,000</w:t>
            </w:r>
          </w:p>
          <w:p w:rsidR="004E6D27" w:rsidRPr="004E6D27" w:rsidRDefault="004E6D27" w:rsidP="004E6D27">
            <w:r w:rsidRPr="004E6D27">
              <w:t>1: 5,000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t>Lamin</w:t>
            </w:r>
            <w:proofErr w:type="spellEnd"/>
            <w:r w:rsidRPr="004E6D27">
              <w:t xml:space="preserve"> A/C (</w:t>
            </w:r>
            <w:proofErr w:type="spellStart"/>
            <w:r w:rsidRPr="004E6D27">
              <w:t>epitomics</w:t>
            </w:r>
            <w:proofErr w:type="spellEnd"/>
            <w:r w:rsidRPr="004E6D27">
              <w:t>, 2966-1)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t>Epitomics</w:t>
            </w:r>
            <w:proofErr w:type="spellEnd"/>
            <w:r w:rsidRPr="004E6D27">
              <w:t xml:space="preserve"> (</w:t>
            </w:r>
            <w:proofErr w:type="spellStart"/>
            <w:r w:rsidRPr="004E6D27">
              <w:t>Abcam</w:t>
            </w:r>
            <w:proofErr w:type="spellEnd"/>
            <w:r w:rsidRPr="004E6D27">
              <w:t>)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Epi-2996-1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10,000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proofErr w:type="spellStart"/>
            <w:r w:rsidRPr="004E6D27">
              <w:t>Src</w:t>
            </w:r>
            <w:proofErr w:type="spellEnd"/>
          </w:p>
          <w:p w:rsidR="004E6D27" w:rsidRPr="004E6D27" w:rsidRDefault="004E6D27" w:rsidP="004E6D27">
            <w:r w:rsidRPr="004E6D27">
              <w:t>pSrc</w:t>
            </w:r>
            <w:r w:rsidRPr="004E6D27">
              <w:rPr>
                <w:vertAlign w:val="subscript"/>
              </w:rPr>
              <w:t>Y416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Cell Signaling, </w:t>
            </w:r>
          </w:p>
          <w:p w:rsidR="004E6D27" w:rsidRPr="004E6D27" w:rsidRDefault="004E6D27" w:rsidP="004E6D27">
            <w:r w:rsidRPr="004E6D27">
              <w:t xml:space="preserve">Cell </w:t>
            </w:r>
            <w:proofErr w:type="spellStart"/>
            <w:r w:rsidRPr="004E6D27">
              <w:t>SIgnaling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2108</w:t>
            </w:r>
          </w:p>
          <w:p w:rsidR="004E6D27" w:rsidRPr="004E6D27" w:rsidRDefault="004E6D27" w:rsidP="004E6D27">
            <w:r w:rsidRPr="004E6D27">
              <w:t>2101</w:t>
            </w:r>
          </w:p>
          <w:p w:rsidR="004E6D27" w:rsidRPr="004E6D27" w:rsidRDefault="004E6D27" w:rsidP="004E6D27"/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lastRenderedPageBreak/>
              <w:t>1: 1000</w:t>
            </w:r>
          </w:p>
          <w:p w:rsidR="004E6D27" w:rsidRPr="004E6D27" w:rsidRDefault="004E6D27" w:rsidP="004E6D27">
            <w:r w:rsidRPr="004E6D27">
              <w:t>1: 1000</w:t>
            </w:r>
          </w:p>
        </w:tc>
      </w:tr>
      <w:tr w:rsidR="004E6D27" w:rsidRPr="004E6D27" w:rsidTr="00865B4C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lastRenderedPageBreak/>
              <w:t>α-Tubulin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Cell Signaling 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2144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1000</w:t>
            </w:r>
          </w:p>
        </w:tc>
      </w:tr>
      <w:tr w:rsidR="004E6D27" w:rsidRPr="004E6D27" w:rsidTr="006E5D02"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Anti-Rabbit </w:t>
            </w:r>
            <w:proofErr w:type="spellStart"/>
            <w:r w:rsidRPr="004E6D27">
              <w:t>IgG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Cell Signaling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7074s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1:10,000</w:t>
            </w:r>
          </w:p>
        </w:tc>
      </w:tr>
      <w:tr w:rsidR="004E6D27" w:rsidRPr="004E6D27" w:rsidTr="006E5D02">
        <w:trPr>
          <w:trHeight w:val="962"/>
        </w:trPr>
        <w:tc>
          <w:tcPr>
            <w:tcW w:w="2372" w:type="dxa"/>
            <w:shd w:val="clear" w:color="auto" w:fill="auto"/>
          </w:tcPr>
          <w:p w:rsidR="004E6D27" w:rsidRPr="004E6D27" w:rsidRDefault="004E6D27" w:rsidP="004E6D27">
            <w:r w:rsidRPr="004E6D27">
              <w:t xml:space="preserve">Anti-Mouse </w:t>
            </w:r>
            <w:proofErr w:type="spellStart"/>
            <w:r w:rsidRPr="004E6D27">
              <w:t>IgG</w:t>
            </w:r>
            <w:proofErr w:type="spellEnd"/>
            <w:r w:rsidRPr="004E6D27">
              <w:t xml:space="preserve"> </w:t>
            </w:r>
            <w:proofErr w:type="spellStart"/>
            <w:r w:rsidRPr="004E6D27">
              <w:t>IgG</w:t>
            </w:r>
            <w:proofErr w:type="spellEnd"/>
            <w:r w:rsidRPr="004E6D27">
              <w:t>(Fab)2-HRP</w:t>
            </w:r>
          </w:p>
        </w:tc>
        <w:tc>
          <w:tcPr>
            <w:tcW w:w="2374" w:type="dxa"/>
            <w:shd w:val="clear" w:color="auto" w:fill="auto"/>
          </w:tcPr>
          <w:p w:rsidR="004E6D27" w:rsidRPr="004E6D27" w:rsidRDefault="004E6D27" w:rsidP="004E6D27">
            <w:r w:rsidRPr="004E6D27">
              <w:t>Cell signaling</w:t>
            </w:r>
          </w:p>
        </w:tc>
        <w:tc>
          <w:tcPr>
            <w:tcW w:w="1482" w:type="dxa"/>
            <w:shd w:val="clear" w:color="auto" w:fill="auto"/>
          </w:tcPr>
          <w:p w:rsidR="004E6D27" w:rsidRPr="004E6D27" w:rsidRDefault="004E6D27" w:rsidP="004E6D27">
            <w:r w:rsidRPr="004E6D27">
              <w:t>7076s</w:t>
            </w:r>
          </w:p>
        </w:tc>
        <w:tc>
          <w:tcPr>
            <w:tcW w:w="3258" w:type="dxa"/>
            <w:shd w:val="clear" w:color="auto" w:fill="auto"/>
          </w:tcPr>
          <w:p w:rsidR="004E6D27" w:rsidRPr="004E6D27" w:rsidRDefault="004E6D27" w:rsidP="004E6D27">
            <w:r w:rsidRPr="004E6D27">
              <w:t>1: 10,000</w:t>
            </w:r>
          </w:p>
        </w:tc>
      </w:tr>
    </w:tbl>
    <w:p w:rsidR="00B74009" w:rsidRDefault="00B74009">
      <w:bookmarkStart w:id="0" w:name="_GoBack"/>
      <w:bookmarkEnd w:id="0"/>
    </w:p>
    <w:sectPr w:rsidR="00B7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7"/>
    <w:rsid w:val="004E6D27"/>
    <w:rsid w:val="006E5D02"/>
    <w:rsid w:val="00B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AD60B-18F6-4B23-A0CC-4E8AB50A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Kallifatidis, Georgios</dc:creator>
  <cp:keywords/>
  <dc:description/>
  <cp:lastModifiedBy>Kallifatidis, Georgios</cp:lastModifiedBy>
  <cp:revision>2</cp:revision>
  <dcterms:created xsi:type="dcterms:W3CDTF">2015-12-22T15:50:00Z</dcterms:created>
  <dcterms:modified xsi:type="dcterms:W3CDTF">2016-02-12T16:25:00Z</dcterms:modified>
</cp:coreProperties>
</file>