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A527" w14:textId="3D3F1DB5" w:rsidR="007106E0" w:rsidRPr="00CB0A8D" w:rsidRDefault="000D4039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CB0A8D">
        <w:rPr>
          <w:rFonts w:ascii="Times" w:hAnsi="Times"/>
          <w:b/>
          <w:color w:val="000000" w:themeColor="text1"/>
          <w:sz w:val="24"/>
          <w:szCs w:val="24"/>
        </w:rPr>
        <w:t>Supplementary Fig. S1.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 (A): </w:t>
      </w:r>
      <w:proofErr w:type="spellStart"/>
      <w:r w:rsidRPr="00CB0A8D">
        <w:rPr>
          <w:rFonts w:ascii="Times" w:hAnsi="Times"/>
          <w:color w:val="000000" w:themeColor="text1"/>
          <w:sz w:val="24"/>
          <w:szCs w:val="24"/>
        </w:rPr>
        <w:t>Immunohistochemical</w:t>
      </w:r>
      <w:proofErr w:type="spellEnd"/>
      <w:r w:rsidRPr="00CB0A8D">
        <w:rPr>
          <w:rFonts w:ascii="Times" w:hAnsi="Times"/>
          <w:color w:val="000000" w:themeColor="text1"/>
          <w:sz w:val="24"/>
          <w:szCs w:val="24"/>
        </w:rPr>
        <w:t xml:space="preserve"> analysis of other human normal colon and colon cancer specimens. DCLK1-positive</w:t>
      </w:r>
      <w:r w:rsidR="00E61597" w:rsidRPr="00CB0A8D">
        <w:rPr>
          <w:rFonts w:ascii="Times" w:hAnsi="Times"/>
          <w:color w:val="000000" w:themeColor="text1"/>
          <w:sz w:val="24"/>
          <w:szCs w:val="24"/>
        </w:rPr>
        <w:t xml:space="preserve"> epithelial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 cells were not found at the crypt bottoms. Normal tissues are partially positive but cancer tissues were widely positive for DCLK1. Scale bar: 100 </w:t>
      </w:r>
      <w:proofErr w:type="spellStart"/>
      <w:r w:rsidR="00E61597" w:rsidRPr="00CB0A8D">
        <w:rPr>
          <w:rFonts w:ascii="Times" w:hAnsi="Times"/>
          <w:color w:val="000000" w:themeColor="text1"/>
        </w:rPr>
        <w:t>μ</w:t>
      </w:r>
      <w:r w:rsidRPr="00CB0A8D">
        <w:rPr>
          <w:rFonts w:ascii="Times" w:hAnsi="Times"/>
          <w:color w:val="000000" w:themeColor="text1"/>
          <w:sz w:val="24"/>
          <w:szCs w:val="24"/>
        </w:rPr>
        <w:t>m</w:t>
      </w:r>
      <w:proofErr w:type="spellEnd"/>
      <w:r w:rsidRPr="00CB0A8D">
        <w:rPr>
          <w:rFonts w:ascii="Times" w:hAnsi="Times"/>
          <w:color w:val="000000" w:themeColor="text1"/>
          <w:sz w:val="24"/>
          <w:szCs w:val="24"/>
        </w:rPr>
        <w:t xml:space="preserve">. (B): Representative metastatic lymph node. DCLK1-positive cells were dominant in the metastatic lymph node. </w:t>
      </w:r>
      <w:r w:rsidR="00C246F3" w:rsidRPr="00CB0A8D">
        <w:rPr>
          <w:rFonts w:ascii="Times" w:hAnsi="Times"/>
          <w:color w:val="000000" w:themeColor="text1"/>
          <w:sz w:val="24"/>
          <w:szCs w:val="24"/>
        </w:rPr>
        <w:t xml:space="preserve">Scale bar: 100 </w:t>
      </w:r>
      <w:proofErr w:type="spellStart"/>
      <w:r w:rsidR="00E61597" w:rsidRPr="00CB0A8D">
        <w:rPr>
          <w:rFonts w:ascii="Times" w:hAnsi="Times"/>
          <w:color w:val="000000" w:themeColor="text1"/>
        </w:rPr>
        <w:t>μ</w:t>
      </w:r>
      <w:r w:rsidR="00C246F3" w:rsidRPr="00CB0A8D">
        <w:rPr>
          <w:rFonts w:ascii="Times" w:hAnsi="Times"/>
          <w:color w:val="000000" w:themeColor="text1"/>
          <w:sz w:val="24"/>
          <w:szCs w:val="24"/>
        </w:rPr>
        <w:t>m</w:t>
      </w:r>
      <w:proofErr w:type="spellEnd"/>
      <w:r w:rsidR="00C246F3" w:rsidRPr="00CB0A8D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14:paraId="0FD2918D" w14:textId="77777777" w:rsidR="007106E0" w:rsidRPr="00CB0A8D" w:rsidRDefault="007106E0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p w14:paraId="56829B1C" w14:textId="699DB4A5" w:rsidR="00F41499" w:rsidRPr="00CB0A8D" w:rsidRDefault="000D4039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hAnsi="Times"/>
          <w:color w:val="000000" w:themeColor="text1"/>
          <w:sz w:val="24"/>
          <w:szCs w:val="24"/>
        </w:rPr>
      </w:pPr>
      <w:r w:rsidRPr="00CB0A8D">
        <w:rPr>
          <w:rFonts w:ascii="Times" w:hAnsi="Times"/>
          <w:b/>
          <w:color w:val="000000" w:themeColor="text1"/>
          <w:sz w:val="24"/>
          <w:szCs w:val="24"/>
        </w:rPr>
        <w:t>Supplementary Fig. S2.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>(A</w:t>
      </w:r>
      <w:r w:rsidR="002E7DD0" w:rsidRPr="00CB0A8D">
        <w:rPr>
          <w:rFonts w:ascii="Times" w:hAnsi="Times"/>
          <w:color w:val="000000" w:themeColor="text1"/>
          <w:sz w:val="24"/>
          <w:szCs w:val="24"/>
        </w:rPr>
        <w:t xml:space="preserve">): </w:t>
      </w:r>
      <w:r w:rsidR="00E61597" w:rsidRPr="00CB0A8D">
        <w:rPr>
          <w:rFonts w:ascii="Times" w:hAnsi="Times"/>
          <w:color w:val="000000" w:themeColor="text1"/>
          <w:sz w:val="24"/>
          <w:szCs w:val="24"/>
        </w:rPr>
        <w:t xml:space="preserve">SW480 cells are </w:t>
      </w:r>
      <w:proofErr w:type="spellStart"/>
      <w:r w:rsidR="00E61597" w:rsidRPr="00CB0A8D">
        <w:rPr>
          <w:rFonts w:ascii="Times" w:hAnsi="Times"/>
          <w:color w:val="000000" w:themeColor="text1"/>
          <w:sz w:val="24"/>
          <w:szCs w:val="24"/>
        </w:rPr>
        <w:t>EpCAM</w:t>
      </w:r>
      <w:proofErr w:type="spellEnd"/>
      <w:r w:rsidR="00E61597" w:rsidRPr="00CB0A8D">
        <w:rPr>
          <w:rFonts w:ascii="Times" w:hAnsi="Times"/>
          <w:color w:val="000000" w:themeColor="text1"/>
          <w:sz w:val="24"/>
          <w:szCs w:val="24"/>
        </w:rPr>
        <w:t>-</w:t>
      </w:r>
      <w:r w:rsidR="00F86A2F" w:rsidRPr="00CB0A8D">
        <w:rPr>
          <w:rFonts w:ascii="Times" w:hAnsi="Times"/>
          <w:color w:val="000000" w:themeColor="text1"/>
          <w:sz w:val="24"/>
          <w:szCs w:val="24"/>
        </w:rPr>
        <w:t xml:space="preserve">positive and </w:t>
      </w:r>
      <w:r w:rsidR="00E61597" w:rsidRPr="00CB0A8D">
        <w:rPr>
          <w:rFonts w:ascii="Times" w:hAnsi="Times"/>
          <w:color w:val="000000" w:themeColor="text1"/>
          <w:sz w:val="24"/>
          <w:szCs w:val="24"/>
        </w:rPr>
        <w:t xml:space="preserve">low </w:t>
      </w:r>
      <w:r w:rsidR="002E7DD0" w:rsidRPr="00CB0A8D">
        <w:rPr>
          <w:rFonts w:ascii="Times" w:hAnsi="Times"/>
          <w:color w:val="000000" w:themeColor="text1"/>
          <w:sz w:val="24"/>
          <w:szCs w:val="24"/>
        </w:rPr>
        <w:t>CD66a expression.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 (B): Representative flow 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cytometry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 plot. GFP</w:t>
      </w:r>
      <w:r w:rsidR="005678C0"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+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>/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mCherry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+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>/CD44</w:t>
      </w:r>
      <w:r w:rsidR="005678C0"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+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 SW480 cells were collected by flow 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cytometry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</w:rPr>
        <w:t>.</w:t>
      </w:r>
      <w:r w:rsidR="002E7DD0" w:rsidRPr="00CB0A8D">
        <w:rPr>
          <w:rFonts w:ascii="Times" w:hAnsi="Times"/>
          <w:color w:val="000000" w:themeColor="text1"/>
          <w:sz w:val="24"/>
          <w:szCs w:val="24"/>
        </w:rPr>
        <w:t xml:space="preserve"> (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>C</w:t>
      </w:r>
      <w:r w:rsidR="00F86A2F" w:rsidRPr="00CB0A8D">
        <w:rPr>
          <w:rFonts w:ascii="Times" w:hAnsi="Times"/>
          <w:color w:val="000000" w:themeColor="text1"/>
          <w:sz w:val="24"/>
          <w:szCs w:val="24"/>
        </w:rPr>
        <w:t xml:space="preserve">): 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DCLK1 expression was suppressed in the SW480 cells transduced with the </w:t>
      </w:r>
      <w:proofErr w:type="spellStart"/>
      <w:r w:rsidRPr="00CB0A8D">
        <w:rPr>
          <w:rFonts w:ascii="Times" w:hAnsi="Times"/>
          <w:color w:val="000000" w:themeColor="text1"/>
          <w:sz w:val="24"/>
          <w:szCs w:val="24"/>
        </w:rPr>
        <w:t>pGIPZ</w:t>
      </w:r>
      <w:proofErr w:type="spellEnd"/>
      <w:r w:rsidRPr="00CB0A8D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CB0A8D">
        <w:rPr>
          <w:rFonts w:ascii="Times" w:hAnsi="Times"/>
          <w:color w:val="000000" w:themeColor="text1"/>
          <w:sz w:val="24"/>
          <w:szCs w:val="24"/>
        </w:rPr>
        <w:t>lentiviral</w:t>
      </w:r>
      <w:proofErr w:type="spellEnd"/>
      <w:r w:rsidRPr="00CB0A8D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CB0A8D">
        <w:rPr>
          <w:rFonts w:ascii="Times" w:hAnsi="Times"/>
          <w:color w:val="000000" w:themeColor="text1"/>
          <w:sz w:val="24"/>
          <w:szCs w:val="24"/>
        </w:rPr>
        <w:t>shRNA</w:t>
      </w:r>
      <w:proofErr w:type="spellEnd"/>
      <w:r w:rsidRPr="00CB0A8D">
        <w:rPr>
          <w:rFonts w:ascii="Times" w:hAnsi="Times"/>
          <w:color w:val="000000" w:themeColor="text1"/>
          <w:sz w:val="24"/>
          <w:szCs w:val="24"/>
        </w:rPr>
        <w:t xml:space="preserve"> against </w:t>
      </w:r>
      <w:r w:rsidRPr="00CB0A8D">
        <w:rPr>
          <w:rFonts w:ascii="Times" w:hAnsi="Times"/>
          <w:i/>
          <w:iCs/>
          <w:color w:val="000000" w:themeColor="text1"/>
          <w:sz w:val="24"/>
          <w:szCs w:val="24"/>
        </w:rPr>
        <w:t>DCLK1</w:t>
      </w:r>
      <w:r w:rsidR="00F86A2F" w:rsidRPr="00CB0A8D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(D): (Top) Representative images of the 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organoids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. The left and middle panels are the fluorescent microscopic images for the detection of GFP and 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mCherry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, respectively. The right panels are the phase-contrast images of the 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organoids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 merged with </w:t>
      </w:r>
      <w:r w:rsidR="002A77E2" w:rsidRPr="00CB0A8D">
        <w:rPr>
          <w:rFonts w:ascii="Times" w:hAnsi="Times"/>
          <w:color w:val="000000" w:themeColor="text1"/>
          <w:sz w:val="24"/>
          <w:szCs w:val="24"/>
        </w:rPr>
        <w:t xml:space="preserve">the 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images of the green fluorescent images (left) and the red fluorescent images (middle). Scale bar: 100 </w:t>
      </w:r>
      <w:proofErr w:type="spellStart"/>
      <w:r w:rsidR="005678C0" w:rsidRPr="00CB0A8D">
        <w:rPr>
          <w:rFonts w:ascii="Times" w:hAnsi="Times"/>
          <w:color w:val="000000" w:themeColor="text1"/>
          <w:sz w:val="24"/>
          <w:szCs w:val="24"/>
        </w:rPr>
        <w:t>μm</w:t>
      </w:r>
      <w:proofErr w:type="spellEnd"/>
      <w:r w:rsidR="005678C0" w:rsidRPr="00CB0A8D">
        <w:rPr>
          <w:rFonts w:ascii="Times" w:hAnsi="Times"/>
          <w:color w:val="000000" w:themeColor="text1"/>
          <w:sz w:val="24"/>
          <w:szCs w:val="24"/>
        </w:rPr>
        <w:t xml:space="preserve">. (Bottom) </w:t>
      </w:r>
      <w:r w:rsidR="000573D8" w:rsidRPr="00CB0A8D">
        <w:rPr>
          <w:rFonts w:ascii="Times" w:hAnsi="Times" w:cs="Times New Roman"/>
          <w:color w:val="000000" w:themeColor="text1"/>
          <w:sz w:val="24"/>
          <w:szCs w:val="24"/>
        </w:rPr>
        <w:t>C</w:t>
      </w:r>
      <w:r w:rsidR="005678C0" w:rsidRPr="00CB0A8D">
        <w:rPr>
          <w:rFonts w:ascii="Times" w:hAnsi="Times" w:cs="Times New Roman"/>
          <w:color w:val="000000" w:themeColor="text1"/>
          <w:sz w:val="24"/>
          <w:szCs w:val="24"/>
        </w:rPr>
        <w:t xml:space="preserve">o-expression of the exogenous DCLK1 substantially rescued the defect in </w:t>
      </w:r>
      <w:proofErr w:type="spellStart"/>
      <w:r w:rsidR="005678C0" w:rsidRPr="00CB0A8D">
        <w:rPr>
          <w:rFonts w:ascii="Times" w:hAnsi="Times" w:cs="Times New Roman"/>
          <w:color w:val="000000" w:themeColor="text1"/>
          <w:sz w:val="24"/>
          <w:szCs w:val="24"/>
        </w:rPr>
        <w:t>organoid</w:t>
      </w:r>
      <w:proofErr w:type="spellEnd"/>
      <w:r w:rsidR="005678C0" w:rsidRPr="00CB0A8D">
        <w:rPr>
          <w:rFonts w:ascii="Times" w:hAnsi="Times" w:cs="Times New Roman"/>
          <w:color w:val="000000" w:themeColor="text1"/>
          <w:sz w:val="24"/>
          <w:szCs w:val="24"/>
        </w:rPr>
        <w:t xml:space="preserve"> formation of shDCLK1-SW480 cells (</w:t>
      </w:r>
      <w:r w:rsidR="005678C0" w:rsidRPr="00CB0A8D">
        <w:rPr>
          <w:rFonts w:ascii="Times" w:hAnsi="Times"/>
          <w:color w:val="000000" w:themeColor="text1"/>
          <w:sz w:val="24"/>
          <w:szCs w:val="24"/>
        </w:rPr>
        <w:t>*p&lt;0.05)</w:t>
      </w:r>
      <w:r w:rsidR="002A77E2" w:rsidRPr="00CB0A8D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14:paraId="76EFE906" w14:textId="77777777" w:rsidR="00F41499" w:rsidRPr="00CB0A8D" w:rsidRDefault="00F41499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hAnsi="Times"/>
          <w:color w:val="000000" w:themeColor="text1"/>
          <w:sz w:val="24"/>
          <w:szCs w:val="24"/>
        </w:rPr>
      </w:pPr>
    </w:p>
    <w:p w14:paraId="1C269389" w14:textId="0368BEE3" w:rsidR="007106E0" w:rsidRPr="00CB0A8D" w:rsidRDefault="00F41499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CB0A8D">
        <w:rPr>
          <w:rFonts w:ascii="Times" w:hAnsi="Times"/>
          <w:b/>
          <w:color w:val="000000" w:themeColor="text1"/>
          <w:sz w:val="24"/>
          <w:szCs w:val="24"/>
        </w:rPr>
        <w:t>Supplementary Fig. S3.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 (A)</w:t>
      </w:r>
      <w:r w:rsidR="002E7DD0" w:rsidRPr="00CB0A8D">
        <w:rPr>
          <w:rFonts w:ascii="Times" w:hAnsi="Times"/>
          <w:color w:val="000000" w:themeColor="text1"/>
          <w:sz w:val="24"/>
          <w:szCs w:val="24"/>
        </w:rPr>
        <w:t>:</w:t>
      </w:r>
      <w:r w:rsidR="002E7DD0" w:rsidRPr="00CB0A8D">
        <w:rPr>
          <w:rFonts w:ascii="Times" w:eastAsiaTheme="minorEastAsia" w:hAnsi="Times" w:cs="Helvetica Neue"/>
          <w:color w:val="000000" w:themeColor="text1"/>
          <w:sz w:val="40"/>
          <w:szCs w:val="40"/>
        </w:rPr>
        <w:t xml:space="preserve"> 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Almost all </w:t>
      </w:r>
      <w:proofErr w:type="spellStart"/>
      <w:r w:rsidR="00660876" w:rsidRPr="00CB0A8D">
        <w:rPr>
          <w:rFonts w:ascii="Times" w:hAnsi="Times"/>
          <w:color w:val="000000" w:themeColor="text1"/>
          <w:sz w:val="24"/>
          <w:szCs w:val="24"/>
        </w:rPr>
        <w:t>hPCCs</w:t>
      </w:r>
      <w:proofErr w:type="spellEnd"/>
      <w:r w:rsidR="00E61597" w:rsidRPr="00CB0A8D">
        <w:rPr>
          <w:rFonts w:ascii="Times" w:hAnsi="Times"/>
          <w:color w:val="000000" w:themeColor="text1"/>
          <w:sz w:val="24"/>
          <w:szCs w:val="24"/>
        </w:rPr>
        <w:t xml:space="preserve"> express </w:t>
      </w:r>
      <w:proofErr w:type="spellStart"/>
      <w:r w:rsidR="00E61597" w:rsidRPr="00CB0A8D">
        <w:rPr>
          <w:rFonts w:ascii="Times" w:hAnsi="Times"/>
          <w:color w:val="000000" w:themeColor="text1"/>
          <w:sz w:val="24"/>
          <w:szCs w:val="24"/>
        </w:rPr>
        <w:t>EpCAM</w:t>
      </w:r>
      <w:proofErr w:type="spellEnd"/>
      <w:r w:rsidR="00E61597" w:rsidRPr="00CB0A8D">
        <w:rPr>
          <w:rFonts w:ascii="Times" w:hAnsi="Times"/>
          <w:color w:val="000000" w:themeColor="text1"/>
          <w:sz w:val="24"/>
          <w:szCs w:val="24"/>
        </w:rPr>
        <w:t>. (B): M</w:t>
      </w:r>
      <w:r w:rsidRPr="00CB0A8D">
        <w:rPr>
          <w:rFonts w:ascii="Times" w:hAnsi="Times"/>
          <w:color w:val="000000" w:themeColor="text1"/>
          <w:sz w:val="24"/>
          <w:szCs w:val="24"/>
        </w:rPr>
        <w:t>iR-137 knockdown enhance</w:t>
      </w:r>
      <w:r w:rsidR="00FD0A54" w:rsidRPr="00CB0A8D">
        <w:rPr>
          <w:rFonts w:ascii="Times" w:hAnsi="Times"/>
          <w:color w:val="000000" w:themeColor="text1"/>
          <w:sz w:val="24"/>
          <w:szCs w:val="24"/>
        </w:rPr>
        <w:t>d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 expression of DCLK1 of GFP</w:t>
      </w:r>
      <w:r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+</w:t>
      </w:r>
      <w:r w:rsidRPr="00CB0A8D">
        <w:rPr>
          <w:rFonts w:ascii="Times" w:hAnsi="Times"/>
          <w:color w:val="000000" w:themeColor="text1"/>
          <w:sz w:val="24"/>
          <w:szCs w:val="24"/>
        </w:rPr>
        <w:t>/</w:t>
      </w:r>
      <w:proofErr w:type="spellStart"/>
      <w:r w:rsidR="0041474A" w:rsidRPr="00CB0A8D">
        <w:rPr>
          <w:rFonts w:ascii="Times" w:hAnsi="Times"/>
          <w:color w:val="000000" w:themeColor="text1"/>
          <w:sz w:val="24"/>
          <w:szCs w:val="24"/>
        </w:rPr>
        <w:t>EpCAM</w:t>
      </w:r>
      <w:proofErr w:type="spellEnd"/>
      <w:r w:rsidR="0041474A"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+</w:t>
      </w:r>
      <w:r w:rsidRPr="00CB0A8D">
        <w:rPr>
          <w:rFonts w:ascii="Times" w:hAnsi="Times"/>
          <w:color w:val="000000" w:themeColor="text1"/>
          <w:sz w:val="24"/>
          <w:szCs w:val="24"/>
        </w:rPr>
        <w:t>/CD44</w:t>
      </w:r>
      <w:r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+</w:t>
      </w:r>
      <w:r w:rsidR="008840CC" w:rsidRPr="00CB0A8D">
        <w:rPr>
          <w:rFonts w:ascii="Times" w:hAnsi="Times"/>
          <w:color w:val="000000" w:themeColor="text1"/>
          <w:sz w:val="24"/>
          <w:szCs w:val="24"/>
        </w:rPr>
        <w:t>/CD66a</w:t>
      </w:r>
      <w:r w:rsidR="008840CC" w:rsidRPr="00CB0A8D">
        <w:rPr>
          <w:rFonts w:ascii="Times" w:hAnsi="Times"/>
          <w:color w:val="000000" w:themeColor="text1"/>
          <w:sz w:val="24"/>
          <w:szCs w:val="24"/>
          <w:vertAlign w:val="superscript"/>
        </w:rPr>
        <w:t>-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660876" w:rsidRPr="00CB0A8D">
        <w:rPr>
          <w:rFonts w:ascii="Times" w:hAnsi="Times"/>
          <w:color w:val="000000" w:themeColor="text1"/>
          <w:sz w:val="24"/>
          <w:szCs w:val="24"/>
        </w:rPr>
        <w:t>hPCCs</w:t>
      </w:r>
      <w:r w:rsidRPr="00CB0A8D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F86A2F" w:rsidRPr="00CB0A8D">
        <w:rPr>
          <w:rFonts w:ascii="Times" w:hAnsi="Times"/>
          <w:color w:val="000000" w:themeColor="text1"/>
          <w:sz w:val="24"/>
          <w:szCs w:val="24"/>
        </w:rPr>
        <w:t>(C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>)</w:t>
      </w:r>
      <w:r w:rsidR="002E7DD0" w:rsidRPr="00CB0A8D">
        <w:rPr>
          <w:rFonts w:ascii="Times" w:hAnsi="Times"/>
          <w:color w:val="000000" w:themeColor="text1"/>
          <w:sz w:val="24"/>
          <w:szCs w:val="24"/>
        </w:rPr>
        <w:t>: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="000D4039" w:rsidRPr="00CB0A8D">
        <w:rPr>
          <w:rFonts w:ascii="Times" w:hAnsi="Times"/>
          <w:color w:val="000000" w:themeColor="text1"/>
          <w:sz w:val="24"/>
          <w:szCs w:val="24"/>
        </w:rPr>
        <w:t>Aline</w:t>
      </w:r>
      <w:proofErr w:type="spellEnd"/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 the two sequences between human </w:t>
      </w:r>
      <w:r w:rsidR="000D4039" w:rsidRPr="00CB0A8D">
        <w:rPr>
          <w:rFonts w:ascii="Times" w:hAnsi="Times"/>
          <w:i/>
          <w:iCs/>
          <w:color w:val="000000" w:themeColor="text1"/>
          <w:sz w:val="24"/>
          <w:szCs w:val="24"/>
        </w:rPr>
        <w:t>DCLK1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 and murine </w:t>
      </w:r>
      <w:r w:rsidR="000D4039" w:rsidRPr="00CB0A8D">
        <w:rPr>
          <w:rFonts w:ascii="Times" w:hAnsi="Times"/>
          <w:i/>
          <w:iCs/>
          <w:color w:val="000000" w:themeColor="text1"/>
          <w:sz w:val="24"/>
          <w:szCs w:val="24"/>
        </w:rPr>
        <w:t>Dclk1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. Target 1 of human </w:t>
      </w:r>
      <w:r w:rsidR="000D4039" w:rsidRPr="00CB0A8D">
        <w:rPr>
          <w:rFonts w:ascii="Times" w:hAnsi="Times"/>
          <w:i/>
          <w:iCs/>
          <w:color w:val="000000" w:themeColor="text1"/>
          <w:sz w:val="24"/>
          <w:szCs w:val="24"/>
        </w:rPr>
        <w:t>DCLK1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 is preserved. </w:t>
      </w:r>
    </w:p>
    <w:p w14:paraId="0EF6A2EC" w14:textId="77777777" w:rsidR="007106E0" w:rsidRPr="00CB0A8D" w:rsidRDefault="007106E0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p w14:paraId="26D4FB66" w14:textId="1A821BB6" w:rsidR="007106E0" w:rsidRPr="00CB0A8D" w:rsidRDefault="00F41499">
      <w:pPr>
        <w:pStyle w:val="Default"/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right="522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CB0A8D">
        <w:rPr>
          <w:rFonts w:ascii="Times" w:hAnsi="Times"/>
          <w:b/>
          <w:color w:val="000000" w:themeColor="text1"/>
          <w:sz w:val="24"/>
          <w:szCs w:val="24"/>
        </w:rPr>
        <w:t>Supplementary Fig. S4</w:t>
      </w:r>
      <w:r w:rsidR="000D4039" w:rsidRPr="00CB0A8D">
        <w:rPr>
          <w:rFonts w:ascii="Times" w:hAnsi="Times"/>
          <w:b/>
          <w:color w:val="000000" w:themeColor="text1"/>
          <w:sz w:val="24"/>
          <w:szCs w:val="24"/>
        </w:rPr>
        <w:t>.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2E7DD0" w:rsidRPr="00CB0A8D">
        <w:rPr>
          <w:rFonts w:ascii="Times" w:hAnsi="Times"/>
          <w:color w:val="000000" w:themeColor="text1"/>
          <w:sz w:val="24"/>
          <w:szCs w:val="24"/>
        </w:rPr>
        <w:t xml:space="preserve">(A): </w:t>
      </w:r>
      <w:r w:rsidR="00996BAE" w:rsidRPr="00B4368B">
        <w:rPr>
          <w:rFonts w:ascii="Times" w:hAnsi="Times"/>
          <w:color w:val="000000" w:themeColor="text1"/>
        </w:rPr>
        <w:t>GFP</w:t>
      </w:r>
      <w:r w:rsidR="00996BAE" w:rsidRPr="00B4368B">
        <w:rPr>
          <w:rFonts w:ascii="Times" w:hAnsi="Times"/>
          <w:color w:val="000000" w:themeColor="text1"/>
          <w:vertAlign w:val="superscript"/>
        </w:rPr>
        <w:t>+</w:t>
      </w:r>
      <w:r w:rsidR="00996BAE" w:rsidRPr="00B4368B">
        <w:rPr>
          <w:rFonts w:ascii="Times" w:hAnsi="Times"/>
          <w:color w:val="000000" w:themeColor="text1"/>
        </w:rPr>
        <w:t>/CD44</w:t>
      </w:r>
      <w:r w:rsidR="00996BAE" w:rsidRPr="00B4368B">
        <w:rPr>
          <w:rFonts w:ascii="Times" w:hAnsi="Times"/>
          <w:color w:val="000000" w:themeColor="text1"/>
          <w:vertAlign w:val="superscript"/>
        </w:rPr>
        <w:t>+</w:t>
      </w:r>
      <w:r w:rsidR="00996BAE" w:rsidRPr="00B4368B">
        <w:rPr>
          <w:rFonts w:ascii="Times" w:hAnsi="Times"/>
          <w:color w:val="000000" w:themeColor="text1"/>
        </w:rPr>
        <w:t xml:space="preserve"> SW480 cells were sorted by flow </w:t>
      </w:r>
      <w:proofErr w:type="spellStart"/>
      <w:r w:rsidR="00996BAE" w:rsidRPr="00B4368B">
        <w:rPr>
          <w:rFonts w:ascii="Times" w:hAnsi="Times"/>
          <w:color w:val="000000" w:themeColor="text1"/>
        </w:rPr>
        <w:t>cytometry</w:t>
      </w:r>
      <w:proofErr w:type="spellEnd"/>
      <w:r w:rsidR="00996BAE" w:rsidRPr="00B4368B">
        <w:rPr>
          <w:rFonts w:ascii="Times" w:hAnsi="Times"/>
          <w:color w:val="000000" w:themeColor="text1"/>
        </w:rPr>
        <w:t xml:space="preserve"> and 2.0 × 10</w:t>
      </w:r>
      <w:r w:rsidR="00996BAE" w:rsidRPr="00B4368B">
        <w:rPr>
          <w:rFonts w:ascii="Times" w:hAnsi="Times"/>
          <w:color w:val="000000" w:themeColor="text1"/>
          <w:vertAlign w:val="superscript"/>
        </w:rPr>
        <w:t>6</w:t>
      </w:r>
      <w:r w:rsidR="00996BAE" w:rsidRPr="00B4368B">
        <w:rPr>
          <w:rFonts w:ascii="Times" w:hAnsi="Times"/>
          <w:color w:val="000000" w:themeColor="text1"/>
        </w:rPr>
        <w:t xml:space="preserve"> cells were injected subcutaneously into </w:t>
      </w:r>
      <w:proofErr w:type="spellStart"/>
      <w:r w:rsidR="00996BAE" w:rsidRPr="00B4368B">
        <w:rPr>
          <w:rFonts w:ascii="Times" w:hAnsi="Times"/>
          <w:color w:val="000000" w:themeColor="text1"/>
        </w:rPr>
        <w:t>immunodeficient</w:t>
      </w:r>
      <w:proofErr w:type="spellEnd"/>
      <w:r w:rsidR="00996BAE" w:rsidRPr="00B4368B">
        <w:rPr>
          <w:rFonts w:ascii="Times" w:hAnsi="Times"/>
          <w:color w:val="000000" w:themeColor="text1"/>
        </w:rPr>
        <w:t xml:space="preserve"> </w:t>
      </w:r>
      <w:r w:rsidR="00996BAE" w:rsidRPr="005A591A">
        <w:rPr>
          <w:rFonts w:ascii="Times" w:hAnsi="Times"/>
          <w:color w:val="000000" w:themeColor="text1"/>
        </w:rPr>
        <w:t>mice.</w:t>
      </w:r>
      <w:r w:rsidR="00996BAE">
        <w:rPr>
          <w:rFonts w:ascii="Times" w:hAnsi="Times"/>
          <w:color w:val="000000" w:themeColor="text1"/>
        </w:rPr>
        <w:t xml:space="preserve"> </w:t>
      </w:r>
      <w:proofErr w:type="gramStart"/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The tumor volume and incidence 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lastRenderedPageBreak/>
        <w:t xml:space="preserve">at eight weeks after injection into </w:t>
      </w:r>
      <w:r w:rsidR="00996BAE">
        <w:rPr>
          <w:rFonts w:ascii="Times" w:hAnsi="Times"/>
          <w:color w:val="000000" w:themeColor="text1"/>
          <w:sz w:val="24"/>
          <w:szCs w:val="24"/>
        </w:rPr>
        <w:t xml:space="preserve">nude </w:t>
      </w:r>
      <w:bookmarkStart w:id="0" w:name="_GoBack"/>
      <w:bookmarkEnd w:id="0"/>
      <w:r w:rsidR="00996BAE">
        <w:rPr>
          <w:rFonts w:ascii="Times" w:hAnsi="Times"/>
          <w:color w:val="000000" w:themeColor="text1"/>
          <w:sz w:val="24"/>
          <w:szCs w:val="24"/>
        </w:rPr>
        <w:t>mice</w:t>
      </w:r>
      <w:r w:rsidR="00996BAE" w:rsidRPr="00B4368B">
        <w:rPr>
          <w:rFonts w:ascii="Times" w:hAnsi="Times"/>
          <w:color w:val="000000" w:themeColor="text1"/>
          <w:sz w:val="24"/>
          <w:szCs w:val="24"/>
        </w:rPr>
        <w:t xml:space="preserve"> (top) or </w:t>
      </w:r>
      <w:r w:rsidR="000D4039" w:rsidRPr="00B4368B">
        <w:rPr>
          <w:rFonts w:ascii="Times" w:hAnsi="Times"/>
          <w:color w:val="000000" w:themeColor="text1"/>
          <w:sz w:val="24"/>
          <w:szCs w:val="24"/>
        </w:rPr>
        <w:t>NOD/SCID mice</w:t>
      </w:r>
      <w:r w:rsidR="00996BAE" w:rsidRPr="00B4368B">
        <w:rPr>
          <w:rFonts w:ascii="Times" w:hAnsi="Times"/>
          <w:color w:val="000000" w:themeColor="text1"/>
          <w:sz w:val="24"/>
          <w:szCs w:val="24"/>
        </w:rPr>
        <w:t xml:space="preserve"> (bottom)</w:t>
      </w:r>
      <w:r w:rsidR="000D4039" w:rsidRPr="00CB0A8D">
        <w:rPr>
          <w:rFonts w:ascii="Times" w:hAnsi="Times"/>
          <w:color w:val="000000" w:themeColor="text1"/>
          <w:sz w:val="24"/>
          <w:szCs w:val="24"/>
        </w:rPr>
        <w:t xml:space="preserve"> (*p&lt;0.05).</w:t>
      </w:r>
      <w:proofErr w:type="gramEnd"/>
      <w:r w:rsidR="002E7DD0" w:rsidRPr="00CB0A8D">
        <w:rPr>
          <w:rFonts w:ascii="Times" w:hAnsi="Times"/>
          <w:color w:val="000000" w:themeColor="text1"/>
          <w:sz w:val="24"/>
          <w:szCs w:val="24"/>
        </w:rPr>
        <w:t xml:space="preserve"> (B): </w:t>
      </w:r>
      <w:r w:rsidR="002A77E2" w:rsidRPr="00CB0A8D">
        <w:rPr>
          <w:rFonts w:ascii="Times" w:hAnsi="Times"/>
          <w:color w:val="000000" w:themeColor="text1"/>
          <w:sz w:val="24"/>
          <w:szCs w:val="24"/>
        </w:rPr>
        <w:t>M</w:t>
      </w:r>
      <w:r w:rsidR="00214DDE" w:rsidRPr="00CB0A8D">
        <w:rPr>
          <w:rFonts w:ascii="Times" w:hAnsi="Times"/>
          <w:color w:val="000000" w:themeColor="text1"/>
          <w:sz w:val="24"/>
          <w:szCs w:val="24"/>
        </w:rPr>
        <w:t xml:space="preserve">iR-137 does not affect the proliferation of SW480 cells. </w:t>
      </w:r>
    </w:p>
    <w:sectPr w:rsidR="007106E0" w:rsidRPr="00CB0A8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1D1C9" w14:textId="77777777" w:rsidR="005678C0" w:rsidRDefault="005678C0">
      <w:r>
        <w:separator/>
      </w:r>
    </w:p>
  </w:endnote>
  <w:endnote w:type="continuationSeparator" w:id="0">
    <w:p w14:paraId="54370A3A" w14:textId="77777777" w:rsidR="005678C0" w:rsidRDefault="0056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110B0" w14:textId="77777777" w:rsidR="005678C0" w:rsidRDefault="005678C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2C5B" w14:textId="77777777" w:rsidR="005678C0" w:rsidRDefault="005678C0">
      <w:r>
        <w:separator/>
      </w:r>
    </w:p>
  </w:footnote>
  <w:footnote w:type="continuationSeparator" w:id="0">
    <w:p w14:paraId="1DFDAF74" w14:textId="77777777" w:rsidR="005678C0" w:rsidRDefault="00567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C4BB" w14:textId="77777777" w:rsidR="005678C0" w:rsidRDefault="005678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6E0"/>
    <w:rsid w:val="000573D8"/>
    <w:rsid w:val="000D4039"/>
    <w:rsid w:val="00214DDE"/>
    <w:rsid w:val="002A77E2"/>
    <w:rsid w:val="002E7DD0"/>
    <w:rsid w:val="0041474A"/>
    <w:rsid w:val="00460817"/>
    <w:rsid w:val="005678C0"/>
    <w:rsid w:val="005B4217"/>
    <w:rsid w:val="00660876"/>
    <w:rsid w:val="007106E0"/>
    <w:rsid w:val="007B4C82"/>
    <w:rsid w:val="008840CC"/>
    <w:rsid w:val="00996BAE"/>
    <w:rsid w:val="00AE3D67"/>
    <w:rsid w:val="00B4368B"/>
    <w:rsid w:val="00C246F3"/>
    <w:rsid w:val="00CB0A8D"/>
    <w:rsid w:val="00E61597"/>
    <w:rsid w:val="00F41499"/>
    <w:rsid w:val="00F83E0B"/>
    <w:rsid w:val="00F86A2F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3EE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明朝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Macintosh Word</Application>
  <DocSecurity>0</DocSecurity>
  <Lines>12</Lines>
  <Paragraphs>3</Paragraphs>
  <ScaleCrop>false</ScaleCrop>
  <Company>Kyoto Univesity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Sakaguchi Masazumi</cp:lastModifiedBy>
  <cp:revision>3</cp:revision>
  <dcterms:created xsi:type="dcterms:W3CDTF">2015-12-23T06:27:00Z</dcterms:created>
  <dcterms:modified xsi:type="dcterms:W3CDTF">2015-12-23T06:28:00Z</dcterms:modified>
</cp:coreProperties>
</file>