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7B" w:rsidRDefault="00343D7B" w:rsidP="00343D7B">
      <w:pPr>
        <w:pStyle w:val="Paragraph"/>
        <w:spacing w:line="480" w:lineRule="auto"/>
        <w:ind w:firstLine="0"/>
        <w:rPr>
          <w:rFonts w:ascii="Arial" w:hAnsi="Arial"/>
          <w:b/>
        </w:rPr>
      </w:pPr>
      <w:r w:rsidRPr="006B147C">
        <w:rPr>
          <w:rFonts w:ascii="Arial" w:hAnsi="Arial"/>
          <w:b/>
        </w:rPr>
        <w:t xml:space="preserve">Supplementary </w:t>
      </w:r>
      <w:r>
        <w:rPr>
          <w:rFonts w:ascii="Arial" w:hAnsi="Arial"/>
          <w:b/>
        </w:rPr>
        <w:t>Data</w:t>
      </w:r>
    </w:p>
    <w:p w:rsidR="00343D7B" w:rsidRPr="008627FB" w:rsidRDefault="00343D7B" w:rsidP="00343D7B">
      <w:pPr>
        <w:pStyle w:val="Paragraph"/>
        <w:spacing w:line="480" w:lineRule="auto"/>
        <w:ind w:firstLine="0"/>
        <w:rPr>
          <w:rFonts w:ascii="Arial" w:hAnsi="Arial"/>
        </w:rPr>
      </w:pPr>
      <w:r>
        <w:rPr>
          <w:rFonts w:ascii="Arial" w:hAnsi="Arial"/>
        </w:rPr>
        <w:t>Supplementary Materials and Methods</w:t>
      </w:r>
    </w:p>
    <w:p w:rsidR="00343D7B" w:rsidRPr="006B147C" w:rsidRDefault="00343D7B" w:rsidP="00343D7B">
      <w:pPr>
        <w:pStyle w:val="Paragraph"/>
        <w:spacing w:line="480" w:lineRule="auto"/>
        <w:ind w:firstLine="0"/>
        <w:rPr>
          <w:rFonts w:ascii="Arial" w:hAnsi="Arial"/>
        </w:rPr>
      </w:pPr>
      <w:r>
        <w:rPr>
          <w:rFonts w:ascii="Arial" w:hAnsi="Arial"/>
        </w:rPr>
        <w:t>Supplementary Figure</w:t>
      </w:r>
      <w:r w:rsidRPr="006B147C">
        <w:rPr>
          <w:rFonts w:ascii="Arial" w:hAnsi="Arial"/>
        </w:rPr>
        <w:t xml:space="preserve"> S1. </w:t>
      </w:r>
      <w:r w:rsidRPr="006B147C">
        <w:rPr>
          <w:rFonts w:ascii="Arial" w:hAnsi="Arial"/>
          <w:bCs/>
          <w:i/>
        </w:rPr>
        <w:t xml:space="preserve">POSTN </w:t>
      </w:r>
      <w:r w:rsidRPr="006B147C">
        <w:rPr>
          <w:rFonts w:ascii="Arial" w:hAnsi="Arial"/>
          <w:bCs/>
        </w:rPr>
        <w:t>expression</w:t>
      </w:r>
      <w:r>
        <w:rPr>
          <w:rFonts w:ascii="Arial" w:hAnsi="Arial"/>
          <w:bCs/>
        </w:rPr>
        <w:t xml:space="preserve"> is TGF-</w:t>
      </w:r>
      <w:r>
        <w:rPr>
          <w:rFonts w:ascii="Arial" w:hAnsi="Arial" w:cs="Arial"/>
          <w:bCs/>
        </w:rPr>
        <w:t>β</w:t>
      </w:r>
      <w:r>
        <w:rPr>
          <w:rFonts w:ascii="Arial" w:hAnsi="Arial"/>
          <w:bCs/>
        </w:rPr>
        <w:t xml:space="preserve"> dependent</w:t>
      </w:r>
      <w:r w:rsidRPr="006B147C">
        <w:rPr>
          <w:rFonts w:ascii="Arial" w:hAnsi="Arial"/>
          <w:bCs/>
        </w:rPr>
        <w:t xml:space="preserve"> in M cells.</w:t>
      </w:r>
    </w:p>
    <w:p w:rsidR="00343D7B" w:rsidRPr="006B147C" w:rsidRDefault="00343D7B" w:rsidP="00343D7B">
      <w:pPr>
        <w:pStyle w:val="Paragraph"/>
        <w:spacing w:line="480" w:lineRule="auto"/>
        <w:ind w:firstLine="0"/>
        <w:rPr>
          <w:rFonts w:ascii="Arial" w:hAnsi="Arial"/>
        </w:rPr>
      </w:pPr>
      <w:r>
        <w:rPr>
          <w:rFonts w:ascii="Arial" w:hAnsi="Arial"/>
        </w:rPr>
        <w:t>Supplementary Figure</w:t>
      </w:r>
      <w:r w:rsidRPr="006B147C">
        <w:rPr>
          <w:rFonts w:ascii="Arial" w:hAnsi="Arial"/>
        </w:rPr>
        <w:t xml:space="preserve"> S2. Co-expression of POSTN and integrin α</w:t>
      </w:r>
      <w:r w:rsidRPr="006B147C">
        <w:rPr>
          <w:rFonts w:ascii="Arial" w:hAnsi="Arial"/>
          <w:vertAlign w:val="subscript"/>
        </w:rPr>
        <w:t>v</w:t>
      </w:r>
      <w:r w:rsidRPr="006B147C">
        <w:rPr>
          <w:rFonts w:ascii="Arial" w:hAnsi="Arial"/>
        </w:rPr>
        <w:t>β</w:t>
      </w:r>
      <w:r w:rsidRPr="006B147C">
        <w:rPr>
          <w:rFonts w:ascii="Arial" w:hAnsi="Arial"/>
          <w:vertAlign w:val="subscript"/>
        </w:rPr>
        <w:t>3</w:t>
      </w:r>
      <w:r w:rsidRPr="006B147C">
        <w:rPr>
          <w:rFonts w:ascii="Arial" w:hAnsi="Arial"/>
        </w:rPr>
        <w:t xml:space="preserve"> in basal-like breast cancer cell lines.</w:t>
      </w:r>
    </w:p>
    <w:p w:rsidR="00343D7B" w:rsidRPr="006B147C" w:rsidRDefault="00343D7B" w:rsidP="00343D7B">
      <w:pPr>
        <w:pStyle w:val="Paragraph"/>
        <w:spacing w:line="480" w:lineRule="auto"/>
        <w:ind w:firstLine="0"/>
        <w:rPr>
          <w:rFonts w:ascii="Arial" w:hAnsi="Arial"/>
        </w:rPr>
      </w:pPr>
      <w:r>
        <w:rPr>
          <w:rFonts w:ascii="Arial" w:hAnsi="Arial"/>
        </w:rPr>
        <w:t>Supplementary Figure</w:t>
      </w:r>
      <w:r w:rsidRPr="006B147C">
        <w:rPr>
          <w:rFonts w:ascii="Arial" w:hAnsi="Arial"/>
        </w:rPr>
        <w:t xml:space="preserve"> S3. Knockdown of POSTN and ITGB3 in SUM159 cells.</w:t>
      </w:r>
    </w:p>
    <w:p w:rsidR="00343D7B" w:rsidRDefault="00343D7B" w:rsidP="00343D7B">
      <w:pPr>
        <w:pStyle w:val="Paragraph"/>
        <w:spacing w:line="480" w:lineRule="auto"/>
        <w:ind w:firstLine="0"/>
        <w:rPr>
          <w:rFonts w:ascii="Arial" w:hAnsi="Arial"/>
        </w:rPr>
      </w:pPr>
      <w:r>
        <w:rPr>
          <w:rFonts w:ascii="Arial" w:hAnsi="Arial"/>
        </w:rPr>
        <w:t>Supplementary Figure</w:t>
      </w:r>
      <w:r w:rsidRPr="006B147C">
        <w:rPr>
          <w:rFonts w:ascii="Arial" w:hAnsi="Arial"/>
        </w:rPr>
        <w:t xml:space="preserve"> S4</w:t>
      </w:r>
      <w:r>
        <w:rPr>
          <w:rFonts w:ascii="Arial" w:hAnsi="Arial"/>
        </w:rPr>
        <w:t>. Functional validation of POSTN and ITGB3 function using additional shRNA hairpins.</w:t>
      </w:r>
    </w:p>
    <w:p w:rsidR="00343D7B" w:rsidRPr="006B147C" w:rsidRDefault="00343D7B" w:rsidP="00343D7B">
      <w:pPr>
        <w:pStyle w:val="Paragraph"/>
        <w:spacing w:line="480" w:lineRule="auto"/>
        <w:ind w:firstLine="0"/>
        <w:rPr>
          <w:rFonts w:ascii="Arial" w:hAnsi="Arial"/>
        </w:rPr>
      </w:pPr>
      <w:r>
        <w:rPr>
          <w:rFonts w:ascii="Arial" w:hAnsi="Arial"/>
        </w:rPr>
        <w:t>Supplementary Figure S5</w:t>
      </w:r>
      <w:r w:rsidRPr="006B147C">
        <w:rPr>
          <w:rFonts w:ascii="Arial" w:hAnsi="Arial"/>
        </w:rPr>
        <w:t>. Knockdown of POSTN in MIII cells impairs mammosphere formation.</w:t>
      </w:r>
    </w:p>
    <w:p w:rsidR="00343D7B" w:rsidRPr="006B147C" w:rsidRDefault="00343D7B" w:rsidP="00343D7B">
      <w:pPr>
        <w:pStyle w:val="Paragraph"/>
        <w:spacing w:line="480" w:lineRule="auto"/>
        <w:ind w:firstLine="0"/>
        <w:rPr>
          <w:rFonts w:ascii="Arial" w:hAnsi="Arial"/>
        </w:rPr>
      </w:pPr>
      <w:r>
        <w:rPr>
          <w:rFonts w:ascii="Arial" w:hAnsi="Arial"/>
        </w:rPr>
        <w:t>Supplementary Figure S6</w:t>
      </w:r>
      <w:r w:rsidRPr="006B147C">
        <w:rPr>
          <w:rFonts w:ascii="Arial" w:hAnsi="Arial"/>
        </w:rPr>
        <w:t>. Gene sets repressed in SUM159 shPN cells.</w:t>
      </w:r>
    </w:p>
    <w:p w:rsidR="00343D7B" w:rsidRPr="006B147C" w:rsidRDefault="00343D7B" w:rsidP="00343D7B">
      <w:pPr>
        <w:pStyle w:val="Paragraph"/>
        <w:spacing w:line="480" w:lineRule="auto"/>
        <w:ind w:firstLine="0"/>
        <w:rPr>
          <w:rFonts w:ascii="Arial" w:hAnsi="Arial"/>
        </w:rPr>
      </w:pPr>
      <w:r>
        <w:rPr>
          <w:rFonts w:ascii="Arial" w:hAnsi="Arial"/>
        </w:rPr>
        <w:t>Supplementary Figure S7</w:t>
      </w:r>
      <w:r w:rsidRPr="006B147C">
        <w:rPr>
          <w:rFonts w:ascii="Arial" w:hAnsi="Arial"/>
        </w:rPr>
        <w:t xml:space="preserve">. </w:t>
      </w:r>
      <w:r>
        <w:rPr>
          <w:rFonts w:ascii="Arial" w:hAnsi="Arial"/>
        </w:rPr>
        <w:t>Conditioned media rescue of the ALDH subpopulation and i</w:t>
      </w:r>
      <w:r w:rsidRPr="006B147C">
        <w:rPr>
          <w:rFonts w:ascii="Arial" w:hAnsi="Arial"/>
        </w:rPr>
        <w:t>nhibition of ERK signaling in SUM159 cells.</w:t>
      </w:r>
    </w:p>
    <w:p w:rsidR="00343D7B" w:rsidRDefault="00343D7B" w:rsidP="00343D7B">
      <w:pPr>
        <w:pStyle w:val="Paragraph"/>
        <w:spacing w:line="480" w:lineRule="auto"/>
        <w:ind w:firstLine="0"/>
        <w:rPr>
          <w:rFonts w:ascii="Arial" w:hAnsi="Arial"/>
        </w:rPr>
      </w:pPr>
      <w:r>
        <w:rPr>
          <w:rFonts w:ascii="Arial" w:hAnsi="Arial"/>
        </w:rPr>
        <w:t>Supplementary Figure S8</w:t>
      </w:r>
      <w:r w:rsidRPr="006B147C">
        <w:rPr>
          <w:rFonts w:ascii="Arial" w:hAnsi="Arial"/>
        </w:rPr>
        <w:t>. POSTN regulates cancer stem cell phenotypes in Hs578T cells.</w:t>
      </w:r>
    </w:p>
    <w:p w:rsidR="00343D7B" w:rsidRDefault="00343D7B" w:rsidP="00343D7B">
      <w:pPr>
        <w:pStyle w:val="Paragraph"/>
        <w:spacing w:line="480" w:lineRule="auto"/>
        <w:ind w:firstLine="0"/>
        <w:rPr>
          <w:rFonts w:ascii="Arial" w:hAnsi="Arial"/>
        </w:rPr>
      </w:pPr>
      <w:r>
        <w:rPr>
          <w:rFonts w:ascii="Arial" w:hAnsi="Arial"/>
        </w:rPr>
        <w:t>Supplementary Figure S9</w:t>
      </w:r>
      <w:r w:rsidRPr="006B147C">
        <w:rPr>
          <w:rFonts w:ascii="Arial" w:hAnsi="Arial"/>
        </w:rPr>
        <w:t>. POSTN expression in breast tumors.</w:t>
      </w:r>
    </w:p>
    <w:p w:rsidR="00343D7B" w:rsidRDefault="00343D7B" w:rsidP="00343D7B">
      <w:pPr>
        <w:pStyle w:val="Paragraph"/>
        <w:spacing w:line="480" w:lineRule="auto"/>
        <w:ind w:firstLine="0"/>
        <w:rPr>
          <w:rFonts w:ascii="Arial" w:hAnsi="Arial"/>
        </w:rPr>
      </w:pPr>
    </w:p>
    <w:p w:rsidR="00343D7B" w:rsidRDefault="00343D7B" w:rsidP="00343D7B">
      <w:pPr>
        <w:pStyle w:val="Paragraph"/>
        <w:spacing w:line="480" w:lineRule="auto"/>
        <w:ind w:firstLine="0"/>
        <w:rPr>
          <w:rFonts w:ascii="Arial" w:hAnsi="Arial"/>
          <w:b/>
        </w:rPr>
      </w:pPr>
      <w:r>
        <w:rPr>
          <w:rFonts w:ascii="Arial" w:hAnsi="Arial"/>
          <w:b/>
        </w:rPr>
        <w:t>Supplementary Material and Methods</w:t>
      </w:r>
    </w:p>
    <w:p w:rsidR="00343D7B" w:rsidRPr="00816065" w:rsidRDefault="00343D7B" w:rsidP="00343D7B">
      <w:pPr>
        <w:pStyle w:val="Paragraph"/>
        <w:spacing w:line="480" w:lineRule="auto"/>
        <w:ind w:firstLine="0"/>
        <w:rPr>
          <w:rFonts w:ascii="Arial" w:hAnsi="Arial"/>
          <w:i/>
        </w:rPr>
      </w:pPr>
      <w:r>
        <w:rPr>
          <w:rFonts w:ascii="Arial" w:hAnsi="Arial"/>
          <w:i/>
        </w:rPr>
        <w:t>Antibodies and Reagents</w:t>
      </w:r>
    </w:p>
    <w:p w:rsidR="00343D7B" w:rsidRDefault="00343D7B" w:rsidP="00343D7B">
      <w:pPr>
        <w:spacing w:line="480" w:lineRule="auto"/>
        <w:rPr>
          <w:rFonts w:ascii="Arial" w:hAnsi="Arial"/>
          <w:sz w:val="24"/>
        </w:rPr>
      </w:pPr>
      <w:r w:rsidRPr="00F60F74">
        <w:rPr>
          <w:rFonts w:ascii="Arial" w:hAnsi="Arial"/>
          <w:sz w:val="24"/>
        </w:rPr>
        <w:t>Antibodies used for western blot analysis included periostin (Abcam and BioVendor), phospho-STAT3, total STAT3, phospho-ERK1/2, total ERK</w:t>
      </w:r>
      <w:r>
        <w:rPr>
          <w:rFonts w:ascii="Arial" w:hAnsi="Arial"/>
          <w:sz w:val="24"/>
        </w:rPr>
        <w:t xml:space="preserve">, vimentin </w:t>
      </w:r>
      <w:r w:rsidRPr="00F60F74">
        <w:rPr>
          <w:rFonts w:ascii="Arial" w:hAnsi="Arial"/>
          <w:sz w:val="24"/>
        </w:rPr>
        <w:t>(Cell Signaling Technology)</w:t>
      </w:r>
      <w:r>
        <w:rPr>
          <w:rFonts w:ascii="Arial" w:hAnsi="Arial"/>
          <w:sz w:val="24"/>
        </w:rPr>
        <w:t>, E-cadherin, N-cadherin (BD Biosciences)</w:t>
      </w:r>
      <w:r w:rsidRPr="00F60F74">
        <w:rPr>
          <w:rFonts w:ascii="Arial" w:hAnsi="Arial"/>
          <w:sz w:val="24"/>
        </w:rPr>
        <w:t xml:space="preserve"> and actin (Sigma-Aldrich).  </w:t>
      </w:r>
      <w:r w:rsidRPr="00F60F74">
        <w:rPr>
          <w:rFonts w:ascii="Arial" w:hAnsi="Arial"/>
          <w:sz w:val="24"/>
        </w:rPr>
        <w:lastRenderedPageBreak/>
        <w:t>Biotinylated anti-integrin α</w:t>
      </w:r>
      <w:r w:rsidRPr="00F60F74">
        <w:rPr>
          <w:rFonts w:ascii="Arial" w:hAnsi="Arial"/>
          <w:sz w:val="24"/>
          <w:vertAlign w:val="subscript"/>
        </w:rPr>
        <w:t>v</w:t>
      </w:r>
      <w:r w:rsidRPr="00F60F74">
        <w:rPr>
          <w:rFonts w:ascii="Arial" w:hAnsi="Arial"/>
          <w:sz w:val="24"/>
        </w:rPr>
        <w:t>β</w:t>
      </w:r>
      <w:r w:rsidRPr="00F60F74">
        <w:rPr>
          <w:rFonts w:ascii="Arial" w:hAnsi="Arial"/>
          <w:sz w:val="24"/>
          <w:vertAlign w:val="subscript"/>
        </w:rPr>
        <w:t>3</w:t>
      </w:r>
      <w:r w:rsidRPr="00F60F74">
        <w:rPr>
          <w:rFonts w:ascii="Arial" w:hAnsi="Arial"/>
          <w:sz w:val="24"/>
        </w:rPr>
        <w:t xml:space="preserve"> (LM609, Millipore), CD61-PE (eBioscience), CD44-APC and CD24-PE (BD Biosciences) were used at the manufacturer’s recommended concentration for flow cytometry.  PD184352 and U0126 (Sigma-Aldrich), non-competitive MEK inhibitors, were dissolved in DMSO and used at a concentration of 10 μM and 2</w:t>
      </w:r>
      <w:r>
        <w:rPr>
          <w:rFonts w:ascii="Arial" w:hAnsi="Arial"/>
          <w:sz w:val="24"/>
        </w:rPr>
        <w:t>5 μM, respectively</w:t>
      </w:r>
      <w:r w:rsidRPr="00F60F74">
        <w:rPr>
          <w:rFonts w:ascii="Arial" w:hAnsi="Arial"/>
          <w:sz w:val="24"/>
        </w:rPr>
        <w:t>.  TGF-β1 (R&amp;D Systems) was reconstituted in 4 mM HCl containing 0.1% BSA and cells were exposed to a final concentration of 1</w:t>
      </w:r>
      <w:r>
        <w:rPr>
          <w:rFonts w:ascii="Arial" w:hAnsi="Arial"/>
          <w:sz w:val="24"/>
        </w:rPr>
        <w:t>0 ng/ml</w:t>
      </w:r>
      <w:r w:rsidRPr="00F60F74">
        <w:rPr>
          <w:rFonts w:ascii="Arial" w:hAnsi="Arial"/>
          <w:sz w:val="24"/>
        </w:rPr>
        <w:t xml:space="preserve">.  TNF-α was dissolved in DMSO and used at a final concentration of 10 ng/ml.  Cell </w:t>
      </w:r>
      <w:r>
        <w:rPr>
          <w:rFonts w:ascii="Arial" w:hAnsi="Arial"/>
          <w:sz w:val="24"/>
        </w:rPr>
        <w:t xml:space="preserve">proliferation was measured by seeding a defined number of cells on day 0 and then assessing the number of viable cells using trypan blue exclusion staining after 72 hours of growth.  This increase in cell number was normalized to control cells.  Apoptosis was measured using an Annexin-V-PI staining kit (eBioscience).     </w:t>
      </w:r>
    </w:p>
    <w:p w:rsidR="00343D7B" w:rsidRPr="00816065" w:rsidRDefault="00343D7B" w:rsidP="00343D7B">
      <w:pPr>
        <w:spacing w:line="480" w:lineRule="auto"/>
        <w:rPr>
          <w:rFonts w:ascii="Arial" w:hAnsi="Arial"/>
          <w:i/>
          <w:sz w:val="24"/>
        </w:rPr>
      </w:pPr>
      <w:r>
        <w:rPr>
          <w:rFonts w:ascii="Arial" w:hAnsi="Arial"/>
          <w:i/>
          <w:sz w:val="24"/>
        </w:rPr>
        <w:t>shRNA Sequences</w:t>
      </w:r>
    </w:p>
    <w:p w:rsidR="00343D7B" w:rsidRDefault="00343D7B" w:rsidP="00343D7B">
      <w:pPr>
        <w:spacing w:line="480" w:lineRule="auto"/>
        <w:rPr>
          <w:rFonts w:ascii="Arial" w:hAnsi="Arial"/>
          <w:sz w:val="24"/>
        </w:rPr>
      </w:pPr>
      <w:r w:rsidRPr="00F60F74">
        <w:rPr>
          <w:rFonts w:ascii="Arial" w:hAnsi="Arial"/>
          <w:sz w:val="24"/>
        </w:rPr>
        <w:t xml:space="preserve">The following sequences were used to construct the shRNA plasmids in the pLKO.1.puro backbone </w:t>
      </w:r>
      <w:r w:rsidRPr="00F60F74">
        <w:rPr>
          <w:rFonts w:ascii="Arial" w:hAnsi="Arial"/>
          <w:sz w:val="24"/>
        </w:rPr>
        <w:fldChar w:fldCharType="begin"/>
      </w:r>
      <w:r>
        <w:rPr>
          <w:rFonts w:ascii="Arial" w:hAnsi="Arial"/>
          <w:sz w:val="24"/>
        </w:rPr>
        <w:instrText xml:space="preserve"> ADDIN EN.CITE &lt;EndNote&gt;&lt;Cite&gt;&lt;Author&gt;Stewart&lt;/Author&gt;&lt;Year&gt;2003&lt;/Year&gt;&lt;RecNum&gt;105&lt;/RecNum&gt;&lt;DisplayText&gt;(54)&lt;/DisplayText&gt;&lt;record&gt;&lt;rec-number&gt;105&lt;/rec-number&gt;&lt;foreign-keys&gt;&lt;key app="EN" db-id="0prs2aa2u29t94e9vfkxtww6psx9dvzwvvsx"&gt;105&lt;/key&gt;&lt;/foreign-keys&gt;&lt;ref-type name="Journal Article"&gt;17&lt;/ref-type&gt;&lt;contributors&gt;&lt;authors&gt;&lt;author&gt;Stewart, S. A.&lt;/author&gt;&lt;author&gt;Dykxhoorn, D. M.&lt;/author&gt;&lt;author&gt;Palliser, D.&lt;/author&gt;&lt;author&gt;Mizuno, H.&lt;/author&gt;&lt;author&gt;Yu, E. Y.&lt;/author&gt;&lt;author&gt;An, D. S.&lt;/author&gt;&lt;author&gt;Sabatini, D. M.&lt;/author&gt;&lt;author&gt;Chen, I. S.&lt;/author&gt;&lt;author&gt;Hahn, W. C.&lt;/author&gt;&lt;author&gt;Sharp, P. A.&lt;/author&gt;&lt;author&gt;Weinberg, R. A.&lt;/author&gt;&lt;author&gt;Novina, C. D.&lt;/author&gt;&lt;/authors&gt;&lt;/contributors&gt;&lt;auth-address&gt;Whitehead Institute for Biomedical Research, Cambridge, Massachusetts 02142, USA. sstewart@wi.mit.edu&lt;/auth-address&gt;&lt;titles&gt;&lt;title&gt;Lentivirus-delivered stable gene silencing by RNAi in primary cells&lt;/title&gt;&lt;secondary-title&gt;RNA&lt;/secondary-title&gt;&lt;/titles&gt;&lt;periodical&gt;&lt;full-title&gt;RNA&lt;/full-title&gt;&lt;/periodical&gt;&lt;pages&gt;493-501&lt;/pages&gt;&lt;volume&gt;9&lt;/volume&gt;&lt;number&gt;4&lt;/number&gt;&lt;edition&gt;2003/03/22&lt;/edition&gt;&lt;keywords&gt;&lt;keyword&gt;Dendritic Cells&lt;/keyword&gt;&lt;keyword&gt;Genes, Reporter&lt;/keyword&gt;&lt;keyword&gt;HeLa Cells&lt;/keyword&gt;&lt;keyword&gt;Humans&lt;/keyword&gt;&lt;keyword&gt;Lentivirus/*genetics/*physiology&lt;/keyword&gt;&lt;keyword&gt;RNA Interference/*physiology&lt;/keyword&gt;&lt;/keywords&gt;&lt;dates&gt;&lt;year&gt;2003&lt;/year&gt;&lt;pub-dates&gt;&lt;date&gt;Apr&lt;/date&gt;&lt;/pub-dates&gt;&lt;/dates&gt;&lt;isbn&gt;1355-8382 (Print)&amp;#xD;1355-8382 (Linking)&lt;/isbn&gt;&lt;accession-num&gt;12649500&lt;/accession-num&gt;&lt;work-type&gt;In Vitro&amp;#xD;Research Support, Non-U.S. Gov&amp;apos;t&amp;#xD;Research Support, U.S. Gov&amp;apos;t, P.H.S.&lt;/work-type&gt;&lt;urls&gt;&lt;related-urls&gt;&lt;url&gt;http://www.ncbi.nlm.nih.gov/pubmed/12649500&lt;/url&gt;&lt;/related-urls&gt;&lt;/urls&gt;&lt;custom2&gt;1370415&lt;/custom2&gt;&lt;language&gt;eng&lt;/language&gt;&lt;/record&gt;&lt;/Cite&gt;&lt;/EndNote&gt;</w:instrText>
      </w:r>
      <w:r w:rsidRPr="00F60F74">
        <w:rPr>
          <w:rFonts w:ascii="Arial" w:hAnsi="Arial"/>
          <w:sz w:val="24"/>
        </w:rPr>
        <w:fldChar w:fldCharType="separate"/>
      </w:r>
      <w:r>
        <w:rPr>
          <w:rFonts w:ascii="Arial" w:hAnsi="Arial"/>
          <w:noProof/>
          <w:sz w:val="24"/>
        </w:rPr>
        <w:t>(55)</w:t>
      </w:r>
      <w:r w:rsidRPr="00F60F74">
        <w:rPr>
          <w:rFonts w:ascii="Arial" w:hAnsi="Arial"/>
          <w:sz w:val="24"/>
        </w:rPr>
        <w:fldChar w:fldCharType="end"/>
      </w:r>
      <w:r w:rsidRPr="00F60F74">
        <w:rPr>
          <w:rFonts w:ascii="Arial" w:hAnsi="Arial"/>
          <w:sz w:val="24"/>
        </w:rPr>
        <w:t xml:space="preserve">: </w:t>
      </w:r>
    </w:p>
    <w:p w:rsidR="00343D7B" w:rsidRDefault="00343D7B" w:rsidP="00343D7B">
      <w:pPr>
        <w:spacing w:line="480" w:lineRule="auto"/>
        <w:rPr>
          <w:rFonts w:ascii="Arial" w:hAnsi="Arial"/>
          <w:sz w:val="24"/>
        </w:rPr>
      </w:pPr>
      <w:r w:rsidRPr="00F60F74">
        <w:rPr>
          <w:rFonts w:ascii="Arial" w:hAnsi="Arial"/>
          <w:i/>
          <w:sz w:val="24"/>
        </w:rPr>
        <w:t>POSTN</w:t>
      </w:r>
      <w:r w:rsidRPr="00F60F74">
        <w:rPr>
          <w:rFonts w:ascii="Arial" w:hAnsi="Arial"/>
          <w:sz w:val="24"/>
        </w:rPr>
        <w:t xml:space="preserve"> </w:t>
      </w:r>
      <w:r>
        <w:rPr>
          <w:rFonts w:ascii="Arial" w:hAnsi="Arial"/>
          <w:sz w:val="24"/>
        </w:rPr>
        <w:t xml:space="preserve">sh1 </w:t>
      </w:r>
      <w:r w:rsidRPr="00F60F74">
        <w:rPr>
          <w:rFonts w:ascii="Arial" w:hAnsi="Arial"/>
          <w:sz w:val="24"/>
        </w:rPr>
        <w:t xml:space="preserve">sense 5’ – </w:t>
      </w:r>
      <w:r w:rsidRPr="00F60F74">
        <w:rPr>
          <w:rFonts w:ascii="Arial" w:eastAsia="Cambria" w:hAnsi="Arial"/>
          <w:sz w:val="24"/>
        </w:rPr>
        <w:t>GCTTGGGACAACTTGGATTCT</w:t>
      </w:r>
      <w:r>
        <w:rPr>
          <w:rFonts w:ascii="Arial" w:hAnsi="Arial"/>
          <w:sz w:val="24"/>
        </w:rPr>
        <w:t xml:space="preserve"> – 3’</w:t>
      </w:r>
      <w:r w:rsidRPr="00F60F74">
        <w:rPr>
          <w:rFonts w:ascii="Arial" w:hAnsi="Arial"/>
          <w:sz w:val="24"/>
        </w:rPr>
        <w:t xml:space="preserve"> </w:t>
      </w:r>
    </w:p>
    <w:p w:rsidR="00343D7B" w:rsidRDefault="00343D7B" w:rsidP="00343D7B">
      <w:pPr>
        <w:spacing w:line="480" w:lineRule="auto"/>
        <w:rPr>
          <w:rFonts w:ascii="Arial" w:hAnsi="Arial"/>
          <w:sz w:val="24"/>
        </w:rPr>
      </w:pPr>
      <w:r>
        <w:rPr>
          <w:rFonts w:ascii="Arial" w:hAnsi="Arial"/>
          <w:i/>
          <w:sz w:val="24"/>
        </w:rPr>
        <w:t xml:space="preserve">POSTN </w:t>
      </w:r>
      <w:r>
        <w:rPr>
          <w:rFonts w:ascii="Arial" w:hAnsi="Arial"/>
          <w:sz w:val="24"/>
        </w:rPr>
        <w:t xml:space="preserve">sh1 </w:t>
      </w:r>
      <w:r w:rsidRPr="00F60F74">
        <w:rPr>
          <w:rFonts w:ascii="Arial" w:hAnsi="Arial"/>
          <w:sz w:val="24"/>
        </w:rPr>
        <w:t xml:space="preserve">antisense 5’ – </w:t>
      </w:r>
      <w:r w:rsidRPr="00F60F74">
        <w:rPr>
          <w:rFonts w:ascii="Arial" w:eastAsia="Cambria" w:hAnsi="Arial"/>
          <w:sz w:val="24"/>
        </w:rPr>
        <w:t>AGAATCCAAGTTGTCCCAAGC</w:t>
      </w:r>
      <w:r>
        <w:rPr>
          <w:rFonts w:ascii="Arial" w:hAnsi="Arial"/>
          <w:sz w:val="24"/>
        </w:rPr>
        <w:t xml:space="preserve"> – 3’ </w:t>
      </w:r>
    </w:p>
    <w:p w:rsidR="00343D7B" w:rsidRDefault="00343D7B" w:rsidP="00343D7B">
      <w:pPr>
        <w:spacing w:line="480" w:lineRule="auto"/>
        <w:rPr>
          <w:rFonts w:ascii="Arial" w:hAnsi="Arial"/>
          <w:sz w:val="24"/>
        </w:rPr>
      </w:pPr>
      <w:r>
        <w:rPr>
          <w:rFonts w:ascii="Arial" w:hAnsi="Arial"/>
          <w:i/>
          <w:sz w:val="24"/>
        </w:rPr>
        <w:t xml:space="preserve">POSTN </w:t>
      </w:r>
      <w:r>
        <w:rPr>
          <w:rFonts w:ascii="Arial" w:hAnsi="Arial"/>
          <w:sz w:val="24"/>
        </w:rPr>
        <w:t>sh2 sense 5’ – G</w:t>
      </w:r>
      <w:r w:rsidRPr="009639AE">
        <w:rPr>
          <w:rFonts w:ascii="Arial" w:hAnsi="Arial"/>
          <w:sz w:val="24"/>
        </w:rPr>
        <w:t>GGAGTAAGCAAGGGAGAAAC</w:t>
      </w:r>
      <w:r>
        <w:rPr>
          <w:rFonts w:ascii="Arial" w:hAnsi="Arial"/>
          <w:sz w:val="24"/>
        </w:rPr>
        <w:t xml:space="preserve"> – 3’ </w:t>
      </w:r>
    </w:p>
    <w:p w:rsidR="00343D7B" w:rsidRDefault="00343D7B" w:rsidP="00343D7B">
      <w:pPr>
        <w:spacing w:line="480" w:lineRule="auto"/>
        <w:rPr>
          <w:rFonts w:ascii="Arial" w:hAnsi="Arial"/>
          <w:sz w:val="24"/>
        </w:rPr>
      </w:pPr>
      <w:r>
        <w:rPr>
          <w:rFonts w:ascii="Arial" w:hAnsi="Arial"/>
          <w:i/>
          <w:sz w:val="24"/>
        </w:rPr>
        <w:t xml:space="preserve">POSTN </w:t>
      </w:r>
      <w:r>
        <w:rPr>
          <w:rFonts w:ascii="Arial" w:hAnsi="Arial"/>
          <w:sz w:val="24"/>
        </w:rPr>
        <w:t>sh2 antisense 5’ – GTTTCTCCCTTGCTTACTCCC – 3’</w:t>
      </w:r>
      <w:r w:rsidRPr="00F60F74">
        <w:rPr>
          <w:rFonts w:ascii="Arial" w:hAnsi="Arial"/>
          <w:sz w:val="24"/>
        </w:rPr>
        <w:t xml:space="preserve"> </w:t>
      </w:r>
    </w:p>
    <w:p w:rsidR="00343D7B" w:rsidRDefault="00343D7B" w:rsidP="00343D7B">
      <w:pPr>
        <w:spacing w:line="480" w:lineRule="auto"/>
        <w:rPr>
          <w:rFonts w:ascii="Arial" w:hAnsi="Arial"/>
          <w:sz w:val="24"/>
        </w:rPr>
      </w:pPr>
      <w:r w:rsidRPr="00F60F74">
        <w:rPr>
          <w:rFonts w:ascii="Arial" w:hAnsi="Arial"/>
          <w:i/>
          <w:sz w:val="24"/>
        </w:rPr>
        <w:t>ITGB3</w:t>
      </w:r>
      <w:r w:rsidRPr="00F60F74">
        <w:rPr>
          <w:rFonts w:ascii="Arial" w:hAnsi="Arial"/>
          <w:sz w:val="24"/>
        </w:rPr>
        <w:t xml:space="preserve"> </w:t>
      </w:r>
      <w:r>
        <w:rPr>
          <w:rFonts w:ascii="Arial" w:hAnsi="Arial"/>
          <w:sz w:val="24"/>
        </w:rPr>
        <w:t xml:space="preserve">sh1 </w:t>
      </w:r>
      <w:r w:rsidRPr="00F60F74">
        <w:rPr>
          <w:rFonts w:ascii="Arial" w:hAnsi="Arial"/>
          <w:sz w:val="24"/>
        </w:rPr>
        <w:t xml:space="preserve">sense </w:t>
      </w:r>
      <w:r>
        <w:rPr>
          <w:rFonts w:ascii="Arial" w:hAnsi="Arial"/>
          <w:sz w:val="24"/>
        </w:rPr>
        <w:t>5’ – GCTCATTGTTGATGCTTATGG – 3’</w:t>
      </w:r>
      <w:r w:rsidRPr="00F60F74">
        <w:rPr>
          <w:rFonts w:ascii="Arial" w:hAnsi="Arial"/>
          <w:sz w:val="24"/>
        </w:rPr>
        <w:t xml:space="preserve"> </w:t>
      </w:r>
    </w:p>
    <w:p w:rsidR="00343D7B" w:rsidRDefault="00343D7B" w:rsidP="00343D7B">
      <w:pPr>
        <w:spacing w:line="480" w:lineRule="auto"/>
        <w:rPr>
          <w:rFonts w:ascii="Arial" w:hAnsi="Arial"/>
          <w:sz w:val="24"/>
        </w:rPr>
      </w:pPr>
      <w:r>
        <w:rPr>
          <w:rFonts w:ascii="Arial" w:hAnsi="Arial"/>
          <w:i/>
          <w:sz w:val="24"/>
        </w:rPr>
        <w:t xml:space="preserve">ITGB3 </w:t>
      </w:r>
      <w:r>
        <w:rPr>
          <w:rFonts w:ascii="Arial" w:hAnsi="Arial"/>
          <w:sz w:val="24"/>
        </w:rPr>
        <w:t xml:space="preserve">sh1 </w:t>
      </w:r>
      <w:r w:rsidRPr="00F60F74">
        <w:rPr>
          <w:rFonts w:ascii="Arial" w:hAnsi="Arial"/>
          <w:sz w:val="24"/>
        </w:rPr>
        <w:t xml:space="preserve">antisense </w:t>
      </w:r>
      <w:r>
        <w:rPr>
          <w:rFonts w:ascii="Arial" w:hAnsi="Arial"/>
          <w:sz w:val="24"/>
        </w:rPr>
        <w:t xml:space="preserve">5’ – CCATAAGCATCAACAATGAGC – 3’ </w:t>
      </w:r>
    </w:p>
    <w:p w:rsidR="00343D7B" w:rsidRDefault="00343D7B" w:rsidP="00343D7B">
      <w:pPr>
        <w:spacing w:line="480" w:lineRule="auto"/>
        <w:rPr>
          <w:rFonts w:ascii="Arial" w:hAnsi="Arial"/>
          <w:sz w:val="24"/>
        </w:rPr>
      </w:pPr>
      <w:r>
        <w:rPr>
          <w:rFonts w:ascii="Arial" w:hAnsi="Arial"/>
          <w:i/>
          <w:sz w:val="24"/>
        </w:rPr>
        <w:t>ITGB3</w:t>
      </w:r>
      <w:r>
        <w:rPr>
          <w:rFonts w:ascii="Arial" w:hAnsi="Arial"/>
          <w:sz w:val="24"/>
        </w:rPr>
        <w:t xml:space="preserve"> sh2 sense 5’ – C</w:t>
      </w:r>
      <w:r w:rsidRPr="008A5146">
        <w:rPr>
          <w:rFonts w:ascii="Arial" w:hAnsi="Arial"/>
          <w:sz w:val="24"/>
        </w:rPr>
        <w:t>CTTAGCCTTTGTCCCAGAAT</w:t>
      </w:r>
      <w:r>
        <w:rPr>
          <w:rFonts w:ascii="Arial" w:hAnsi="Arial"/>
          <w:sz w:val="24"/>
        </w:rPr>
        <w:t xml:space="preserve"> – 3’ </w:t>
      </w:r>
    </w:p>
    <w:p w:rsidR="00343D7B" w:rsidRDefault="00343D7B" w:rsidP="00343D7B">
      <w:pPr>
        <w:spacing w:line="480" w:lineRule="auto"/>
        <w:rPr>
          <w:rFonts w:ascii="Arial" w:hAnsi="Arial"/>
          <w:sz w:val="24"/>
        </w:rPr>
      </w:pPr>
      <w:r>
        <w:rPr>
          <w:rFonts w:ascii="Arial" w:hAnsi="Arial"/>
          <w:i/>
          <w:sz w:val="24"/>
        </w:rPr>
        <w:t xml:space="preserve">ITGB3 </w:t>
      </w:r>
      <w:r>
        <w:rPr>
          <w:rFonts w:ascii="Arial" w:hAnsi="Arial"/>
          <w:sz w:val="24"/>
        </w:rPr>
        <w:t xml:space="preserve">sh2 antisense 5’ – ATTCTGGGACAAAGGCTAAGG – 3’ </w:t>
      </w:r>
    </w:p>
    <w:p w:rsidR="00343D7B" w:rsidRPr="00580E7C" w:rsidRDefault="00343D7B" w:rsidP="00343D7B">
      <w:pPr>
        <w:spacing w:line="480" w:lineRule="auto"/>
        <w:rPr>
          <w:sz w:val="24"/>
        </w:rPr>
      </w:pPr>
      <w:r w:rsidRPr="00F60F74">
        <w:rPr>
          <w:rFonts w:ascii="Arial" w:hAnsi="Arial"/>
          <w:sz w:val="24"/>
        </w:rPr>
        <w:t xml:space="preserve">Plasmids were sequenced prior to transduction and knockdown was confirmed at both the RNA and protein level.  </w:t>
      </w:r>
    </w:p>
    <w:p w:rsidR="00343D7B" w:rsidRDefault="00343D7B" w:rsidP="00343D7B">
      <w:pPr>
        <w:pStyle w:val="Paragraph"/>
        <w:spacing w:line="480" w:lineRule="auto"/>
        <w:ind w:firstLine="0"/>
        <w:rPr>
          <w:rFonts w:ascii="Arial" w:hAnsi="Arial"/>
          <w:i/>
        </w:rPr>
      </w:pPr>
    </w:p>
    <w:p w:rsidR="00343D7B" w:rsidRDefault="00343D7B" w:rsidP="00343D7B">
      <w:pPr>
        <w:pStyle w:val="Paragraph"/>
        <w:spacing w:line="480" w:lineRule="auto"/>
        <w:ind w:firstLine="0"/>
        <w:rPr>
          <w:rFonts w:ascii="Arial" w:hAnsi="Arial"/>
          <w:i/>
        </w:rPr>
      </w:pPr>
      <w:bookmarkStart w:id="0" w:name="_GoBack"/>
      <w:bookmarkEnd w:id="0"/>
      <w:r>
        <w:rPr>
          <w:rFonts w:ascii="Arial" w:hAnsi="Arial"/>
          <w:i/>
        </w:rPr>
        <w:t>Primers</w:t>
      </w:r>
    </w:p>
    <w:p w:rsidR="00343D7B" w:rsidRDefault="00343D7B" w:rsidP="00343D7B">
      <w:pPr>
        <w:spacing w:line="480" w:lineRule="auto"/>
        <w:rPr>
          <w:rFonts w:ascii="Arial" w:hAnsi="Arial"/>
          <w:sz w:val="24"/>
        </w:rPr>
      </w:pPr>
      <w:r w:rsidRPr="00F60F74">
        <w:rPr>
          <w:rFonts w:ascii="Arial" w:hAnsi="Arial"/>
          <w:sz w:val="24"/>
        </w:rPr>
        <w:t xml:space="preserve">The following primers were used: </w:t>
      </w:r>
    </w:p>
    <w:p w:rsidR="00343D7B" w:rsidRDefault="00343D7B" w:rsidP="00343D7B">
      <w:pPr>
        <w:spacing w:line="480" w:lineRule="auto"/>
        <w:rPr>
          <w:rFonts w:ascii="Arial" w:hAnsi="Arial"/>
          <w:sz w:val="24"/>
        </w:rPr>
      </w:pPr>
      <w:r w:rsidRPr="00F60F74">
        <w:rPr>
          <w:rFonts w:ascii="Arial" w:hAnsi="Arial"/>
          <w:i/>
          <w:sz w:val="24"/>
        </w:rPr>
        <w:t>POSTN</w:t>
      </w:r>
      <w:r>
        <w:rPr>
          <w:rFonts w:ascii="Arial" w:hAnsi="Arial"/>
          <w:i/>
          <w:sz w:val="24"/>
        </w:rPr>
        <w:t xml:space="preserve"> </w:t>
      </w:r>
      <w:r w:rsidRPr="00F60F74">
        <w:rPr>
          <w:rFonts w:ascii="Arial" w:hAnsi="Arial"/>
          <w:sz w:val="24"/>
        </w:rPr>
        <w:t>forward</w:t>
      </w:r>
      <w:r>
        <w:rPr>
          <w:rFonts w:ascii="Arial" w:hAnsi="Arial"/>
          <w:sz w:val="24"/>
        </w:rPr>
        <w:t xml:space="preserve"> 5’ – TACAACGGGCAAATACTGGA – 3’</w:t>
      </w:r>
      <w:r w:rsidRPr="00F60F74">
        <w:rPr>
          <w:rFonts w:ascii="Arial" w:hAnsi="Arial"/>
          <w:sz w:val="24"/>
        </w:rPr>
        <w:t xml:space="preserve"> </w:t>
      </w:r>
    </w:p>
    <w:p w:rsidR="00343D7B" w:rsidRDefault="00343D7B" w:rsidP="00343D7B">
      <w:pPr>
        <w:spacing w:line="480" w:lineRule="auto"/>
        <w:rPr>
          <w:rFonts w:ascii="Arial" w:hAnsi="Arial"/>
          <w:sz w:val="24"/>
        </w:rPr>
      </w:pPr>
      <w:r>
        <w:rPr>
          <w:rFonts w:ascii="Arial" w:hAnsi="Arial"/>
          <w:i/>
          <w:sz w:val="24"/>
        </w:rPr>
        <w:t xml:space="preserve">POSTN </w:t>
      </w:r>
      <w:r w:rsidRPr="00F60F74">
        <w:rPr>
          <w:rFonts w:ascii="Arial" w:hAnsi="Arial"/>
          <w:sz w:val="24"/>
        </w:rPr>
        <w:t>reverse</w:t>
      </w:r>
      <w:r>
        <w:rPr>
          <w:rFonts w:ascii="Arial" w:hAnsi="Arial"/>
          <w:sz w:val="24"/>
        </w:rPr>
        <w:t xml:space="preserve"> 5’ – CTTGATGATCTCGCGGAATA – 3’</w:t>
      </w:r>
    </w:p>
    <w:p w:rsidR="00343D7B" w:rsidRDefault="00343D7B" w:rsidP="00343D7B">
      <w:pPr>
        <w:spacing w:line="480" w:lineRule="auto"/>
        <w:rPr>
          <w:rFonts w:ascii="Arial" w:hAnsi="Arial"/>
          <w:sz w:val="24"/>
        </w:rPr>
      </w:pPr>
      <w:r w:rsidRPr="00F60F74">
        <w:rPr>
          <w:rFonts w:ascii="Arial" w:hAnsi="Arial"/>
          <w:i/>
          <w:sz w:val="24"/>
        </w:rPr>
        <w:t xml:space="preserve">ITGB3, </w:t>
      </w:r>
      <w:r w:rsidRPr="00F60F74">
        <w:rPr>
          <w:rFonts w:ascii="Arial" w:hAnsi="Arial"/>
          <w:sz w:val="24"/>
        </w:rPr>
        <w:t>forward 5’ – GATGCGAAAGCTCACCAGTA</w:t>
      </w:r>
      <w:r>
        <w:rPr>
          <w:rFonts w:ascii="Arial" w:hAnsi="Arial"/>
          <w:sz w:val="24"/>
        </w:rPr>
        <w:t xml:space="preserve"> – 3’</w:t>
      </w:r>
    </w:p>
    <w:p w:rsidR="00343D7B" w:rsidRDefault="00343D7B" w:rsidP="00343D7B">
      <w:pPr>
        <w:spacing w:line="480" w:lineRule="auto"/>
        <w:rPr>
          <w:rFonts w:ascii="Arial" w:hAnsi="Arial"/>
          <w:sz w:val="24"/>
        </w:rPr>
      </w:pPr>
      <w:r w:rsidRPr="008A4D63">
        <w:rPr>
          <w:rFonts w:ascii="Arial" w:hAnsi="Arial"/>
          <w:i/>
          <w:sz w:val="24"/>
        </w:rPr>
        <w:t>ITGB3</w:t>
      </w:r>
      <w:r>
        <w:rPr>
          <w:rFonts w:ascii="Arial" w:hAnsi="Arial"/>
          <w:sz w:val="24"/>
        </w:rPr>
        <w:t xml:space="preserve"> </w:t>
      </w:r>
      <w:r w:rsidRPr="00F60F74">
        <w:rPr>
          <w:rFonts w:ascii="Arial" w:hAnsi="Arial"/>
          <w:sz w:val="24"/>
        </w:rPr>
        <w:t>reverse</w:t>
      </w:r>
      <w:r>
        <w:rPr>
          <w:rFonts w:ascii="Arial" w:hAnsi="Arial"/>
          <w:sz w:val="24"/>
        </w:rPr>
        <w:t xml:space="preserve"> 5’ – GCAAGCAGGTGGTCTTCATA – 3’</w:t>
      </w:r>
    </w:p>
    <w:p w:rsidR="00343D7B" w:rsidRDefault="00343D7B" w:rsidP="00343D7B">
      <w:pPr>
        <w:spacing w:line="480" w:lineRule="auto"/>
        <w:rPr>
          <w:rFonts w:ascii="Arial" w:hAnsi="Arial"/>
          <w:sz w:val="24"/>
        </w:rPr>
      </w:pPr>
      <w:r w:rsidRPr="00F60F74">
        <w:rPr>
          <w:rFonts w:ascii="Arial" w:hAnsi="Arial"/>
          <w:i/>
          <w:sz w:val="24"/>
        </w:rPr>
        <w:t>IL6</w:t>
      </w:r>
      <w:r w:rsidRPr="00F60F74">
        <w:rPr>
          <w:rFonts w:ascii="Arial" w:hAnsi="Arial"/>
          <w:sz w:val="24"/>
        </w:rPr>
        <w:t xml:space="preserve"> forward</w:t>
      </w:r>
      <w:r>
        <w:rPr>
          <w:rFonts w:ascii="Arial" w:hAnsi="Arial"/>
          <w:sz w:val="24"/>
        </w:rPr>
        <w:t xml:space="preserve"> 5’ – AATGAGGAGACTTGCCTGGT – 3’</w:t>
      </w:r>
      <w:r w:rsidRPr="00F60F74">
        <w:rPr>
          <w:rFonts w:ascii="Arial" w:hAnsi="Arial"/>
          <w:sz w:val="24"/>
        </w:rPr>
        <w:t xml:space="preserve"> </w:t>
      </w:r>
    </w:p>
    <w:p w:rsidR="00343D7B" w:rsidRDefault="00343D7B" w:rsidP="00343D7B">
      <w:pPr>
        <w:spacing w:line="480" w:lineRule="auto"/>
        <w:rPr>
          <w:rFonts w:ascii="Arial" w:hAnsi="Arial"/>
          <w:sz w:val="24"/>
        </w:rPr>
      </w:pPr>
      <w:r w:rsidRPr="008A4D63">
        <w:rPr>
          <w:rFonts w:ascii="Arial" w:hAnsi="Arial"/>
          <w:i/>
          <w:sz w:val="24"/>
        </w:rPr>
        <w:t>IL6</w:t>
      </w:r>
      <w:r>
        <w:rPr>
          <w:rFonts w:ascii="Arial" w:hAnsi="Arial"/>
          <w:sz w:val="24"/>
        </w:rPr>
        <w:t xml:space="preserve"> </w:t>
      </w:r>
      <w:r w:rsidRPr="00F60F74">
        <w:rPr>
          <w:rFonts w:ascii="Arial" w:hAnsi="Arial"/>
          <w:sz w:val="24"/>
        </w:rPr>
        <w:t>reverse</w:t>
      </w:r>
      <w:r>
        <w:rPr>
          <w:rFonts w:ascii="Arial" w:hAnsi="Arial"/>
          <w:sz w:val="24"/>
        </w:rPr>
        <w:t xml:space="preserve"> 5’ – GCAGGAACTGGATCAGGACT – 3’</w:t>
      </w:r>
    </w:p>
    <w:p w:rsidR="00343D7B" w:rsidRDefault="00343D7B" w:rsidP="00343D7B">
      <w:pPr>
        <w:spacing w:line="480" w:lineRule="auto"/>
        <w:rPr>
          <w:rFonts w:ascii="Arial" w:hAnsi="Arial"/>
          <w:sz w:val="24"/>
        </w:rPr>
      </w:pPr>
      <w:r w:rsidRPr="00F60F74">
        <w:rPr>
          <w:rFonts w:ascii="Arial" w:hAnsi="Arial"/>
          <w:i/>
          <w:sz w:val="24"/>
        </w:rPr>
        <w:t>IL8</w:t>
      </w:r>
      <w:r w:rsidRPr="00F60F74">
        <w:rPr>
          <w:rFonts w:ascii="Arial" w:hAnsi="Arial"/>
          <w:sz w:val="24"/>
        </w:rPr>
        <w:t xml:space="preserve"> forward 5’ </w:t>
      </w:r>
      <w:r>
        <w:rPr>
          <w:rFonts w:ascii="Arial" w:hAnsi="Arial"/>
          <w:sz w:val="24"/>
        </w:rPr>
        <w:t>– AAGACATACTCCAAACCTTTCCA – 3’</w:t>
      </w:r>
    </w:p>
    <w:p w:rsidR="00343D7B" w:rsidRDefault="00343D7B" w:rsidP="00343D7B">
      <w:pPr>
        <w:spacing w:line="480" w:lineRule="auto"/>
        <w:rPr>
          <w:rFonts w:ascii="Arial" w:hAnsi="Arial"/>
          <w:sz w:val="24"/>
        </w:rPr>
      </w:pPr>
      <w:r>
        <w:rPr>
          <w:rFonts w:ascii="Arial" w:hAnsi="Arial"/>
          <w:i/>
          <w:sz w:val="24"/>
        </w:rPr>
        <w:t xml:space="preserve">IL8 </w:t>
      </w:r>
      <w:r w:rsidRPr="00F60F74">
        <w:rPr>
          <w:rFonts w:ascii="Arial" w:hAnsi="Arial"/>
          <w:sz w:val="24"/>
        </w:rPr>
        <w:t>reverse</w:t>
      </w:r>
      <w:r>
        <w:rPr>
          <w:rFonts w:ascii="Arial" w:hAnsi="Arial"/>
          <w:sz w:val="24"/>
        </w:rPr>
        <w:t xml:space="preserve"> 5’ – CCAGACAGAGCTCTCTTCCA – 3’</w:t>
      </w:r>
    </w:p>
    <w:p w:rsidR="00343D7B" w:rsidRDefault="00343D7B" w:rsidP="00343D7B">
      <w:pPr>
        <w:spacing w:line="480" w:lineRule="auto"/>
        <w:rPr>
          <w:rFonts w:ascii="Arial" w:hAnsi="Arial"/>
          <w:sz w:val="24"/>
        </w:rPr>
      </w:pPr>
      <w:r w:rsidRPr="00F60F74">
        <w:rPr>
          <w:rFonts w:ascii="Arial" w:hAnsi="Arial"/>
          <w:i/>
          <w:sz w:val="24"/>
        </w:rPr>
        <w:t>IL1A</w:t>
      </w:r>
      <w:r w:rsidRPr="00F60F74">
        <w:rPr>
          <w:rFonts w:ascii="Arial" w:hAnsi="Arial"/>
          <w:sz w:val="24"/>
        </w:rPr>
        <w:t xml:space="preserve"> forward 5’ - CGGGAAGGTTCTGAAGA</w:t>
      </w:r>
      <w:r>
        <w:rPr>
          <w:rFonts w:ascii="Arial" w:hAnsi="Arial"/>
          <w:sz w:val="24"/>
        </w:rPr>
        <w:t>AGA – 3’</w:t>
      </w:r>
    </w:p>
    <w:p w:rsidR="00343D7B" w:rsidRDefault="00343D7B" w:rsidP="00343D7B">
      <w:pPr>
        <w:spacing w:line="480" w:lineRule="auto"/>
        <w:rPr>
          <w:rFonts w:ascii="Arial" w:hAnsi="Arial"/>
          <w:sz w:val="24"/>
        </w:rPr>
      </w:pPr>
      <w:r>
        <w:rPr>
          <w:rFonts w:ascii="Arial" w:hAnsi="Arial"/>
          <w:i/>
          <w:sz w:val="24"/>
        </w:rPr>
        <w:t xml:space="preserve">IL1A </w:t>
      </w:r>
      <w:r w:rsidRPr="00F60F74">
        <w:rPr>
          <w:rFonts w:ascii="Arial" w:hAnsi="Arial"/>
          <w:sz w:val="24"/>
        </w:rPr>
        <w:t>reverse</w:t>
      </w:r>
      <w:r>
        <w:rPr>
          <w:rFonts w:ascii="Arial" w:hAnsi="Arial"/>
          <w:sz w:val="24"/>
        </w:rPr>
        <w:t xml:space="preserve"> 5’ – TTTCACATTGCTCAGGAAGC – 3’</w:t>
      </w:r>
    </w:p>
    <w:p w:rsidR="00343D7B" w:rsidRDefault="00343D7B" w:rsidP="00343D7B">
      <w:pPr>
        <w:spacing w:line="480" w:lineRule="auto"/>
        <w:rPr>
          <w:rFonts w:ascii="Arial" w:hAnsi="Arial"/>
          <w:sz w:val="24"/>
        </w:rPr>
      </w:pPr>
      <w:r>
        <w:rPr>
          <w:rFonts w:ascii="Arial" w:hAnsi="Arial"/>
          <w:i/>
          <w:sz w:val="24"/>
        </w:rPr>
        <w:t>ACTB</w:t>
      </w:r>
      <w:r w:rsidRPr="00F60F74">
        <w:rPr>
          <w:rFonts w:ascii="Arial" w:hAnsi="Arial"/>
          <w:i/>
          <w:sz w:val="24"/>
        </w:rPr>
        <w:t xml:space="preserve"> </w:t>
      </w:r>
      <w:r w:rsidRPr="00F60F74">
        <w:rPr>
          <w:rFonts w:ascii="Arial" w:hAnsi="Arial"/>
          <w:sz w:val="24"/>
        </w:rPr>
        <w:t>forward 5’ –</w:t>
      </w:r>
      <w:r>
        <w:rPr>
          <w:rFonts w:ascii="Arial" w:hAnsi="Arial"/>
          <w:sz w:val="24"/>
        </w:rPr>
        <w:t xml:space="preserve"> CGAGCACAGAGCCTCGCCTTTGCC – 3’</w:t>
      </w:r>
    </w:p>
    <w:p w:rsidR="00343D7B" w:rsidRPr="00580E7C" w:rsidRDefault="00343D7B" w:rsidP="00343D7B">
      <w:pPr>
        <w:spacing w:line="480" w:lineRule="auto"/>
        <w:rPr>
          <w:sz w:val="24"/>
        </w:rPr>
      </w:pPr>
      <w:r>
        <w:rPr>
          <w:rFonts w:ascii="Arial" w:hAnsi="Arial"/>
          <w:i/>
          <w:sz w:val="24"/>
        </w:rPr>
        <w:t xml:space="preserve">ACTB </w:t>
      </w:r>
      <w:r w:rsidRPr="00F60F74">
        <w:rPr>
          <w:rFonts w:ascii="Arial" w:hAnsi="Arial"/>
          <w:sz w:val="24"/>
        </w:rPr>
        <w:t>reverse 5’ – TGTCGACGACGAGCGCGGCGATAT – 3’.</w:t>
      </w:r>
    </w:p>
    <w:p w:rsidR="00343D7B" w:rsidRDefault="00343D7B" w:rsidP="00343D7B">
      <w:pPr>
        <w:pStyle w:val="Paragraph"/>
        <w:ind w:firstLine="0"/>
        <w:rPr>
          <w:rFonts w:ascii="Arial" w:eastAsia="Calibri" w:hAnsi="Arial"/>
          <w:i/>
          <w:szCs w:val="20"/>
        </w:rPr>
      </w:pPr>
    </w:p>
    <w:p w:rsidR="009C2B31" w:rsidRDefault="009C2B31"/>
    <w:sectPr w:rsidR="009C2B31" w:rsidSect="005D08A9">
      <w:headerReference w:type="default" r:id="rId5"/>
      <w:footerReference w:type="even" r:id="rId6"/>
      <w:footerReference w:type="default" r:id="rId7"/>
      <w:headerReference w:type="first" r:id="rId8"/>
      <w:pgSz w:w="12240" w:h="15840"/>
      <w:pgMar w:top="1080" w:right="1440" w:bottom="1080" w:left="144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B2" w:rsidRDefault="00343D7B" w:rsidP="005D08A9">
    <w:pPr>
      <w:pStyle w:val="Footer"/>
      <w:framePr w:wrap="around" w:vAnchor="text" w:hAnchor="margin" w:xAlign="center" w:y="1"/>
      <w:rPr>
        <w:rStyle w:val="PageNumber"/>
        <w:rFonts w:eastAsia="Calibri"/>
      </w:rPr>
    </w:pPr>
    <w:r>
      <w:rPr>
        <w:rStyle w:val="PageNumber"/>
      </w:rPr>
      <w:fldChar w:fldCharType="begin"/>
    </w:r>
    <w:r>
      <w:rPr>
        <w:rStyle w:val="PageNumber"/>
      </w:rPr>
      <w:instrText xml:space="preserve">PAGE  </w:instrText>
    </w:r>
    <w:r>
      <w:rPr>
        <w:rStyle w:val="PageNumber"/>
      </w:rPr>
      <w:fldChar w:fldCharType="end"/>
    </w:r>
  </w:p>
  <w:p w:rsidR="00BF1BB2" w:rsidRDefault="00343D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B2" w:rsidRPr="00756075" w:rsidRDefault="00343D7B" w:rsidP="005D08A9">
    <w:pPr>
      <w:pStyle w:val="Footer"/>
      <w:framePr w:wrap="around" w:vAnchor="text" w:hAnchor="margin" w:xAlign="center" w:y="1"/>
      <w:rPr>
        <w:rStyle w:val="PageNumber"/>
        <w:rFonts w:ascii="Arial" w:eastAsia="Calibri" w:hAnsi="Arial"/>
      </w:rPr>
    </w:pPr>
    <w:r w:rsidRPr="00756075">
      <w:rPr>
        <w:rStyle w:val="PageNumber"/>
        <w:rFonts w:ascii="Arial" w:hAnsi="Arial"/>
      </w:rPr>
      <w:fldChar w:fldCharType="begin"/>
    </w:r>
    <w:r w:rsidRPr="00756075">
      <w:rPr>
        <w:rStyle w:val="PageNumber"/>
        <w:rFonts w:ascii="Arial" w:hAnsi="Arial"/>
      </w:rPr>
      <w:instrText xml:space="preserve">PAGE  </w:instrText>
    </w:r>
    <w:r w:rsidRPr="00756075">
      <w:rPr>
        <w:rStyle w:val="PageNumber"/>
        <w:rFonts w:ascii="Arial" w:hAnsi="Arial"/>
      </w:rPr>
      <w:fldChar w:fldCharType="separate"/>
    </w:r>
    <w:r>
      <w:rPr>
        <w:rStyle w:val="PageNumber"/>
        <w:rFonts w:ascii="Arial" w:hAnsi="Arial"/>
        <w:noProof/>
      </w:rPr>
      <w:t>1</w:t>
    </w:r>
    <w:r w:rsidRPr="00756075">
      <w:rPr>
        <w:rStyle w:val="PageNumber"/>
        <w:rFonts w:ascii="Arial" w:hAnsi="Arial"/>
      </w:rPr>
      <w:fldChar w:fldCharType="end"/>
    </w:r>
  </w:p>
  <w:p w:rsidR="00BF1BB2" w:rsidRDefault="00343D7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B2" w:rsidRPr="006B147C" w:rsidRDefault="00343D7B" w:rsidP="005D08A9">
    <w:pPr>
      <w:pStyle w:val="Header"/>
      <w:rPr>
        <w:rFonts w:ascii="Arial" w:hAnsi="Arial"/>
      </w:rPr>
    </w:pPr>
    <w:r w:rsidRPr="006B147C">
      <w:rPr>
        <w:rFonts w:ascii="Arial" w:hAnsi="Arial"/>
      </w:rPr>
      <w:t xml:space="preserve">Lambert, A.W. </w:t>
    </w:r>
    <w:r>
      <w:rPr>
        <w:rFonts w:ascii="Arial" w:hAnsi="Arial"/>
        <w:i/>
      </w:rPr>
      <w:t>et al.</w:t>
    </w:r>
    <w:r>
      <w:rPr>
        <w:rFonts w:ascii="Arial" w:hAnsi="Arial"/>
      </w:rPr>
      <w:tab/>
    </w:r>
    <w:r>
      <w:rPr>
        <w:rFonts w:ascii="Arial" w:hAnsi="Arial"/>
      </w:rPr>
      <w:tab/>
      <w:t xml:space="preserve"> 2015</w:t>
    </w:r>
  </w:p>
  <w:p w:rsidR="00BF1BB2" w:rsidRDefault="00343D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B2" w:rsidRPr="006B147C" w:rsidRDefault="00343D7B">
    <w:pPr>
      <w:pStyle w:val="Header"/>
      <w:rPr>
        <w:rFonts w:ascii="Arial" w:hAnsi="Arial"/>
      </w:rPr>
    </w:pPr>
    <w:r w:rsidRPr="006B147C">
      <w:rPr>
        <w:rFonts w:ascii="Arial" w:hAnsi="Arial"/>
      </w:rPr>
      <w:t xml:space="preserve">Lambert, A.W. </w:t>
    </w:r>
    <w:r>
      <w:rPr>
        <w:rFonts w:ascii="Arial" w:hAnsi="Arial"/>
        <w:i/>
      </w:rPr>
      <w:t>et al.</w:t>
    </w:r>
    <w:r w:rsidRPr="006B147C">
      <w:rPr>
        <w:rFonts w:ascii="Arial" w:hAnsi="Arial"/>
      </w:rPr>
      <w:tab/>
    </w:r>
    <w:r w:rsidRPr="006B147C">
      <w:rPr>
        <w:rFonts w:ascii="Arial" w:hAnsi="Arial"/>
      </w:rPr>
      <w:tab/>
      <w:t xml:space="preserve">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7B"/>
    <w:rsid w:val="00343D7B"/>
    <w:rsid w:val="009C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27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7B"/>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3D7B"/>
    <w:pPr>
      <w:spacing w:before="120"/>
      <w:ind w:firstLine="720"/>
    </w:pPr>
    <w:rPr>
      <w:rFonts w:eastAsia="Times New Roman"/>
      <w:sz w:val="24"/>
      <w:szCs w:val="24"/>
    </w:rPr>
  </w:style>
  <w:style w:type="paragraph" w:styleId="Footer">
    <w:name w:val="footer"/>
    <w:basedOn w:val="Normal"/>
    <w:link w:val="FooterChar"/>
    <w:uiPriority w:val="99"/>
    <w:rsid w:val="00343D7B"/>
    <w:pPr>
      <w:tabs>
        <w:tab w:val="center" w:pos="4320"/>
        <w:tab w:val="right" w:pos="8640"/>
      </w:tabs>
    </w:pPr>
    <w:rPr>
      <w:rFonts w:eastAsia="Times New Roman"/>
      <w:lang w:val="x-none" w:eastAsia="x-none"/>
    </w:rPr>
  </w:style>
  <w:style w:type="character" w:customStyle="1" w:styleId="FooterChar">
    <w:name w:val="Footer Char"/>
    <w:basedOn w:val="DefaultParagraphFont"/>
    <w:link w:val="Footer"/>
    <w:uiPriority w:val="99"/>
    <w:rsid w:val="00343D7B"/>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343D7B"/>
    <w:pPr>
      <w:tabs>
        <w:tab w:val="center" w:pos="4320"/>
        <w:tab w:val="right" w:pos="8640"/>
      </w:tabs>
    </w:pPr>
    <w:rPr>
      <w:rFonts w:eastAsia="Times New Roman"/>
      <w:lang w:val="x-none" w:eastAsia="x-none"/>
    </w:rPr>
  </w:style>
  <w:style w:type="character" w:customStyle="1" w:styleId="HeaderChar">
    <w:name w:val="Header Char"/>
    <w:basedOn w:val="DefaultParagraphFont"/>
    <w:link w:val="Header"/>
    <w:uiPriority w:val="99"/>
    <w:rsid w:val="00343D7B"/>
    <w:rPr>
      <w:rFonts w:ascii="Times New Roman" w:eastAsia="Times New Roman" w:hAnsi="Times New Roman" w:cs="Times New Roman"/>
      <w:sz w:val="20"/>
      <w:szCs w:val="20"/>
      <w:lang w:val="x-none" w:eastAsia="x-none"/>
    </w:rPr>
  </w:style>
  <w:style w:type="character" w:styleId="PageNumber">
    <w:name w:val="page number"/>
    <w:basedOn w:val="DefaultParagraphFont"/>
    <w:uiPriority w:val="99"/>
    <w:rsid w:val="00343D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7B"/>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3D7B"/>
    <w:pPr>
      <w:spacing w:before="120"/>
      <w:ind w:firstLine="720"/>
    </w:pPr>
    <w:rPr>
      <w:rFonts w:eastAsia="Times New Roman"/>
      <w:sz w:val="24"/>
      <w:szCs w:val="24"/>
    </w:rPr>
  </w:style>
  <w:style w:type="paragraph" w:styleId="Footer">
    <w:name w:val="footer"/>
    <w:basedOn w:val="Normal"/>
    <w:link w:val="FooterChar"/>
    <w:uiPriority w:val="99"/>
    <w:rsid w:val="00343D7B"/>
    <w:pPr>
      <w:tabs>
        <w:tab w:val="center" w:pos="4320"/>
        <w:tab w:val="right" w:pos="8640"/>
      </w:tabs>
    </w:pPr>
    <w:rPr>
      <w:rFonts w:eastAsia="Times New Roman"/>
      <w:lang w:val="x-none" w:eastAsia="x-none"/>
    </w:rPr>
  </w:style>
  <w:style w:type="character" w:customStyle="1" w:styleId="FooterChar">
    <w:name w:val="Footer Char"/>
    <w:basedOn w:val="DefaultParagraphFont"/>
    <w:link w:val="Footer"/>
    <w:uiPriority w:val="99"/>
    <w:rsid w:val="00343D7B"/>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343D7B"/>
    <w:pPr>
      <w:tabs>
        <w:tab w:val="center" w:pos="4320"/>
        <w:tab w:val="right" w:pos="8640"/>
      </w:tabs>
    </w:pPr>
    <w:rPr>
      <w:rFonts w:eastAsia="Times New Roman"/>
      <w:lang w:val="x-none" w:eastAsia="x-none"/>
    </w:rPr>
  </w:style>
  <w:style w:type="character" w:customStyle="1" w:styleId="HeaderChar">
    <w:name w:val="Header Char"/>
    <w:basedOn w:val="DefaultParagraphFont"/>
    <w:link w:val="Header"/>
    <w:uiPriority w:val="99"/>
    <w:rsid w:val="00343D7B"/>
    <w:rPr>
      <w:rFonts w:ascii="Times New Roman" w:eastAsia="Times New Roman" w:hAnsi="Times New Roman" w:cs="Times New Roman"/>
      <w:sz w:val="20"/>
      <w:szCs w:val="20"/>
      <w:lang w:val="x-none" w:eastAsia="x-none"/>
    </w:rPr>
  </w:style>
  <w:style w:type="character" w:styleId="PageNumber">
    <w:name w:val="page number"/>
    <w:basedOn w:val="DefaultParagraphFont"/>
    <w:uiPriority w:val="99"/>
    <w:rsid w:val="0034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4304</Characters>
  <Application>Microsoft Macintosh Word</Application>
  <DocSecurity>0</DocSecurity>
  <Lines>35</Lines>
  <Paragraphs>10</Paragraphs>
  <ScaleCrop>false</ScaleCrop>
  <Company>Whitehead Institute</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Lambert</dc:creator>
  <cp:keywords/>
  <dc:description/>
  <cp:lastModifiedBy>Arthur Lambert</cp:lastModifiedBy>
  <cp:revision>1</cp:revision>
  <dcterms:created xsi:type="dcterms:W3CDTF">2015-08-20T17:56:00Z</dcterms:created>
  <dcterms:modified xsi:type="dcterms:W3CDTF">2015-08-20T17:57:00Z</dcterms:modified>
</cp:coreProperties>
</file>