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EE4C5" w14:textId="4A4122DF" w:rsidR="00623166" w:rsidRDefault="005E4555" w:rsidP="00616DE6">
      <w:pPr>
        <w:spacing w:before="120" w:after="120" w:line="480" w:lineRule="auto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Supplemental </w:t>
      </w:r>
      <w:r w:rsidR="00623166" w:rsidRPr="00D821F3">
        <w:rPr>
          <w:b/>
          <w:lang w:val="en-US"/>
        </w:rPr>
        <w:t xml:space="preserve">Materials and </w:t>
      </w:r>
      <w:r w:rsidR="000D1795">
        <w:rPr>
          <w:b/>
          <w:lang w:val="en-US"/>
        </w:rPr>
        <w:t>M</w:t>
      </w:r>
      <w:r w:rsidR="000D1795" w:rsidRPr="00D821F3">
        <w:rPr>
          <w:b/>
          <w:lang w:val="en-US"/>
        </w:rPr>
        <w:t>ethods</w:t>
      </w:r>
    </w:p>
    <w:p w14:paraId="5AE618A7" w14:textId="19708DED" w:rsidR="001F3F74" w:rsidRDefault="001F3F74" w:rsidP="00616DE6">
      <w:pPr>
        <w:spacing w:before="120" w:after="120" w:line="480" w:lineRule="auto"/>
        <w:jc w:val="both"/>
        <w:rPr>
          <w:bCs/>
          <w:lang w:val="en-US" w:eastAsia="ja-JP"/>
        </w:rPr>
      </w:pPr>
      <w:r>
        <w:rPr>
          <w:b/>
          <w:lang w:val="en-US" w:eastAsia="ja-JP"/>
        </w:rPr>
        <w:t xml:space="preserve">Cell lines: </w:t>
      </w:r>
      <w:r w:rsidR="00DC40DF" w:rsidRPr="00D821F3">
        <w:rPr>
          <w:lang w:val="en-US" w:eastAsia="ja-JP"/>
        </w:rPr>
        <w:t xml:space="preserve">NIH3T3 cells (immortalized Swiss mouse embryonic fibroblasts) were from the European Collection of Animal Cell Cultures (Salisbury, UK). The human melanoma RPM-MC cells, negative for CD44, were kindly provided by Ivan Stamenkovic (University of Lausanne, Switzerland). </w:t>
      </w:r>
      <w:r w:rsidR="00DC40DF" w:rsidRPr="00D821F3">
        <w:rPr>
          <w:color w:val="000000" w:themeColor="text1"/>
          <w:lang w:val="en-US"/>
        </w:rPr>
        <w:t>Mouse embryonic fibroblasts (MEFs) were isolated from</w:t>
      </w:r>
      <w:r w:rsidR="00DC40DF" w:rsidRPr="00D821F3">
        <w:rPr>
          <w:b/>
          <w:color w:val="000000" w:themeColor="text1"/>
          <w:lang w:val="en-US"/>
        </w:rPr>
        <w:t xml:space="preserve"> </w:t>
      </w:r>
      <w:r w:rsidR="00DC40DF" w:rsidRPr="00D821F3">
        <w:rPr>
          <w:color w:val="000000" w:themeColor="text1"/>
          <w:lang w:val="en-US"/>
        </w:rPr>
        <w:t xml:space="preserve">mice with floxed </w:t>
      </w:r>
      <w:r w:rsidR="00DC40DF" w:rsidRPr="00D821F3">
        <w:rPr>
          <w:i/>
          <w:color w:val="000000" w:themeColor="text1"/>
          <w:lang w:val="en-US"/>
        </w:rPr>
        <w:t xml:space="preserve">cd44 alleles </w:t>
      </w:r>
      <w:r w:rsidR="00DC40DF" w:rsidRPr="00D821F3">
        <w:rPr>
          <w:color w:val="000000" w:themeColor="text1"/>
          <w:lang w:val="en-US"/>
        </w:rPr>
        <w:t>(</w:t>
      </w:r>
      <w:r w:rsidR="00DC40DF" w:rsidRPr="00D821F3">
        <w:rPr>
          <w:i/>
          <w:color w:val="000000" w:themeColor="text1"/>
          <w:lang w:val="en-US"/>
        </w:rPr>
        <w:t>cd44</w:t>
      </w:r>
      <w:r w:rsidR="00DC40DF" w:rsidRPr="00D821F3">
        <w:rPr>
          <w:color w:val="000000" w:themeColor="text1"/>
          <w:vertAlign w:val="superscript"/>
          <w:lang w:val="en-US"/>
        </w:rPr>
        <w:t>fl/fl</w:t>
      </w:r>
      <w:r w:rsidR="00DC40DF" w:rsidRPr="00D821F3">
        <w:rPr>
          <w:color w:val="000000" w:themeColor="text1"/>
          <w:lang w:val="en-US"/>
        </w:rPr>
        <w:t xml:space="preserve">; GT(Rosa)26-Cre (B6/129). </w:t>
      </w:r>
      <w:r w:rsidR="00B170EA" w:rsidRPr="00D821F3">
        <w:rPr>
          <w:lang w:val="en-US" w:eastAsia="ja-JP"/>
        </w:rPr>
        <w:t>HEKNE cells</w:t>
      </w:r>
      <w:r w:rsidR="00B170EA">
        <w:rPr>
          <w:lang w:val="en-US" w:eastAsia="ja-JP"/>
        </w:rPr>
        <w:t xml:space="preserve"> are HEK293T cells stably infected with pB-FLAG-NRG1-EGFP and also with Angiotensin II receptor 1 (Dang et al. 2013), </w:t>
      </w:r>
      <w:r w:rsidR="00B170EA" w:rsidRPr="00D821F3">
        <w:rPr>
          <w:bCs/>
          <w:lang w:val="en-US" w:eastAsia="ja-JP"/>
        </w:rPr>
        <w:t>MDA-MB-231</w:t>
      </w:r>
      <w:r w:rsidR="00B170EA">
        <w:rPr>
          <w:bCs/>
          <w:lang w:val="en-US" w:eastAsia="ja-JP"/>
        </w:rPr>
        <w:t xml:space="preserve"> are human triple negative breast cancer cells obtained from ATCC. </w:t>
      </w:r>
      <w:r w:rsidR="00DC40DF" w:rsidRPr="00D821F3">
        <w:rPr>
          <w:lang w:val="en-US" w:eastAsia="ja-JP"/>
        </w:rPr>
        <w:t>All cells were grown in Dulbecco's modified Eagle's medium (DMEM, PAA Laboratories, GE Healthcare) supplemented with 10% FBS (PAA Laboratories, GE Healthcare). Cells were maintained in a humidified atmosphere with 5% CO</w:t>
      </w:r>
      <w:r w:rsidR="00DC40DF" w:rsidRPr="00D821F3">
        <w:rPr>
          <w:position w:val="-4"/>
          <w:lang w:val="en-US" w:eastAsia="ja-JP"/>
        </w:rPr>
        <w:t xml:space="preserve">2 </w:t>
      </w:r>
      <w:r w:rsidR="00DC40DF" w:rsidRPr="00D821F3">
        <w:rPr>
          <w:lang w:val="en-US" w:eastAsia="ja-JP"/>
        </w:rPr>
        <w:t xml:space="preserve">at 37°C. </w:t>
      </w:r>
    </w:p>
    <w:p w14:paraId="34051D8C" w14:textId="3804B246" w:rsidR="00623166" w:rsidRPr="00D821F3" w:rsidRDefault="00623166" w:rsidP="00616DE6">
      <w:pPr>
        <w:widowControl w:val="0"/>
        <w:autoSpaceDE w:val="0"/>
        <w:autoSpaceDN w:val="0"/>
        <w:adjustRightInd w:val="0"/>
        <w:spacing w:before="120" w:after="120" w:line="480" w:lineRule="auto"/>
        <w:rPr>
          <w:lang w:val="en-US" w:eastAsia="ja-JP"/>
        </w:rPr>
      </w:pPr>
      <w:r w:rsidRPr="00D821F3">
        <w:rPr>
          <w:b/>
          <w:lang w:val="en-US" w:eastAsia="ja-JP"/>
        </w:rPr>
        <w:t>Transfections</w:t>
      </w:r>
      <w:r w:rsidR="000D1795" w:rsidRPr="000D1795">
        <w:rPr>
          <w:b/>
          <w:lang w:val="en-US" w:eastAsia="ja-JP"/>
        </w:rPr>
        <w:t>:</w:t>
      </w:r>
      <w:r w:rsidR="000D1795">
        <w:rPr>
          <w:lang w:val="en-US" w:eastAsia="ja-JP"/>
        </w:rPr>
        <w:t xml:space="preserve"> </w:t>
      </w:r>
      <w:r w:rsidRPr="00D821F3">
        <w:rPr>
          <w:lang w:val="en-US" w:eastAsia="ja-JP"/>
        </w:rPr>
        <w:t>All DNA and siRNA transfections were performed in 6-well and 12-well plates or 10-cm and 15-cm plates (for biotinylation and immunoprecipitation experiments) using the liposomal transfection reagent Lipofectamine 2000 (Invitrogen).</w:t>
      </w:r>
    </w:p>
    <w:p w14:paraId="1E1A1EC2" w14:textId="73502CE3" w:rsidR="00623166" w:rsidRPr="00D821F3" w:rsidRDefault="00623166" w:rsidP="00616DE6">
      <w:pPr>
        <w:widowControl w:val="0"/>
        <w:autoSpaceDE w:val="0"/>
        <w:autoSpaceDN w:val="0"/>
        <w:adjustRightInd w:val="0"/>
        <w:spacing w:before="120" w:after="120" w:line="480" w:lineRule="auto"/>
        <w:rPr>
          <w:lang w:val="en-US" w:eastAsia="ja-JP"/>
        </w:rPr>
      </w:pPr>
      <w:r w:rsidRPr="00D821F3">
        <w:rPr>
          <w:b/>
          <w:lang w:val="en-US" w:eastAsia="ja-JP"/>
        </w:rPr>
        <w:t>Precipitation of Proteins by TCA-DOC (Trichloro Acetic Acid - Na Deoxycholate)</w:t>
      </w:r>
      <w:r w:rsidR="000D1795">
        <w:rPr>
          <w:b/>
          <w:lang w:val="en-US" w:eastAsia="ja-JP"/>
        </w:rPr>
        <w:t xml:space="preserve">: </w:t>
      </w:r>
      <w:r w:rsidRPr="00D821F3">
        <w:rPr>
          <w:lang w:val="en-US" w:eastAsia="ja-JP"/>
        </w:rPr>
        <w:t>For detection of soluble CD44 ectodomain or neuregulin the cells were cultured in serum-free medium. Cell culture supernatants were pre-cleared by centrifugation at 10,000 rpm for 10 min to pellet cell debris. The pre-cleared supernatant was mixed with 1/100 volume of 2% DOC, vortexed and kept on ice for 30 min. Then 1/10 volume of 100% TCA was added, and the samples were kept at 4°C overnight. The precipitate was recovered by centrifugation at 15,000 g for 15 min, rinsed twice with acetone and re-dissolved in RIPA buffer (50 mM Tris-HCl pH 8.0, 150 mM NaCl, 1% NP-40, 0.5% sodium deoxycholate, 0.1% SDS).</w:t>
      </w:r>
    </w:p>
    <w:p w14:paraId="7878D42A" w14:textId="0E016F3A" w:rsidR="00623166" w:rsidRPr="00D821F3" w:rsidRDefault="00623166" w:rsidP="00616DE6">
      <w:pPr>
        <w:widowControl w:val="0"/>
        <w:autoSpaceDE w:val="0"/>
        <w:autoSpaceDN w:val="0"/>
        <w:adjustRightInd w:val="0"/>
        <w:spacing w:before="120" w:after="120" w:line="480" w:lineRule="auto"/>
        <w:rPr>
          <w:lang w:val="en-US"/>
        </w:rPr>
      </w:pPr>
      <w:r w:rsidRPr="00D821F3">
        <w:rPr>
          <w:b/>
          <w:lang w:val="en-US" w:eastAsia="ja-JP"/>
        </w:rPr>
        <w:t>Co-immunoprecipitation (Co-IP) from Cell Lysates</w:t>
      </w:r>
      <w:r w:rsidR="000D1795">
        <w:rPr>
          <w:lang w:val="en-US"/>
        </w:rPr>
        <w:t xml:space="preserve">: </w:t>
      </w:r>
      <w:r w:rsidRPr="00D821F3">
        <w:rPr>
          <w:lang w:val="en-US"/>
        </w:rPr>
        <w:t xml:space="preserve">For co-immunoprecipitation of CD44 and merlin transfected NIH3T3 cells were grown in 15 cm-plates at high cell density. Cells were washed once in ice-cold 1x PBS and harvested in IP buffer containing 1x complete </w:t>
      </w:r>
      <w:r w:rsidRPr="00D821F3">
        <w:rPr>
          <w:lang w:val="en-US"/>
        </w:rPr>
        <w:lastRenderedPageBreak/>
        <w:t>protease inhibitor cocktail (Roche, Basel, Switzerland). The following IP buffer was used: 10mM Tris HCl pH 7.5, 0.5% Triton X-100, 0.5% NP-40, 2 mM EDTA. After shearing DNA the lysate was pre-cleared. Endogenous merlin was immunoprecipitated using 30 µl of Protein G plus (Santa Cruz Biotechnology, Inc, Santa Cruz, CA) gel beads, pre-conjugated with 2 μg of merlin antibody. Immuno-complexes were recovered by centrifugation and washed four times with cold IP buffer and eluted with 2x Laemmli sample buffer.</w:t>
      </w:r>
    </w:p>
    <w:p w14:paraId="6698E6AE" w14:textId="6814CB66" w:rsidR="000500CF" w:rsidRDefault="00623166" w:rsidP="00616DE6">
      <w:pPr>
        <w:widowControl w:val="0"/>
        <w:autoSpaceDE w:val="0"/>
        <w:autoSpaceDN w:val="0"/>
        <w:adjustRightInd w:val="0"/>
        <w:spacing w:before="120" w:after="120" w:line="480" w:lineRule="auto"/>
      </w:pPr>
      <w:r w:rsidRPr="00D821F3">
        <w:rPr>
          <w:b/>
          <w:lang w:val="en-US"/>
        </w:rPr>
        <w:t>Preparation of Cell Lysates for Western Blot Analysis</w:t>
      </w:r>
      <w:r w:rsidR="000D1795">
        <w:rPr>
          <w:lang w:val="en-US"/>
        </w:rPr>
        <w:t xml:space="preserve">: </w:t>
      </w:r>
      <w:r w:rsidRPr="00D821F3">
        <w:rPr>
          <w:lang w:val="en-US"/>
        </w:rPr>
        <w:t xml:space="preserve">For Western blot analysis, cells were plated on 6-well tissue culture plates and cultured initially in DMEM supplemented with 10% FBS, then changed to low serum medium overnight prior to treatments. Cells were subsequently pretreated, for 30 min, with control (DMSO) or 10 µM batimastat (BB94) (Calbiochem, Billerica, MA) or Latrunculin B (Calbiochem, Billerica, MA), and in the presence or absence of 10 </w:t>
      </w:r>
      <w:r w:rsidRPr="00D821F3">
        <w:rPr>
          <w:rFonts w:ascii="Symbol" w:hAnsi="Symbol"/>
          <w:lang w:val="en-US"/>
        </w:rPr>
        <w:t></w:t>
      </w:r>
      <w:r w:rsidRPr="00D821F3">
        <w:rPr>
          <w:lang w:val="en-US"/>
        </w:rPr>
        <w:t xml:space="preserve">M DAPT (Sigma-Aldrich, St. Louis, MO) to avoid further proteolysis by </w:t>
      </w:r>
      <w:r w:rsidRPr="00D821F3">
        <w:rPr>
          <w:lang w:val="en-US"/>
        </w:rPr>
        <w:sym w:font="Symbol" w:char="F067"/>
      </w:r>
      <w:r w:rsidRPr="00D821F3">
        <w:rPr>
          <w:lang w:val="en-US"/>
        </w:rPr>
        <w:t xml:space="preserve"> secretase (see Inhibition of Cleavage Conditions above).</w:t>
      </w:r>
      <w:r w:rsidRPr="00D821F3">
        <w:rPr>
          <w:b/>
          <w:lang w:val="en-US"/>
        </w:rPr>
        <w:t xml:space="preserve"> </w:t>
      </w:r>
      <w:r w:rsidRPr="00D821F3">
        <w:rPr>
          <w:lang w:val="en-US"/>
        </w:rPr>
        <w:t xml:space="preserve">Cells were then either control treated (DMSO) or stimulated with 100 ng/ml of TPA, or growth factors as outlined in the figure legends. Cells were subsequently lysed in RIPA buffer (50 mM Tris-HCl pH 8, 150 mM NaCl, 1 % NP-40, 0.5 % sodium deoxycholate, 0.1 % SDS) </w:t>
      </w:r>
      <w:r w:rsidRPr="00D821F3" w:rsidDel="00691003">
        <w:rPr>
          <w:lang w:val="en-US"/>
        </w:rPr>
        <w:t xml:space="preserve">containing a </w:t>
      </w:r>
      <w:r w:rsidRPr="00D821F3">
        <w:rPr>
          <w:lang w:val="en-US"/>
        </w:rPr>
        <w:t xml:space="preserve">cocktail </w:t>
      </w:r>
      <w:r w:rsidRPr="00D821F3" w:rsidDel="00691003">
        <w:rPr>
          <w:lang w:val="en-US"/>
        </w:rPr>
        <w:t>mix</w:t>
      </w:r>
      <w:r w:rsidRPr="00D821F3">
        <w:rPr>
          <w:lang w:val="en-US"/>
        </w:rPr>
        <w:t xml:space="preserve"> of protease and phosphatase inhibitors (Sigma-Aldrich, St. Louis, MO). Samples were then </w:t>
      </w:r>
      <w:r w:rsidR="00B170EA" w:rsidRPr="00D821F3">
        <w:rPr>
          <w:lang w:val="en-US"/>
        </w:rPr>
        <w:t>centrifuged</w:t>
      </w:r>
      <w:r w:rsidRPr="00D821F3">
        <w:rPr>
          <w:lang w:val="en-US"/>
        </w:rPr>
        <w:t xml:space="preserve"> and the supernatants without insoluble proteins were collected for protein concentration determination (Bio-Rad Protein Assay, 500-0006). For immunoblot samples were mixed with 2x Laemmli sample buffer</w:t>
      </w:r>
      <w:r w:rsidRPr="00D821F3">
        <w:rPr>
          <w:rFonts w:ascii="Calibri" w:hAnsi="Calibri" w:cs="Calibri"/>
          <w:lang w:val="en-US"/>
        </w:rPr>
        <w:t xml:space="preserve">. </w:t>
      </w:r>
      <w:r w:rsidRPr="00D821F3">
        <w:rPr>
          <w:lang w:val="en-US"/>
        </w:rPr>
        <w:t xml:space="preserve">Prior to loading, samples were heated to 96 °C for 5-10 min. </w:t>
      </w:r>
    </w:p>
    <w:sectPr w:rsidR="000500CF" w:rsidSect="000500C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66"/>
    <w:rsid w:val="000500CF"/>
    <w:rsid w:val="000D1795"/>
    <w:rsid w:val="001E686C"/>
    <w:rsid w:val="001F3F74"/>
    <w:rsid w:val="00241363"/>
    <w:rsid w:val="005D4600"/>
    <w:rsid w:val="005E4555"/>
    <w:rsid w:val="00612233"/>
    <w:rsid w:val="00616DE6"/>
    <w:rsid w:val="00623166"/>
    <w:rsid w:val="00671635"/>
    <w:rsid w:val="0089683C"/>
    <w:rsid w:val="00B170EA"/>
    <w:rsid w:val="00DC40DF"/>
    <w:rsid w:val="00E21147"/>
    <w:rsid w:val="00F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80E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66"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31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23166"/>
  </w:style>
  <w:style w:type="character" w:customStyle="1" w:styleId="CommentTextChar">
    <w:name w:val="Comment Text Char"/>
    <w:basedOn w:val="DefaultParagraphFont"/>
    <w:link w:val="CommentText"/>
    <w:uiPriority w:val="99"/>
    <w:rsid w:val="00623166"/>
    <w:rPr>
      <w:sz w:val="24"/>
      <w:szCs w:val="24"/>
      <w:lang w:eastAsia="de-DE"/>
    </w:rPr>
  </w:style>
  <w:style w:type="character" w:customStyle="1" w:styleId="st">
    <w:name w:val="st"/>
    <w:rsid w:val="00623166"/>
  </w:style>
  <w:style w:type="character" w:styleId="Emphasis">
    <w:name w:val="Emphasis"/>
    <w:uiPriority w:val="20"/>
    <w:qFormat/>
    <w:rsid w:val="00623166"/>
    <w:rPr>
      <w:i/>
      <w:iCs/>
    </w:rPr>
  </w:style>
  <w:style w:type="character" w:customStyle="1" w:styleId="chead">
    <w:name w:val="chead"/>
    <w:basedOn w:val="DefaultParagraphFont"/>
    <w:rsid w:val="00623166"/>
  </w:style>
  <w:style w:type="character" w:styleId="HTMLTypewriter">
    <w:name w:val="HTML Typewriter"/>
    <w:rsid w:val="00623166"/>
    <w:rPr>
      <w:rFonts w:ascii="Courier" w:eastAsia="Courier" w:hAnsi="Courier"/>
      <w:sz w:val="20"/>
    </w:rPr>
  </w:style>
  <w:style w:type="character" w:customStyle="1" w:styleId="bodycopybold">
    <w:name w:val="bodycopybold"/>
    <w:basedOn w:val="DefaultParagraphFont"/>
    <w:rsid w:val="00623166"/>
  </w:style>
  <w:style w:type="paragraph" w:styleId="BalloonText">
    <w:name w:val="Balloon Text"/>
    <w:basedOn w:val="Normal"/>
    <w:link w:val="BalloonTextChar"/>
    <w:uiPriority w:val="99"/>
    <w:semiHidden/>
    <w:unhideWhenUsed/>
    <w:rsid w:val="00623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66"/>
    <w:rPr>
      <w:rFonts w:ascii="Lucida Grande" w:hAnsi="Lucida Grande" w:cs="Lucida Grande"/>
      <w:sz w:val="18"/>
      <w:szCs w:val="18"/>
      <w:lang w:eastAsia="de-DE"/>
    </w:rPr>
  </w:style>
  <w:style w:type="table" w:styleId="TableGrid">
    <w:name w:val="Table Grid"/>
    <w:basedOn w:val="TableNormal"/>
    <w:uiPriority w:val="59"/>
    <w:rsid w:val="005D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0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0EA"/>
    <w:rPr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66"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31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23166"/>
  </w:style>
  <w:style w:type="character" w:customStyle="1" w:styleId="CommentTextChar">
    <w:name w:val="Comment Text Char"/>
    <w:basedOn w:val="DefaultParagraphFont"/>
    <w:link w:val="CommentText"/>
    <w:uiPriority w:val="99"/>
    <w:rsid w:val="00623166"/>
    <w:rPr>
      <w:sz w:val="24"/>
      <w:szCs w:val="24"/>
      <w:lang w:eastAsia="de-DE"/>
    </w:rPr>
  </w:style>
  <w:style w:type="character" w:customStyle="1" w:styleId="st">
    <w:name w:val="st"/>
    <w:rsid w:val="00623166"/>
  </w:style>
  <w:style w:type="character" w:styleId="Emphasis">
    <w:name w:val="Emphasis"/>
    <w:uiPriority w:val="20"/>
    <w:qFormat/>
    <w:rsid w:val="00623166"/>
    <w:rPr>
      <w:i/>
      <w:iCs/>
    </w:rPr>
  </w:style>
  <w:style w:type="character" w:customStyle="1" w:styleId="chead">
    <w:name w:val="chead"/>
    <w:basedOn w:val="DefaultParagraphFont"/>
    <w:rsid w:val="00623166"/>
  </w:style>
  <w:style w:type="character" w:styleId="HTMLTypewriter">
    <w:name w:val="HTML Typewriter"/>
    <w:rsid w:val="00623166"/>
    <w:rPr>
      <w:rFonts w:ascii="Courier" w:eastAsia="Courier" w:hAnsi="Courier"/>
      <w:sz w:val="20"/>
    </w:rPr>
  </w:style>
  <w:style w:type="character" w:customStyle="1" w:styleId="bodycopybold">
    <w:name w:val="bodycopybold"/>
    <w:basedOn w:val="DefaultParagraphFont"/>
    <w:rsid w:val="00623166"/>
  </w:style>
  <w:style w:type="paragraph" w:styleId="BalloonText">
    <w:name w:val="Balloon Text"/>
    <w:basedOn w:val="Normal"/>
    <w:link w:val="BalloonTextChar"/>
    <w:uiPriority w:val="99"/>
    <w:semiHidden/>
    <w:unhideWhenUsed/>
    <w:rsid w:val="00623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66"/>
    <w:rPr>
      <w:rFonts w:ascii="Lucida Grande" w:hAnsi="Lucida Grande" w:cs="Lucida Grande"/>
      <w:sz w:val="18"/>
      <w:szCs w:val="18"/>
      <w:lang w:eastAsia="de-DE"/>
    </w:rPr>
  </w:style>
  <w:style w:type="table" w:styleId="TableGrid">
    <w:name w:val="Table Grid"/>
    <w:basedOn w:val="TableNormal"/>
    <w:uiPriority w:val="59"/>
    <w:rsid w:val="005D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0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0EA"/>
    <w:rPr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AB0A1-6FAB-44AC-89E2-294E3C35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Herrlich</dc:creator>
  <cp:lastModifiedBy>Quann, Karen</cp:lastModifiedBy>
  <cp:revision>2</cp:revision>
  <dcterms:created xsi:type="dcterms:W3CDTF">2015-01-26T15:35:00Z</dcterms:created>
  <dcterms:modified xsi:type="dcterms:W3CDTF">2015-01-26T15:35:00Z</dcterms:modified>
</cp:coreProperties>
</file>